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color w:val="075F9F"/>
          <w:sz w:val="36"/>
        </w:rPr>
        <w:t>CHƯƠNG 3. THIẾT KẾ TỰ ĐỘNG HÓA VÀ PHẦN MỀM</w:t>
      </w:r>
    </w:p>
    <w:p>
      <w:pPr>
        <w:spacing w:after="80" w:line="300" w:lineRule="auto"/>
      </w:pPr>
      <w:r>
        <w:t>Chương 3 tập trung hiện thực hóa các mục tiêu cải tiến quy trình nghiệp vụ đã được xác định từ mô hình To-Be (ToBe_Nhom3.bpmn). Trên cơ sở phương pháp luận của học phần Quản lý quy trình kinh doanh (MIS3047) và khung thiết kế IDEA (Design), nội dung chương bao gồm: phân loại chi tiết toàn bộ các hoạt động theo mức độ tự động hóa; xây dựng mô hình toán học và bảng tính thiết kế ngưỡng tối ưu chi phí cho các tác vụ ứng dụng Trí tuệ Nhân tạo (AI); đặc tả kiến trúc phần mềm thực tế của hệ thống MY DUE (EventFlow) bao gồm mô hình dữ liệu quan hệ, thiết kế giao diện theo vai trò, hệ thống danh mục RESTful API thực tế từ mã nguồn backend, ma trận ánh xạ truy vết BPMN và các giải pháp an toàn bảo mật thông tin.</w:t>
      </w:r>
    </w:p>
    <w:p>
      <w:pPr>
        <w:keepNext/>
        <w:spacing w:before="320" w:after="120"/>
      </w:pPr>
      <w:r>
        <w:rPr>
          <w:rFonts w:ascii="Times New Roman" w:hAnsi="Times New Roman"/>
          <w:b/>
          <w:color w:val="075F9F"/>
          <w:sz w:val="32"/>
        </w:rPr>
        <w:t>3.1. Bản đồ AI trên quy trình</w:t>
      </w:r>
    </w:p>
    <w:p>
      <w:pPr>
        <w:spacing w:after="80" w:line="300" w:lineRule="auto"/>
      </w:pPr>
      <w:r>
        <w:t>Nhằm chuyển đổi quy trình tiếp nhận, xét duyệt và cấp phép tổ chức sự kiện sinh viên từ mô hình truyền thống (nhiều điểm nghẽn, thời gian chờ bàn giao hồ sơ giấy kéo dài) sang mô hình số hóa hiện đại, toàn bộ 33 hoạt động nghiệp vụ trong mô hình BPMN To-Be (ToBe_Nhom3.bpmn) được phân tích và phân loại vào một trong bốn cấp độ tự động hóa:</w:t>
      </w:r>
    </w:p>
    <w:p>
      <w:pPr>
        <w:spacing w:after="80" w:line="300" w:lineRule="auto"/>
      </w:pPr>
      <w:r>
        <w:t>1. Giữ thủ công (Manual Task): Các hoạt động mang tính thẩm quyền pháp lý, phê duyệt chính thức, kiểm tra hiện trường thực tế hoặc đánh giá chính trị - tư tưởng bắt buộc phải do con người trực tiếp chịu trách nhiệm.</w:t>
      </w:r>
    </w:p>
    <w:p>
      <w:pPr>
        <w:spacing w:after="80" w:line="300" w:lineRule="auto"/>
      </w:pPr>
      <w:r>
        <w:t>2. Tự động theo luật (Rule-based Automation): Các hoạt động lặp lại, có quy tắc nghiệp vụ rõ ràng, logic nhị phân xác định (kiểm tra trường bắt buộc, chuyển tiếp trạng thái hồ sơ, thông báo tự động, đối chiếu trùng lịch phòng).</w:t>
      </w:r>
    </w:p>
    <w:p>
      <w:pPr>
        <w:spacing w:after="80" w:line="300" w:lineRule="auto"/>
      </w:pPr>
      <w:r>
        <w:t>3. Tự động có AI hỗ trợ (AI-assisted Automation): Các hoạt động phức tạp, phi cấu trúc (rà soát kế hoạch an toàn, phát hiện tỷ trọng ngân sách bất thường, gợi ý phương án bố trí không gian, soạn thảo bản nháp báo cáo tổng kết) trong đó AI đóng vai trò trợ lý thông minh (Copilot), quyết định cuối cùng vẫn thuộc về chuyên viên nghiệp vụ.</w:t>
      </w:r>
    </w:p>
    <w:p>
      <w:pPr>
        <w:spacing w:after="80" w:line="300" w:lineRule="auto"/>
      </w:pPr>
      <w:r>
        <w:t>4. Giao cho Agent (Autonomous Agent): Các tác vụ giám sát tự động, định tuyến linh hoạt và tự xử lý các ngoại lệ nghiệp vụ độc lập mà không cần can thiệp thường xuyên của con người.</w:t>
      </w:r>
    </w:p>
    <w:p>
      <w:pPr>
        <w:keepNext/>
        <w:spacing w:before="80" w:after="80"/>
        <w:jc w:val="center"/>
      </w:pPr>
      <w:r>
        <w:rPr>
          <w:rFonts w:ascii="Times New Roman" w:hAnsi="Times New Roman"/>
          <w:b/>
          <w:i/>
          <w:color w:val="334155"/>
          <w:sz w:val="22"/>
        </w:rPr>
        <w:t>Bảng 3.1: Bản đồ phân loại mức độ tự động hóa trên quy trình BPMN To-Be</w:t>
      </w:r>
    </w:p>
    <w:tbl>
      <w:tblPr>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56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STT</w:t>
            </w:r>
          </w:p>
        </w:tc>
        <w:tc>
          <w:tcPr>
            <w:tcW w:type="dxa" w:w="124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BPMN ID</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Tên hoạt động</w:t>
            </w:r>
          </w:p>
        </w:tc>
        <w:tc>
          <w:tcPr>
            <w:tcW w:type="dxa" w:w="141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Vai trò (Lane)</w:t>
            </w:r>
          </w:p>
        </w:tc>
        <w:tc>
          <w:tcPr>
            <w:tcW w:type="dxa" w:w="113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Phân loại</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Lý do lựa chọn</w:t>
            </w:r>
          </w:p>
        </w:tc>
        <w:tc>
          <w:tcPr>
            <w:tcW w:type="dxa" w:w="124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Mức rủi ro nếu sai</w:t>
            </w:r>
          </w:p>
        </w:tc>
        <w:tc>
          <w:tcPr>
            <w:tcW w:type="dxa" w:w="141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Tình trạng triển khai</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Prepare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Lập kế hoạch, dự trù và hồ sơ</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Xây dựng ý tưởng và nội dung chương trình đòi hỏi tính sáng tạo và trách nhiệm của đơn vị tổ chức.</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 (Có bước rà soát sau)</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(E-Form 5 bước)</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CheckFields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Kiểm tra trường bắt buộc</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Hệ thống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 tắc xác thực trường dữ liệu cố định (tên sự kiện, ngày bắt đầu, số người tham dự).</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 (Thông báo lỗi inline)</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(Zod Validation)</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3</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AIReview</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rà soát nội dung và gợi ý sửa</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AI Engine</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hỗ trợ</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Đọc hiểu nội dung phi cấu trúc, đánh giá rủi ro an toàn và tỷ trọng ngân sách giúp hoàn thiện hồ sơ.</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 (Có người xác nhận)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(/api/ai/review)</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4</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BCHConfirm</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kiểm chứng, hoàn thiện hồ sơ</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chịu trách nhiệm trước Nhà trường về tính chính xác và cam kết của hồ sơ sự kiện.</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(Modal xác nhận)</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5</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SubmitKhoa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BCN Khoa</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Hệ thống</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Thao tác bàn giao trạng thái chuẩn hóa, kích hoạt tự động sau khi nộp thành công.</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(State Machine)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6</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Thẩm định kế hoạch / nội dung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Đánh giá sự phù hợp về định hướng giáo dục, chuyên môn và tư tưởng sinh viên.</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(Duyệt sai định hướng)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(Approval Queue)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7</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Tổng hợp góp ý và sửa hồ sơ</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tiếp thu ý kiến của BCN Khoa để điều chỉnh nội dung cho phù hợp.</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(EventEditPage)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8</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SignKhoa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Khoa ký xác nhận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lập thẩm quyền và sự đồng thuận chính thức của Khoa chủ quản.</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(Trách nhiệm pháp lý)</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(Ký số điện tử)</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9</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ForwardDoan</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Đoàn trường</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Khoa / Hệ thống</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chuyển hồ sơ đã duyệt sang hòm thư công việc của Đoàn trường kèm mã Ticket.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(State Machine)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10</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ReviewDoan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 thẩm định hồ sơ</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Thẩm định điều kiện an toàn, an ninh trật tự, trùng lặp phong trào chung toàn trường.</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(Rủi ro an ninh)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(Approval Queue)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11</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FixDoan</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Chỉnh sửa theo góp ý Đoàn trường</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Chỉnh sửa các điều khoản theo yêu cầu của Thường trực Đoàn trường.</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(EventEditPage)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12</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ApproveDoan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Ký duyệt, đóng dấu kế hoạch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Cấp phép chính thức (Giấy phép tổ chức sự kiện số hóa) để chuyển sang khâu cơ sở vật chất.</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Rất cao (Hiệu lực pháp lý)</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(Permit Issued)</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13</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FacilityForm</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Tạo đơn mượn CSVC</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Hệ thống</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trích xuất thông tin phòng và thiết bị đã đăng ký sang bảng mượn tài sản.</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(ResourceBooking)</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14</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CheckSchedule</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Đối chiếu lịch / danh mục thiết bị</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 Hệ thống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Thuật toán kiểm tra giao thoa khoảng thời gian đối với lịch đặt phòng và số lượng tồn kho.</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 (Có thể trùng lịch)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(CheckAvailability)</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15</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AISuggest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gợi ý bố trí phòng và thiết bị</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 AI Engine</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hỗ trợ</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Phân tích quy mô người tham dự và loại hình để gợi ý hội trường có sức chứa tối ưu.</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 (Gợi ý tham khảo)</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16</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FacilityUser</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xác minh và quyết định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CSVC</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Cán bộ CSVC kiểm tra hiện trạng thực tế hội trường và lịch bảo trì của Nhà trường.</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(Trùng phòng thực tế)</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(Approval Queue)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17</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AdjustFacility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điều chỉnh lịch / thiết bị</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Chọn khung giờ hoặc hội trường dự phòng khi bị trùng lịch hoặc thiếu thiết bị.</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(EventDetailPage)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18</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ApproveFacility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xác nhận đặt phòng, thiết bị</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CSVC</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Phê duyệt chính thức giữ chỗ, khóa lịch trên Calendar toàn trường.</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(Cam kết phòng ốc)</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(Confirm Booking)</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19</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PrepareEvent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chuẩn bị và tổ chức sự kiện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Thực hiện điều hành âm thanh, ánh sáng, đón tiếp đại biểu tại hiện trường sự kiện.</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(Chất lượng sự kiện)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(In Progress)</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20</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ReturnFacility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hoàn trả cơ sở vật chất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lại chìa khóa, thiết bị mượn sau khi kết thúc sự kiện.</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(HandoverPage)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21</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VerifyReturn</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kiểm tra tình trạng hoàn trả</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CSVC</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Kiểm tra hiện trạng thiết bị, lập biên bản nghiệm thu hoặc biên bản sự cố nếu hư hỏng.</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(Tổn thất tài sản)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(Inspection)</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22</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AIReport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tạo bản nháp báo cáo</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AI Engine</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hỗ trợ</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Tổng hợp số liệu người tham dự, kinh phí thực tế và lịch sử sự kiện thành dự thảo báo cáo.</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 (BCH duyệt lại)</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23</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ReviewReport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kiểm tra và xác nhận báo cáo</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Rà soát số liệu thực tế, bổ sung hình ảnh minh chứng và hoàn thiện báo cáo tổng kết.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(ReportPage)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24</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AutoReport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Gửi báo cáo đến Đoàn trường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Hệ thống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chuyển file báo cáo tổng kết vào hồ sơ sự kiện và thông báo Đoàn trường.</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(Submit Report)</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25</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PayPackage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lập và rà soát chứng từ</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Tập hợp hóa đơn VAT, phiếu chi, bảng kê thanh quyết toán kinh phí thực tế.</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 (Sai sót tài chính)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(SettlementPage)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26</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AutoForwardPay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KHTC</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 Hệ thống</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đóng gói chứng từ điện tử chuyển sang hòm thư công việc của Phòng KHTC.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(Submit Settlement)</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27</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CheckPay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kiểm tra chứng từ</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KHTC</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Kiểm toán tính hợp lệ của hóa đơn điện tử, đối chiếu bảng dự toán được duyệt ban đầu.</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Rất cao (Vi phạm tài chính)</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(SettlementPage)</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28</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bổ sung hồ sơ thanh toán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Bổ sung hóa đơn thay thế hoặc giải trình theo yêu cầu của kế toán KHTC.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bình</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(SettlementPage)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29</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SubmitApproval</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trình cấp có thẩm quyền duyệt</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KHTC</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Lập tờ trình đề nghị giải ngân kinh phí sự kiện trình Ban Giám hiệu / Chủ tài khoản.</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(Approval Action)</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30</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ApprovePayment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Phê duyệt thanh toán theo thẩm quyền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 Ban Giám hiệu</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Lãnh đạo ký duyệt chi giải ngân chuyển khoản kinh phí cho BTC.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Rất cao (Xuất quỹ trường)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(Settle Decision)</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31</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RefusePay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không thanh toán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KHTC</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Ban hành văn bản nêu rõ lý do từ chối thanh toán đối với chứng từ không hợp lệ.</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Cao</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(Reject Payment)</w:t>
            </w:r>
          </w:p>
        </w:tc>
      </w:tr>
      <w:tr>
        <w:tc>
          <w:tcPr>
            <w:tcW w:type="dxa" w:w="56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32</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PerformPay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thực hiện thanh toán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Phòng KHTC</w:t>
            </w:r>
          </w:p>
        </w:tc>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Giữ thủ công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Thực hiện ủy nhiệm chi ngân hàng chuyển tiền vào tài khoản Ban Tổ chức.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Rất cao (Tiền tệ)</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(Settled State)</w:t>
            </w:r>
          </w:p>
        </w:tc>
      </w:tr>
      <w:tr>
        <w:tc>
          <w:tcPr>
            <w:tcW w:type="dxa" w:w="56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33</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Close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nhận xác nhận, lưu hồ sơ</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Liên Chi Đoàn</w:t>
            </w:r>
          </w:p>
        </w:tc>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theo luật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Đóng hồ sơ sự kiện, chuyển vào kho lưu trữ điện tử phục vụ công tác thanh tra, kiểm toán.</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Thấp</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(Completed State)</w:t>
            </w:r>
          </w:p>
        </w:tc>
      </w:tr>
    </w:tbl>
    <w:p/>
    <w:p>
      <w:pPr>
        <w:spacing w:after="80" w:line="300" w:lineRule="auto"/>
      </w:pPr>
      <w:r>
        <w:t>Nhận xét từ Bản đồ tự động hóa: Trong tổng số 33 hoạt động nghiệp vụ, có 20 hoạt động được giữ thủ công (chiếm 60.6%) do liên quan trực tiếp đến thẩm quyền pháp lý, an toàn trường học và trách nhiệm tài chính; 10 hoạt động được tự động hóa hoàn toàn theo luật nghiệp vụ (chiếm 30.3%) giúp loại bỏ 100% thời gian chờ bàn giao thủ công; và 3 hoạt động được AI hỗ trợ (chiếm 9.1%) tại các khâu thẩm định phức tạp và tổng hợp văn bản. Đây là tỷ lệ phân bổ cân bằng và an toàn đối với môi trường giáo dục đại học.</w:t>
      </w:r>
    </w:p>
    <w:p>
      <w:pPr>
        <w:keepNext/>
        <w:spacing w:before="320" w:after="120"/>
      </w:pPr>
      <w:r>
        <w:rPr>
          <w:rFonts w:ascii="Times New Roman" w:hAnsi="Times New Roman"/>
          <w:b/>
          <w:color w:val="075F9F"/>
          <w:sz w:val="32"/>
        </w:rPr>
        <w:t>3.2. Thiết kế ngưỡng (Threshold Design)</w:t>
      </w:r>
    </w:p>
    <w:p>
      <w:pPr>
        <w:spacing w:after="80" w:line="300" w:lineRule="auto"/>
      </w:pPr>
      <w:r>
        <w:t>3.2.1. Mô tả bài toán phân loại nghiệp vụ</w:t>
      </w:r>
    </w:p>
    <w:p>
      <w:pPr>
        <w:spacing w:after="80" w:line="300" w:lineRule="auto"/>
      </w:pPr>
      <w:r>
        <w:t>Trong quy trình tiếp nhận sự kiện, hoạt động AIReview (AI rà soát nội dung và gợi ý sửa) thuộc Lane BCH Liên Chi Đoàn được lựa chọn để thiết kế ngưỡng độ tin cậy. Bài toán phân loại được định nghĩa như sau: Dựa trên dữ liệu hồ sơ đăng ký 5 bước (thông tin mục tiêu, quy mô người tham dự, địa điểm, dự trù ngân sách và kế hoạch an toàn), mô hình AI thực hiện bài toán phân loại nhị phân (Binary Classification):</w:t>
      </w:r>
    </w:p>
    <w:p>
      <w:pPr>
        <w:spacing w:after="80" w:line="300" w:lineRule="auto"/>
      </w:pPr>
      <w:r>
        <w:t>• Lớp 1 (Hồ sơ Đạt chuẩn / An toàn - Negative): Hồ sơ đáp ứng đầy đủ tiêu chí an toàn, tỷ trọng ngân sách hợp lý, không vi phạm quy định của Trường Đại học Kinh tế – ĐHĐN. Nếu được phân loại là Đạt chuẩn với độ tin cậy cao, hệ thống có thể tự động phê duyệt sơ bộ (Fast-track) và chuyển tiếp hồ sơ sang BCN Khoa mà không cần chuyên viên rà soát thủ công bước đầu.</w:t>
      </w:r>
    </w:p>
    <w:p>
      <w:pPr>
        <w:spacing w:after="80" w:line="300" w:lineRule="auto"/>
      </w:pPr>
      <w:r>
        <w:t>• Lớp 2 (Hồ sơ Tiềm ẩn Rủi ro / Vi phạm - Positive): Hồ sơ có nguy cơ mất an toàn PCCC, xung đột công suất điện hội trường, dự toán sai lệch định mức hoặc nội dung nhạy cảm, bắt buộc phải có sự kiểm tra kỹ lưỡng của con người.</w:t>
      </w:r>
    </w:p>
    <w:p>
      <w:pPr>
        <w:spacing w:after="80" w:line="300" w:lineRule="auto"/>
      </w:pPr>
      <w:r>
        <w:t>3.2.2. Giả định kinh tế về chi phí và thiệt hại sai sót</w:t>
      </w:r>
    </w:p>
    <w:p>
      <w:pPr>
        <w:spacing w:after="80" w:line="300" w:lineRule="auto"/>
      </w:pPr>
      <w:r>
        <w:t>Để lượng hóa quyết định theo lý thuyết kinh tế học thông tin và lý thuyết quyết định nhạy cảm với chi phí (Cost-Sensitive Decision Theory), nhóm đưa ra 2 giả định chi phí nghiệp vụ có căn cứ khảo sát thực tế tại Trường:</w:t>
      </w:r>
    </w:p>
    <w:p>
      <w:pPr>
        <w:spacing w:after="80" w:line="300" w:lineRule="auto"/>
      </w:pPr>
      <w:r>
        <w:t>• Giả định Chi phí Xử lý Thủ công (X): X = 100.000 VNĐ. Một chuyên viên BCN Khoa hoặc Thường trực Đoàn Trường mất trung bình khoảng 1,5 giờ làm việc tập trung để đọc, rà soát đối chiếu từng hạng mục dự toán và phương án an toàn của một hồ sơ sự kiện giấy/điện tử đầy đủ. Với định mức giờ công lao động hành chính tại trường, chi phí ước tính là 100.000 VNĐ/hồ sơ.</w:t>
      </w:r>
    </w:p>
    <w:p>
      <w:pPr>
        <w:spacing w:after="80" w:line="300" w:lineRule="auto"/>
      </w:pPr>
      <w:r>
        <w:t>• Giả định Thiệt hại của Quyết định Sai (Y): Y = 5.000.000 VNĐ. Quyết định sai sót nghiêm trọng nhất của hệ thống là sai lầm loại 1 (False Positive Error: mô hình dự báo hồ sơ An toàn nhưng thực tế hồ sơ vi phạm an toàn PCCC hoặc dự toán vượt khung quy chế DUE dẫn đến khi diễn ra chương trình xảy ra sự cố cháy chập điện, mất an ninh trật tự, chương trình bị đình chỉ khẩn cấp, trường phải đền bù hợp đồng âm thanh ánh sáng và xử lý khủng hoảng truyền thông). Chi phí khắc phục, xử lý kỷ luật và thiệt hại vật chất tối thiểu ước tính là 5.000.000 VNĐ/vụ việc.</w:t>
      </w:r>
    </w:p>
    <w:p>
      <w:pPr>
        <w:spacing w:after="80" w:line="300" w:lineRule="auto"/>
      </w:pPr>
      <w:r>
        <w:t>Tỷ số tổn thất (Loss Ratio): r = Y / X = 5.000.000 / 100.000 = 50 lần. Điều này phản ánh tính chất đặc thù trong quản lý trường đại học: việc để lọt một sự kiện mất an toàn gây ra thiệt hại nghiêm trọng gấp 50 lần chi phí bỏ ra để chuyên viên kiểm tra thủ công.</w:t>
      </w:r>
    </w:p>
    <w:p>
      <w:pPr>
        <w:spacing w:after="80" w:line="300" w:lineRule="auto"/>
      </w:pPr>
      <w:r>
        <w:t>3.2.3. Mô hình toán học xác định ngưỡng tối ưu</w:t>
      </w:r>
    </w:p>
    <w:p>
      <w:pPr>
        <w:spacing w:after="80" w:line="300" w:lineRule="auto"/>
      </w:pPr>
      <w:r>
        <w:t>Gọi p là xác suất mô hình AI dự báo hồ sơ thuộc nhóm 'Đạt chuẩn / An toàn' (độ tin cậy của mô hình). Hệ thống đứng trước 2 phương án xử lý:</w:t>
      </w:r>
    </w:p>
    <w:p>
      <w:pPr>
        <w:spacing w:after="80" w:line="300" w:lineRule="auto"/>
      </w:pPr>
      <w:r>
        <w:t>• Phương án 1: Tự động thông qua sơ bộ. Nếu hồ sơ thực sự an toàn (xác suất p), chi phí phát sinh bằng 0. Nếu hồ sơ thực chất có rủi ro nghiêm trọng (xác suất 1 - p), hệ thống phải gánh chịu thiệt hại Y. Chi phí kỳ vọng của phương án tự động là:</w:t>
      </w:r>
    </w:p>
    <w:p>
      <w:pPr>
        <w:spacing w:after="80" w:line="300" w:lineRule="auto"/>
      </w:pPr>
      <w:r>
        <w:t xml:space="preserve">    E[C_auto] = (1 - p) * Y</w:t>
      </w:r>
    </w:p>
    <w:p>
      <w:pPr>
        <w:spacing w:after="80" w:line="300" w:lineRule="auto"/>
      </w:pPr>
      <w:r>
        <w:t>• Phương án 2: Chuyển cho chuyên viên thẩm định thủ công. Bất kể hồ sơ tốt hay xấu, Nhà trường phải bỏ ra chi phí nhân công cố định X. Chi phí kỳ vọng của phương án thủ công là:</w:t>
      </w:r>
    </w:p>
    <w:p>
      <w:pPr>
        <w:spacing w:after="80" w:line="300" w:lineRule="auto"/>
      </w:pPr>
      <w:r>
        <w:t xml:space="preserve">    E[C_manual] = X</w:t>
      </w:r>
    </w:p>
    <w:p>
      <w:pPr>
        <w:spacing w:after="80" w:line="300" w:lineRule="auto"/>
      </w:pPr>
      <w:r>
        <w:t>Hệ thống chỉ nên tự động thông qua khi và chỉ khi chi phí kỳ vọng khi tự động hóa nhỏ hơn hoặc bằng chi phí kiểm tra thủ công:</w:t>
      </w:r>
    </w:p>
    <w:p>
      <w:pPr>
        <w:spacing w:after="80" w:line="300" w:lineRule="auto"/>
      </w:pPr>
      <w:r>
        <w:t xml:space="preserve">    E[C_auto] &lt;= E[C_manual]  &lt;=&gt;  (1 - p) * Y &lt;= X  &lt;=&gt;  1 - p &lt;= X / Y  &lt;=&gt;  p &gt;= 1 - (X / Y)</w:t>
      </w:r>
    </w:p>
    <w:p>
      <w:pPr>
        <w:spacing w:after="80" w:line="300" w:lineRule="auto"/>
      </w:pPr>
      <w:r>
        <w:t>Thay giá trị X = 100.000 VNĐ và Y = 5.000.000 VNĐ vào công thức, ta xác định được ngưỡng độ tin cậy tối ưu lý thuyết:</w:t>
      </w:r>
    </w:p>
    <w:p>
      <w:pPr>
        <w:spacing w:after="80" w:line="300" w:lineRule="auto"/>
      </w:pPr>
      <w:r>
        <w:t xml:space="preserve">    T* = 1 - (100.000 / 5.000.000) = 1 - 0.02 = 0.98 (tương đương 98.00%)</w:t>
      </w:r>
    </w:p>
    <w:p>
      <w:pPr>
        <w:keepNext/>
        <w:spacing w:before="80" w:after="80"/>
        <w:jc w:val="center"/>
      </w:pPr>
      <w:r>
        <w:rPr>
          <w:rFonts w:ascii="Times New Roman" w:hAnsi="Times New Roman"/>
          <w:b/>
          <w:i/>
          <w:color w:val="334155"/>
          <w:sz w:val="22"/>
        </w:rPr>
        <w:t>Bảng 3.2: Bảng khảo sát chi phí kỳ vọng và xác định ngưỡng độ tin cậy tối ưu</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701"/>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Xác suất tin cậy (p)</w:t>
            </w:r>
          </w:p>
        </w:tc>
        <w:tc>
          <w:tcPr>
            <w:tcW w:type="dxa" w:w="1701"/>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Xác suất sai sót (1-p)</w:t>
            </w:r>
          </w:p>
        </w:tc>
        <w:tc>
          <w:tcPr>
            <w:tcW w:type="dxa" w:w="198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E[C_auto] (VNĐ)</w:t>
            </w:r>
          </w:p>
        </w:tc>
        <w:tc>
          <w:tcPr>
            <w:tcW w:type="dxa" w:w="198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E[C_manual] (VNĐ)</w:t>
            </w:r>
          </w:p>
        </w:tc>
        <w:tc>
          <w:tcPr>
            <w:tcW w:type="dxa" w:w="2268"/>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Chênh lệch (Auto - Manual)</w:t>
            </w:r>
          </w:p>
        </w:tc>
        <w:tc>
          <w:tcPr>
            <w:tcW w:type="dxa" w:w="198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Quyết định tối ưu</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50.00%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50.00%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2.500.000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+2.400.000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60.00%</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40.00%</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2.000.000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+1.900.000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70.00%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30.00%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1.500.000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+1.400.000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80.00%</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20.00%</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+900.000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85.00%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15.00%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750.000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+650.000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90.00%</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10.00%</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500.000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+400.000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95.00%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5.00%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250.000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96.00%</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4.00%</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200.000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97.00%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3.00%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người duyệt</w:t>
            </w:r>
          </w:p>
        </w:tc>
      </w:tr>
      <w:tr>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98.00% (T*)</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2.00%</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0 ₫</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Bắt đầu tự động duyệt</w:t>
            </w:r>
          </w:p>
        </w:tc>
      </w:tr>
      <w:tr>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99.00%</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1.00%</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100.000 ₫</w:t>
            </w:r>
          </w:p>
        </w:tc>
        <w:tc>
          <w:tcPr>
            <w:tcW w:type="dxa" w:w="2268"/>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right"/>
            </w:pPr>
            <w:r>
              <w:rPr>
                <w:rFonts w:ascii="Times New Roman" w:hAnsi="Times New Roman"/>
                <w:color w:val="1E293B"/>
                <w:sz w:val="20"/>
              </w:rPr>
              <w:t>-50.000 ₫</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Tự động thông qua</w:t>
            </w:r>
          </w:p>
        </w:tc>
      </w:tr>
    </w:tbl>
    <w:p/>
    <w:p>
      <w:pPr>
        <w:spacing w:after="80" w:line="300" w:lineRule="auto"/>
      </w:pPr>
      <w:r>
        <w:t>3.2.4. Phân tích lập luận và Cơ chế Fallback (Human-in-the-loop)</w:t>
      </w:r>
    </w:p>
    <w:p>
      <w:pPr>
        <w:spacing w:after="80" w:line="300" w:lineRule="auto"/>
      </w:pPr>
      <w:r>
        <w:t>Lập luận lựa chọn: Từ Bảng 3.2 cho thấy, nếu chấp nhận tự động thông qua hồ sơ ở mức độ tin cậy 90% (tức rủi ro sai sót 10%), chi phí rủi ro kỳ vọng lên tới 500.000 VNĐ/hồ sơ, cao gấp 5 lần chi phí thẩm định của con người. Do đó, việc thiết lập ngưỡng khắt khe T* = 98.00% là hoàn toàn có cơ sở khoa học và phù hợp với yêu cầu quản trị rủi ro tại Trường Đại học Kinh tế – ĐHĐN.</w:t>
      </w:r>
    </w:p>
    <w:p>
      <w:pPr>
        <w:spacing w:after="80" w:line="300" w:lineRule="auto"/>
      </w:pPr>
      <w:r>
        <w:t>Cơ chế Fallback (Human-in-the-loop): Trong trường hợp mô hình AI đưa ra điểm tin cậy p &lt; 98.00% (hoặc phát hiện bất kỳ cảnh báo mức độ WARNING nào về an toàn/ngân sách), hệ thống KHÔNG tự ý từ chối hồ sơ sinh viên, mà tự động kích hoạt cơ chế Fallback an toàn:</w:t>
      </w:r>
    </w:p>
    <w:p>
      <w:pPr>
        <w:spacing w:after="80" w:line="300" w:lineRule="auto"/>
      </w:pPr>
      <w:r>
        <w:t>1. Khóa tính năng Fast-track bypass.</w:t>
      </w:r>
    </w:p>
    <w:p>
      <w:pPr>
        <w:spacing w:after="80" w:line="300" w:lineRule="auto"/>
      </w:pPr>
      <w:r>
        <w:t>2. Trích xuất toàn bộ báo cáo phân tích AI (điểm số, các điều khoản có nguy cơ, gợi ý chỉnh sửa).</w:t>
      </w:r>
    </w:p>
    <w:p>
      <w:pPr>
        <w:spacing w:after="80" w:line="300" w:lineRule="auto"/>
      </w:pPr>
      <w:r>
        <w:t>3. Đẩy hồ sơ vào Hàng đợi xét duyệt (Approval Queue) của Ban Chủ nhiệm Khoa kèm nhãn cảnh báo vàng 'Cần thẩm định trọng điểm'.</w:t>
      </w:r>
    </w:p>
    <w:p>
      <w:pPr>
        <w:spacing w:after="80" w:line="300" w:lineRule="auto"/>
      </w:pPr>
      <w:r>
        <w:t>4. Con người (BCN Khoa / Đoàn Trường) sẽ giữ vai trò thẩm quyền ra quyết định phê duyệt cuối cùng. Cơ chế này đã được nhóm hiện thực hóa thành file bảng tính đính kèm BANG_TINH_NGUONG.xlsx với đầy đủ công thức động để kiểm tra và đối chiếu.</w:t>
      </w:r>
    </w:p>
    <w:p>
      <w:pPr>
        <w:keepNext/>
        <w:spacing w:before="320" w:after="120"/>
      </w:pPr>
      <w:r>
        <w:rPr>
          <w:rFonts w:ascii="Times New Roman" w:hAnsi="Times New Roman"/>
          <w:b/>
          <w:color w:val="075F9F"/>
          <w:sz w:val="32"/>
        </w:rPr>
        <w:t>3.3. Thiết kế phần mềm (khung IDEA: Design)</w:t>
      </w:r>
    </w:p>
    <w:p>
      <w:pPr>
        <w:keepNext/>
        <w:spacing w:before="240" w:after="80"/>
      </w:pPr>
      <w:r>
        <w:rPr>
          <w:rFonts w:ascii="Times New Roman" w:hAnsi="Times New Roman"/>
          <w:b/>
          <w:color w:val="0F172A"/>
          <w:sz w:val="28"/>
        </w:rPr>
        <w:t>3.3.1. Ngăn xếp công nghệ và các quyết định kiến trúc then chốt</w:t>
      </w:r>
    </w:p>
    <w:p>
      <w:pPr>
        <w:spacing w:after="80" w:line="300" w:lineRule="auto"/>
      </w:pPr>
      <w:r>
        <w:t>Hệ thống MY DUE (EventFlow) được xây dựng theo kiến trúc phân tầng hiện đại (Multi-tier Architecture), phân tách hoàn toàn giữa giao diện người dùng (Frontend), tầng dịch vụ nghiệp vụ (Backend API) và cơ sở dữ liệu quan hệ (Database):</w:t>
      </w:r>
    </w:p>
    <w:p>
      <w:pPr>
        <w:spacing w:after="80" w:line="300" w:lineRule="auto"/>
      </w:pPr>
      <w:r>
        <w:t>• Ngăn xếp Frontend: Phát triển trên nền tảng React 19 kết hợp ngôn ngữ TypeScript và công cụ đóng gói Vite 6. Giao diện được thiết kế hiện đại bằng Tailwind CSS v4 tuân thủ Hệ thống nhận diện thương hiệu DUE (Màu xanh chủ đạo DUE Blue #075F9F, Màu xanh lá duyệt #0E9045, Màu cam cảnh báo #F36B21). Thư viện Recharts hỗ trợ trực quan hóa thống kê thời gian thực; Lucide React Icons hỗ trợ hệ thống biểu tượng trực quan; React Router v7 quản lý định tuyến Single Page Application (SPA).</w:t>
      </w:r>
    </w:p>
    <w:p>
      <w:pPr>
        <w:spacing w:after="80" w:line="300" w:lineRule="auto"/>
      </w:pPr>
      <w:r>
        <w:t>• Ngăn xếp Backend: Xây dựng bằng Node.js và Express framework với ngôn ngữ TypeScript. Động cơ Object-Relational Mapping (ORM) sử dụng Prisma ORM phiên bản 5.22. Hệ thống áp dụng thư viện Zod để kiểm thực (validate) chặt chẽ toàn bộ payload đầu vào; JsonWebToken (JWT) và Bcryptjs quản lý phiên xác thực an toàn; Helmet và CORS bảo vệ ứng dụng trước các tấn công web phổ biến.</w:t>
      </w:r>
    </w:p>
    <w:p>
      <w:pPr>
        <w:spacing w:after="80" w:line="300" w:lineRule="auto"/>
      </w:pPr>
      <w:r>
        <w:t>• Cơ chế trao đổi dữ liệu: 100% giao tiếp giữa Frontend và Backend thực hiện qua giao thức RESTful HTTP/HTTPS sử dụng định dạng JSON chuẩn mực. Tệp đính kèm được truyền qua Multipart FormData và phục vụ tĩnh có kiểm soát.</w:t>
      </w:r>
    </w:p>
    <w:p>
      <w:pPr>
        <w:spacing w:after="80" w:line="300" w:lineRule="auto"/>
      </w:pPr>
      <w:r>
        <w:t>Bốn quyết định kiến trúc then chốt được nhóm tự đưa ra:</w:t>
      </w:r>
    </w:p>
    <w:p>
      <w:pPr>
        <w:spacing w:after="80" w:line="300" w:lineRule="auto"/>
      </w:pPr>
      <w:r>
        <w:t>1. Nơi lưu trữ dữ liệu (Data Storage): Lựa chọn cơ sở dữ liệu quan hệ SQLite (tệp cục bộ prisma/dev.db) kết hợp Prisma ORM. Lý do: Dữ liệu quy trình sự kiện tại DUE có tính quan hệ chặt chẽ (1 sự kiện có nhiều mục dự toán, nhiều khung giờ, nhiều quyết định duyệt và lịch sử vết). SQLite mang lại sự gọn nhẹ, di động cao, không đòi hỏi cấu hình server CSDL phức tạp, đồng thời hỗ trợ đầy đủ tính chất ACID và Database Transactions để bảo đảm toàn vẹn khi chuyển trạng thái.</w:t>
      </w:r>
    </w:p>
    <w:p>
      <w:pPr>
        <w:spacing w:after="80" w:line="300" w:lineRule="auto"/>
      </w:pPr>
      <w:r>
        <w:t>2. Cách thức phân quyền (Authorization Mechanism): Áp dụng mô hình Kiểm soát truy cập dựa trên vai trò (Role-Based Access Control - RBAC). Hệ thống định nghĩa 6 vai trò chuyên trách: BTC (Ban Tổ chức sự kiện), BCN_KHOA (Ban Chủ nhiệm Khoa), DOAN_TRUONG (Văn phòng Đoàn Trường), CSVC (Phòng Cơ sở vật chất), KHTC (Phòng Kế hoạch Tài chính) và ADMIN (Quản trị viên hệ thống). Middleware authorize() và động cơ State Machine transitions kiểm tra chặt chẽ vai trò của người gọi trước khi cho phép thực hiện bất kỳ hành động chuyển trạng thái nào.</w:t>
      </w:r>
    </w:p>
    <w:p>
      <w:pPr>
        <w:spacing w:after="80" w:line="300" w:lineRule="auto"/>
      </w:pPr>
      <w:r>
        <w:t>3. Nơi triển khai ứng dụng (Deployment Strategy): Ứng dụng được cấu hình để triển khai on-premise trên máy chủ mạng nội bộ (Intranet) của Trường Đại học Kinh tế – ĐHĐN (Backend lắng nghe tại cổng 3001, Frontend chạy qua Vite preview tại cổng 5173 và mở ra mạng Wi-Fi/LAN 0.0.0.0). Mô hình này đảm bảo toàn vẹn dữ liệu nội bộ trường, không làm lộ thông tin nhạy cảm của sinh viên ra ngoài Internet công cộng.</w:t>
      </w:r>
    </w:p>
    <w:p>
      <w:pPr>
        <w:spacing w:after="80" w:line="300" w:lineRule="auto"/>
      </w:pPr>
      <w:r>
        <w:t>4. Bảo vệ khóa bí mật và thông tin nhạy cảm (Secrets Management): Áp dụng chuẩn Twelve-Factor App. Toàn bộ thông tin cấu hình nhạy cảm (JWT_SECRET, DATABASE_URL, PORT, AI_API_KEY) được lưu trữ độc lập trong tệp biến môi trường .env và đọc qua dotenv. Tệp .env và database được đưa vào .gitignore, tuyệt đối không commit lên kho mã nguồn Git. Mật khẩu người dùng được băm một chiều bằng thuật toán Bcrypt với hệ số muối (salt rounds) bằng 10; mã thông báo JWT có thời hạn sử dụng giới hạn.</w:t>
      </w:r>
    </w:p>
    <w:p>
      <w:pPr>
        <w:keepNext/>
        <w:spacing w:before="240" w:after="80"/>
      </w:pPr>
      <w:r>
        <w:rPr>
          <w:rFonts w:ascii="Times New Roman" w:hAnsi="Times New Roman"/>
          <w:b/>
          <w:color w:val="0F172A"/>
          <w:sz w:val="28"/>
        </w:rPr>
        <w:t>3.3.2. Mô hình dữ liệu và cơ sở dữ liệu quan hệ</w:t>
      </w:r>
    </w:p>
    <w:p>
      <w:pPr>
        <w:spacing w:after="80" w:line="300" w:lineRule="auto"/>
      </w:pPr>
      <w:r>
        <w:t>Cơ sở dữ liệu của hệ thống MY DUE bao gồm 22 bảng (Prisma models) chuẩn hóa ở mức dạng chuẩn 3NF, phản ánh trọn vẹn vòng đời sự kiện sinh viên:</w:t>
      </w:r>
    </w:p>
    <w:p>
      <w:pPr>
        <w:keepNext/>
        <w:spacing w:before="80" w:after="80"/>
        <w:jc w:val="center"/>
      </w:pPr>
      <w:r>
        <w:rPr>
          <w:rFonts w:ascii="Times New Roman" w:hAnsi="Times New Roman"/>
          <w:b/>
          <w:i/>
          <w:color w:val="334155"/>
          <w:sz w:val="22"/>
        </w:rPr>
        <w:t>Bảng 3.3: Danh mục các bảng thực thể cốt lõi trong cơ sở dữ liệu MY DUE</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Tên Bảng (Model)</w:t>
            </w:r>
          </w:p>
        </w:tc>
        <w:tc>
          <w:tcPr>
            <w:tcW w:type="dxa" w:w="141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Khóa chính (PK)</w:t>
            </w:r>
          </w:p>
        </w:tc>
        <w:tc>
          <w:tcPr>
            <w:tcW w:type="dxa" w:w="198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Khóa ngoại chính (FK)</w:t>
            </w:r>
          </w:p>
        </w:tc>
        <w:tc>
          <w:tcPr>
            <w:tcW w:type="dxa" w:w="4422"/>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Mục đích nghiệp vụ &amp; Quan hệ dữ liệu</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User</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None</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Lưu trữ tài khoản người dùng, email, mật khẩu băm, vai trò (role) và đơn vị trực thuộc (department).</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createdById (User)</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Bảng trung tâm lưu hồ sơ sự kiện: mã sự kiện, tên, mục tiêu, số người, thời gian, trạng thái (status).</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EventVersion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(Event)</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lý lịch sử phiên bản hồ sơ; chống xung đột ghi đè khi nhiều người cùng truy cập.</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BudgetItem</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(Event)</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Danh mục các khoản mục dự trù kinh phí: danh mục, số lượng, đơn giá, thành tiền.</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EventScheduleItem</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(Event)</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Lịch trình chi tiết sự kiện theo từng khung giờ, hoạt động và nhân sự phụ trách.</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ApprovalDecision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decidedById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Lưu trữ quyết định thẩm định chính thức: giai đoạn (stage), quyết định (APPROVED/REJECTED), nhận xét.</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WorkflowHistory</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actorId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Audit log ghi vết toàn bộ lịch sử chuyển dịch trạng thái: fromStatus, toStatus, action, thời gian.</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Attachment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uploadedById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lý tệp đính kèm: tên tệp, định dạng MIME, kích thước và đường dẫn lưu trữ trên đĩa.</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Facility</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None</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Danh mục hội trường, phòng đa năng: mã phòng, tên, địa điểm, sức chứa tối đa, trang thiết bị đi kèm.</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Equipment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None</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Danh mục thiết bị mượn: mã thiết bị, tên, chủng loại, tổng số lượng trong kho CSVC.</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ResourceBooking</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facilityId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Phiếu đăng ký giữ chỗ hội trường: thời gian bắt đầu, kết thúc, trạng thái đặt phòng (PENDING/CONFIRMED).</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ResourceBookingItem</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bookingId, equipmentId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Chi tiết các trang thiết bị mượn kèm theo phiếu đặt phòng và số lượng yêu cầu.</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HandoverRecord</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handoverById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Biên bản bàn giao cơ sở vật chất trước sự kiện hoặc sau sự kiện giữa CSVC và BTC.</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ReturnInspection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inspectedById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Biên bản kiểm tra nghiệm thu tài sản khi hoàn trả sau khi kết thúc sự kiện.</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IncidentReport</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reportedById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Biên bản ghi nhận sự cố hư hại thiết bị, tài sản kèm mô tả nguyên nhân và hướng xử lý.</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Settlement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submittedById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Bảng tổng hợp quyết toán tài chính: tổng dự toán, tổng thực chi, chênh lệch ngân sách.</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SettlementItem</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settlementId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Chi tiết từng khoản mục chi tiêu thực tế đối chiếu với dự toán ban đầu.</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FinancialDocument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settlementId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lý hóa đơn tài chính VAT, phiếu thu, phiếu chi và trạng thái xác thực của kế toán KHTC.</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EventReport</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eventId (Unique)</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Báo cáo tổng kết sự kiện: số người tham dự thực tế, kết quả đạt được, bài học kinh nghiệm.</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Notification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userId, eventId</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Hệ thống thông báo đẩy nội bộ: tiêu đề, nội dung, loại thông báo, trạng thái đã đọc (isRead).</w:t>
            </w:r>
          </w:p>
        </w:tc>
      </w:tr>
      <w:tr>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AuditLog</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userId</w:t>
            </w:r>
          </w:p>
        </w:tc>
        <w:tc>
          <w:tcPr>
            <w:tcW w:type="dxa" w:w="442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Nhật ký an ninh hệ thống: ghi vết các thao tác quan trọng, địa chỉ IP và tác vụ quản trị.</w:t>
            </w:r>
          </w:p>
        </w:tc>
      </w:tr>
      <w:tr>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SystemSetting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id (UUID)</w:t>
            </w:r>
          </w:p>
        </w:tc>
        <w:tc>
          <w:tcPr>
            <w:tcW w:type="dxa" w:w="198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None</w:t>
            </w:r>
          </w:p>
        </w:tc>
        <w:tc>
          <w:tcPr>
            <w:tcW w:type="dxa" w:w="442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Lưu trữ cấu hình tham số hệ thống và dữ liệu sao lưu phiên bản cũ dạng JSON.</w:t>
            </w:r>
          </w:p>
        </w:tc>
      </w:tr>
    </w:tbl>
    <w:p/>
    <w:p>
      <w:pPr>
        <w:keepNext/>
        <w:spacing w:before="240" w:after="80"/>
      </w:pPr>
      <w:r>
        <w:rPr>
          <w:rFonts w:ascii="Times New Roman" w:hAnsi="Times New Roman"/>
          <w:b/>
          <w:color w:val="0F172A"/>
          <w:sz w:val="28"/>
        </w:rPr>
        <w:t>3.3.3. Thiết kế giao diện người dùng theo vai trò</w:t>
      </w:r>
    </w:p>
    <w:p>
      <w:pPr>
        <w:spacing w:after="80" w:line="300" w:lineRule="auto"/>
      </w:pPr>
      <w:r>
        <w:t>Giao diện người dùng của MY DUE được thiết kế hướng nhiệm vụ (Task-oriented UI), tối ưu hóa trải nghiệm người dùng theo các nguyên lý công thái học phần mềm: Quy tắc 3 Click (người dùng tiếp cận mọi tính năng quan trọng trong tối đa 3 lần nhấp chuột), Định luật Fitts (nút hành động phê duyệt to rõ, màu sắc phân biệt) và Phân vùng không gian làm việc chuyên biệt cho 6 vai trò nghiệp vụ:</w:t>
      </w:r>
    </w:p>
    <w:p>
      <w:pPr>
        <w:keepNext/>
        <w:spacing w:before="80" w:after="80"/>
        <w:jc w:val="center"/>
      </w:pPr>
      <w:r>
        <w:rPr>
          <w:rFonts w:ascii="Times New Roman" w:hAnsi="Times New Roman"/>
          <w:b/>
          <w:i/>
          <w:color w:val="334155"/>
          <w:sz w:val="22"/>
        </w:rPr>
        <w:t>Bảng 3.4: Danh mục màn hình và phân quyền thao tác nghiệp vụ theo vai trò</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020"/>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Mã màn hình</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Tên màn hình</w:t>
            </w:r>
          </w:p>
        </w:tc>
        <w:tc>
          <w:tcPr>
            <w:tcW w:type="dxa" w:w="141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Đường dẫn URL</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Vai trò truy cập</w:t>
            </w:r>
          </w:p>
        </w:tc>
        <w:tc>
          <w:tcPr>
            <w:tcW w:type="dxa" w:w="3572"/>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Mục đích nghiệp vụ &amp; Thao tác chính</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SCR-01</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Bảng điều khiển trung tâm</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/dashboard</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Xem số liệu thống kê tổng quan, tiến độ các sự kiện gần đây và truy cập nhanh chức năng nghiệp vụ.</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SCR-02</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 hệ thống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/login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thực danh tính bằng email/mật khẩu DUE, cấp token JWT và hỗ trợ chuyển đổi nhanh tài khoản demo.</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SCR-03</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Khởi tạo hồ sơ sự kiện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/events/create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Biểu mẫu E-Form 5 bước: Thông tin chung -&gt; Lịch trình -&gt; Dự trù kinh phí -&gt; Đăng ký địa điểm -&gt; Kế hoạch an toàn.</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SCR-04</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Danh sách hồ sơ sự kiện</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Xem toàn bộ sự kiện theo lưới thẻ/bảng, tìm kiếm theo từ khóa, lọc theo trạng thái vòng đời.</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SCR-05</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Chi tiết hồ sơ sự kiện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/events/:id</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Giao diện tích hợp 9 tab nghiệp vụ: Tổng quan, Kịch bản, Dự toán, CSVC, Nghiệm thu, Báo cáo, Quyết toán, Tệp đính kèm, Lịch sử.</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SCR-06</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Hàng đợi xét duyệt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/approval-queue</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 Đoàn, CSVC, KHTC</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Màn hình chuyên trách hiển thị các hồ sơ đang chờ vai trò hiện tại phê duyệt; thao tác Duyệt/Sửa/Từ chối 1 chạm.</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SCR-07</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Chỉnh sửa hồ sơ</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/events/:id/edit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Cập nhật lại kế hoạch, dự toán khi nhận được yêu cầu chỉnh sửa từ BCN Khoa hoặc Đoàn trường.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SCR-08</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lý cơ sở vật chất</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/facilities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BTC, ADMIN</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Xem danh mục hội trường, trang thiết bị, kiểm tra tình trạng khả dụng và thông số kỹ thuật.</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SCR-09</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Lịch đặt phòng toàn trường</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/calendar</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Lưới lịch dùng chung (Shared Calendar) trực quan hóa các khung giờ đã có sự kiện đăng ký, phát hiện trùng lịch.</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SCR-10</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&amp; Nghiệm thu</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/handover</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BTC, ADMIN</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Lập biên bản bàn giao CSVC trước sự kiện, biên bản kiểm tra hoàn trả và biên bản xử lý sự cố tài sản.</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SCR-11</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Báo cáo tổng kết sự kiện</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/events/:id/report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Đoàn Trường</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Trình soạn thảo báo cáo tổng kết tích hợp nút AI hỗ trợ điền sẵn bản nháp và nộp báo cáo chính thức.</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SCR-12</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&amp; Chứng từ</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/settlements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KHTC, ADMIN</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Bảng kê quyết toán thực tế đối chiếu dự toán, tải lên hóa đơn VAT điện tử và thẩm định giải ngân.</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SCR-13</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Rà soát &amp; Đánh giá AI</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/ai-review</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Chấm điểm độ hoàn thiện hồ sơ (0-100), phân tích mức độ an toàn PCCC, tỷ trọng ngân sách và khuyến nghị.</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SCR-14</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Trung tâm thông báo</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/notifications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Tất cả vai trò</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Danh sách thông báo điều hành theo thời gian thực, đánh dấu đã đọc và điều hướng trực tiếp đến hồ sơ cần xử lý.</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SCR-15</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&amp; Báo cáo</w:t>
            </w:r>
          </w:p>
        </w:tc>
        <w:tc>
          <w:tcPr>
            <w:tcW w:type="dxa" w:w="141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/analytics</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KHTC, ADMIN</w:t>
            </w:r>
          </w:p>
        </w:tc>
        <w:tc>
          <w:tcPr>
            <w:tcW w:type="dxa" w:w="3572"/>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Biểu đồ phân tích hiệu suất quy trình: thời gian xử lý chu trình, tỷ lệ phê duyệt, cơ cấu giải ngân ngân sách.</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SCR-16</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trị người dùng</w:t>
            </w:r>
          </w:p>
        </w:tc>
        <w:tc>
          <w:tcPr>
            <w:tcW w:type="dxa" w:w="141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ADMIN</w:t>
            </w:r>
          </w:p>
        </w:tc>
        <w:tc>
          <w:tcPr>
            <w:tcW w:type="dxa" w:w="3572"/>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Quản lý tài khoản cán bộ, giảng viên, sinh viên, gán vai trò và phân quyền đơn vị công tác.</w:t>
            </w:r>
          </w:p>
        </w:tc>
      </w:tr>
    </w:tbl>
    <w:p/>
    <w:p>
      <w:pPr>
        <w:keepNext/>
        <w:spacing w:before="240" w:after="80"/>
      </w:pPr>
      <w:r>
        <w:rPr>
          <w:rFonts w:ascii="Times New Roman" w:hAnsi="Times New Roman"/>
          <w:b/>
          <w:color w:val="0F172A"/>
          <w:sz w:val="28"/>
        </w:rPr>
        <w:t>3.3.4. Xây dựng API và xử lý nghiệp vụ</w:t>
      </w:r>
    </w:p>
    <w:p>
      <w:pPr>
        <w:spacing w:after="80" w:line="300" w:lineRule="auto"/>
      </w:pPr>
      <w:r>
        <w:t>Kiến trúc API của hệ thống MY DUE được thiết kế theo tiêu chuẩn RESTful, sử dụng kiến trúc định tuyến hướng module của Express framework. Khảo sát thực tế toàn bộ mã nguồn backend ghi nhận hệ thống có tổng cộng 55 khai báo route handler logic độc lập (và 71 endpoint có thể tiếp nhận yêu cầu do router booking được mount đồng thời tại 3 đường dẫn). Toàn bộ API đều trả về định dạng chuẩn JSON đồng nhất:</w:t>
      </w:r>
    </w:p>
    <w:p>
      <w:pPr>
        <w:spacing w:after="80" w:line="300" w:lineRule="auto"/>
      </w:pPr>
      <w:r>
        <w:t xml:space="preserve">    { "success": true, "data": { ... }, "message": "..." }</w:t>
      </w:r>
    </w:p>
    <w:p>
      <w:pPr>
        <w:spacing w:after="80" w:line="300" w:lineRule="auto"/>
      </w:pPr>
      <w:r>
        <w:t>Trường hợp có lỗi nghiệp vụ hoặc dữ liệu đầu vào không hợp lệ:</w:t>
      </w:r>
    </w:p>
    <w:p>
      <w:pPr>
        <w:spacing w:after="80" w:line="300" w:lineRule="auto"/>
      </w:pPr>
      <w:r>
        <w:t xml:space="preserve">    { "success": false, "error": "Thông báo lỗi cụ thể" }</w:t>
      </w:r>
    </w:p>
    <w:p>
      <w:pPr>
        <w:keepNext/>
        <w:spacing w:before="80" w:after="80"/>
        <w:jc w:val="center"/>
      </w:pPr>
      <w:r>
        <w:rPr>
          <w:rFonts w:ascii="Times New Roman" w:hAnsi="Times New Roman"/>
          <w:b/>
          <w:i/>
          <w:color w:val="334155"/>
          <w:sz w:val="22"/>
        </w:rPr>
        <w:t>Bảng 3.5: Thống kê và đặc tả các nhóm API thực tế đã triển khai trong mã nguồn MY DUE</w:t>
      </w:r>
    </w:p>
    <w:tbl>
      <w:tblPr>
        <w:tblW w:type="auto" w:w="0"/>
        <w:jc w:val="center"/>
        <w:tblLayout w:type="fixed"/>
        <w:tblLook w:firstColumn="1" w:firstRow="1" w:lastColumn="0" w:lastRow="0" w:noHBand="0" w:noVBand="1" w:val="04A0"/>
      </w:tblPr>
      <w:tblGrid>
        <w:gridCol w:w="1606"/>
        <w:gridCol w:w="1606"/>
        <w:gridCol w:w="1606"/>
        <w:gridCol w:w="1606"/>
        <w:gridCol w:w="1606"/>
        <w:gridCol w:w="1606"/>
      </w:tblGrid>
      <w:tr>
        <w:tc>
          <w:tcPr>
            <w:tcW w:type="dxa" w:w="1020"/>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HTTP Method</w:t>
            </w:r>
          </w:p>
        </w:tc>
        <w:tc>
          <w:tcPr>
            <w:tcW w:type="dxa" w:w="2381"/>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Đường dẫn API (Endpoint)</w:t>
            </w:r>
          </w:p>
        </w:tc>
        <w:tc>
          <w:tcPr>
            <w:tcW w:type="dxa" w:w="158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Nhóm nghiệp vụ</w:t>
            </w:r>
          </w:p>
        </w:tc>
        <w:tc>
          <w:tcPr>
            <w:tcW w:type="dxa" w:w="124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Quyền gọi (RBAC)</w:t>
            </w:r>
          </w:p>
        </w:tc>
        <w:tc>
          <w:tcPr>
            <w:tcW w:type="dxa" w:w="215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File mã nguồn xử lý</w:t>
            </w:r>
          </w:p>
        </w:tc>
        <w:tc>
          <w:tcPr>
            <w:tcW w:type="dxa" w:w="124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Tình trạng triển khai</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/api/auth/login</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thực (Auth)</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backend/src/routes/auth.routes.ts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/api/auth/me</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thực (Auth)</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backend/src/routes/auth.routes.ts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/api/auth/permissions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thực (Auth)</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backend/src/routes/auth.routes.ts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/api/auth/logout</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Xác thực (Auth)</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backend/src/routes/auth.routes.ts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/api/events/import-legacy</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DELETE</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/api/events/:id/submit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/api/events/:id/review</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Đoàn, CSVC, KHTC</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/api/events/:id/available-actions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/api/events/:id/history</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sự kiện (Events)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/api/events/:id/report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Báo cáo sự kiện (Report)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/api/events/:id/attachments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Tệp đính kèm (Files)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/api/events/:id/attachments/:attId/download</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Tệp đính kèm (Files)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backend/src/routes/event.routes.ts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(Stream nhị phân)</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/api/bookings/facilities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/api/bookings/equipment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/api/bookings/availability</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/api/bookings/:id/confirm</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/api/bookings/:id/reject</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/api/bookings/facilities/:id/calendar</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Cơ sở vật chất (CSVC)</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backend/src/routes/booking.routes.ts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/api/handover</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&amp; Nghiệm thu</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backend/src/routes/handover.routes.ts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/api/handover/inspection</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&amp; Nghiệm thu</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backend/src/routes/handover.routes.ts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/api/handover/incident</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&amp; Nghiệm thu</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backend/src/routes/handover.routes.ts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/api/handover/:eventId</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Bàn giao &amp; Nghiệm thu</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backend/src/routes/handover.routes.ts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/api/settlements/:eventId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/api/settlements/:id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/api/settlements/:id/submit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/api/settlements/:id/review</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/api/settlements/:id/documents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BTC, 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/api/settlements/documents/:docId/verify</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Quyết toán (Settlement)</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backend/src/routes/settlement.routes.ts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/api/notifications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(Notifications)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backend/src/routes/notification.routes.ts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/api/notifications/:id/read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(Notifications)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backend/src/routes/notification.routes.ts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/api/notifications/read-all</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(Notifications)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backend/src/routes/notification.routes.ts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/api/notifications/unread-count</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(Notifications)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backend/src/routes/notification.routes.ts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/api/ai/review</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Trí tuệ Nhân tạo (AI)</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backend/src/routes/ai.routes.ts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/api/ai/resource-suggestions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Trí tuệ Nhân tạo (AI)</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backend/src/routes/ai.routes.ts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/api/ai/generate-report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Trí tuệ Nhân tạo (AI)</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backend/src/routes/ai.routes.ts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/api/analytics/dashboard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/api/analytics/approvals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/api/analytics/processing-times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/api/analytics/budget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/api/analytics/resources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/api/analytics/export</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Thống kê (Analytics)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Đăng nhập</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backend/src/routes/analytics.routes.ts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(File CSV)</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/api/users</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Người dùng (Users)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backend/src/routes/user.routes.ts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POST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/api/users</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Người dùng (Users)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ADMIN</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backend/src/routes/user.routes.ts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PUT</w:t>
            </w:r>
          </w:p>
        </w:tc>
        <w:tc>
          <w:tcPr>
            <w:tcW w:type="dxa" w:w="238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/api/users/:id</w:t>
            </w:r>
          </w:p>
        </w:tc>
        <w:tc>
          <w:tcPr>
            <w:tcW w:type="dxa" w:w="158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Người dùng (Users)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ADMIN</w:t>
            </w:r>
          </w:p>
        </w:tc>
        <w:tc>
          <w:tcPr>
            <w:tcW w:type="dxa" w:w="215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backend/src/routes/user.routes.ts</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center"/>
            </w:pPr>
            <w:r>
              <w:rPr>
                <w:rFonts w:ascii="Times New Roman" w:hAnsi="Times New Roman"/>
                <w:color w:val="1E293B"/>
                <w:sz w:val="20"/>
              </w:rPr>
              <w:t>GET</w:t>
            </w:r>
          </w:p>
        </w:tc>
        <w:tc>
          <w:tcPr>
            <w:tcW w:type="dxa" w:w="238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/api/health</w:t>
            </w:r>
          </w:p>
        </w:tc>
        <w:tc>
          <w:tcPr>
            <w:tcW w:type="dxa" w:w="158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Hệ thống (Core)</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Public</w:t>
            </w:r>
          </w:p>
        </w:tc>
        <w:tc>
          <w:tcPr>
            <w:tcW w:type="dxa" w:w="215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backend/src/app.ts</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và hoạt động</w:t>
            </w:r>
          </w:p>
        </w:tc>
      </w:tr>
    </w:tbl>
    <w:p/>
    <w:p>
      <w:pPr>
        <w:keepNext/>
        <w:spacing w:before="160" w:after="60"/>
      </w:pPr>
      <w:r>
        <w:rPr>
          <w:rFonts w:ascii="Times New Roman" w:hAnsi="Times New Roman"/>
          <w:b/>
          <w:i/>
          <w:color w:val="1E293B"/>
          <w:sz w:val="26"/>
        </w:rPr>
        <w:t>Luồng xử lý nghiệp vụ xét duyệt hồ sơ từ đầu đến cuối (End-to-End API Flow)</w:t>
      </w:r>
    </w:p>
    <w:p>
      <w:pPr>
        <w:spacing w:after="80" w:line="300" w:lineRule="auto"/>
      </w:pPr>
      <w:r>
        <w:t>Quy trình tiếp nhận và xét duyệt hồ sơ sự kiện giữa BCH Liên Chi Đoàn và Ban Chủ nhiệm Khoa diễn ra theo chuỗi tương tác chặt chẽ:</w:t>
      </w:r>
    </w:p>
    <w:p>
      <w:pPr>
        <w:spacing w:after="80" w:line="300" w:lineRule="auto"/>
      </w:pPr>
      <w:r>
        <w:t>1. Khởi tạo và Lưu trữ: Cán bộ BCH nhập liệu hồ sơ 5 bước trên màn hình EventCreatePage. Khi nhấn 'Lưu hồ sơ', Frontend gửi HTTP POST /api/events kèm Bearer Token JWT. Backend tiếp nhận, chạy bộ lọc validate(createEventSchema), sinh mã sự kiện tự động theo định dạng SK-YYYY-XXXX (qua hàm generateEventCode), thực hiện Database Transaction để lưu bản ghi vào bảng Event, BudgetItem, EventScheduleItem, gán trạng thái DRAFT và trả về mã HTTP 201 Created.</w:t>
      </w:r>
    </w:p>
    <w:p>
      <w:pPr>
        <w:spacing w:after="80" w:line="300" w:lineRule="auto"/>
      </w:pPr>
      <w:r>
        <w:t>2. Nộp hồ sơ chính thức: Tại trang EventDetailPage, cán bộ BCH nhấn 'Nộp hồ sơ xét duyệt'. Frontend kích hoạt hàm api.submitEvent(id) gửi HTTP POST /api/events/:id/submit. Backend kiểm tra điều kiện tiên quyết: các trường bắt buộc không được để trống và trạng thái phải thuộc diện được nộp (DRAFT hoặc REVISION_REQUESTED). Trong một Transaction nguyên tử, hệ thống cập nhật Event.status = 'FACULTY_REVIEW', tăng currentVersion, ghi vết lịch sử WorkflowHistory với hành động SUBMIT, đồng thời truy vấn danh sách tài khoản có vai trò BCN_KHOA để tạo bản ghi thông báo mới trong bảng Notification.</w:t>
      </w:r>
    </w:p>
    <w:p>
      <w:pPr>
        <w:spacing w:after="80" w:line="300" w:lineRule="auto"/>
      </w:pPr>
      <w:r>
        <w:t>3. Tiếp nhận tại Ban Chủ nhiệm Khoa: Khi cán bộ BCN Khoa đăng nhập, EventContext tự động thực thi chu kỳ polling (5 giây/lần) gửi HTTP GET /api/events?limit=100. Danh sách sự kiện được đồng bộ về client. Trên trang ApprovalQueuePage, bộ lọc chuyên trách currentUser.role === 'BCN_KHOA' sẽ trích xuất đúng các hồ sơ có trạng thái FACULTY_REVIEW, hiển thị trực quan thông tin sự kiện kèm số ngày chờ xử lý.</w:t>
      </w:r>
    </w:p>
    <w:p>
      <w:pPr>
        <w:spacing w:after="80" w:line="300" w:lineRule="auto"/>
      </w:pPr>
      <w:r>
        <w:t>4. Thẩm định và Ra quyết định: BCN Khoa mở chi tiết hồ sơ, xem xét dự trù và nhấn nút 'Phê duyệt'. Frontend gửi HTTP POST /api/events/:id/review với payload { action: 'APPROVE', comments: '...' }. Backend gọi động cơ State Machine transitionState(): xác thực quyền BCN_KHOA được phép thực hiện APPROVE khi trạng thái là FACULTY_REVIEW; lưu bản ghi vào bảng ApprovalDecision; cập nhật trạng thái mới Event.status = 'UNIVERSITY_REVIEW'; ghi vết WorkflowHistory và tự động gửi thông báo điều hành đến tài khoản chuyên viên Đoàn Trường.</w:t>
      </w:r>
    </w:p>
    <w:p>
      <w:pPr>
        <w:keepNext/>
        <w:spacing w:before="240" w:after="80"/>
      </w:pPr>
      <w:r>
        <w:rPr>
          <w:rFonts w:ascii="Times New Roman" w:hAnsi="Times New Roman"/>
          <w:b/>
          <w:color w:val="0F172A"/>
          <w:sz w:val="28"/>
        </w:rPr>
        <w:t>3.3.5. Bảng ánh xạ BPMN To-Be vào tính năng phần mềm</w:t>
      </w:r>
    </w:p>
    <w:p>
      <w:pPr>
        <w:spacing w:after="80" w:line="300" w:lineRule="auto"/>
      </w:pPr>
      <w:r>
        <w:t>Để đảm bảo tính nhất quán tuyệt đối giữa mô hình quy trình thiết kế và phần mềm thực tế, Bảng 3.6 tổng hợp ma trận ánh xạ truy vết đầy đủ giữa các phần tử của ToBe_Nhom3.bpmn vào hệ thống MY DUE:</w:t>
      </w:r>
    </w:p>
    <w:p>
      <w:pPr>
        <w:keepNext/>
        <w:spacing w:before="80" w:after="80"/>
        <w:jc w:val="center"/>
      </w:pPr>
      <w:r>
        <w:rPr>
          <w:rFonts w:ascii="Times New Roman" w:hAnsi="Times New Roman"/>
          <w:b/>
          <w:i/>
          <w:color w:val="334155"/>
          <w:sz w:val="22"/>
        </w:rPr>
        <w:t>Bảng 3.6: Ma trận ánh xạ truy vết từ phần tử BPMN To-Be sang tính năng phần mềm</w:t>
      </w:r>
    </w:p>
    <w:tbl>
      <w:tblPr>
        <w:tblW w:type="auto" w:w="0"/>
        <w:jc w:val="center"/>
        <w:tblLayout w:type="fixed"/>
        <w:tblLook w:firstColumn="1" w:firstRow="1" w:lastColumn="0" w:lastRow="0" w:noHBand="0" w:noVBand="1" w:val="04A0"/>
      </w:tblPr>
      <w:tblGrid>
        <w:gridCol w:w="1377"/>
        <w:gridCol w:w="1377"/>
        <w:gridCol w:w="1377"/>
        <w:gridCol w:w="1377"/>
        <w:gridCol w:w="1377"/>
        <w:gridCol w:w="1377"/>
        <w:gridCol w:w="1377"/>
      </w:tblGrid>
      <w:tr>
        <w:tc>
          <w:tcPr>
            <w:tcW w:type="dxa" w:w="113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Loại phần tử</w:t>
            </w:r>
          </w:p>
        </w:tc>
        <w:tc>
          <w:tcPr>
            <w:tcW w:type="dxa" w:w="1247"/>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BPMN ID</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Tên phần tử BPMN</w:t>
            </w:r>
          </w:p>
        </w:tc>
        <w:tc>
          <w:tcPr>
            <w:tcW w:type="dxa" w:w="1020"/>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Vai trò (Lane)</w:t>
            </w:r>
          </w:p>
        </w:tc>
        <w:tc>
          <w:tcPr>
            <w:tcW w:type="dxa" w:w="1814"/>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Màn hình giao diện (UI)</w:t>
            </w:r>
          </w:p>
        </w:tc>
        <w:tc>
          <w:tcPr>
            <w:tcW w:type="dxa" w:w="1701"/>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API / Hàm xử lý Backend</w:t>
            </w:r>
          </w:p>
        </w:tc>
        <w:tc>
          <w:tcPr>
            <w:tcW w:type="dxa" w:w="1191"/>
            <w:shd w:fill="075F9F"/>
            <w:tcMar>
              <w:top w:w="120" w:type="dxa"/>
              <w:bottom w:w="120" w:type="dxa"/>
              <w:left w:w="150" w:type="dxa"/>
              <w:right w:w="150" w:type="dxa"/>
            </w:tcMar>
            <w:tcBorders>
              <w:top w:val="single" w:sz="6" w:space="0" w:color="054877"/>
              <w:left w:val="single" w:sz="6" w:space="0" w:color="054877"/>
              <w:bottom w:val="single" w:sz="6" w:space="0" w:color="054877"/>
              <w:right w:val="single" w:sz="6" w:space="0" w:color="054877"/>
            </w:tcBorders>
          </w:tcPr>
          <w:p>
            <w:pPr>
              <w:jc w:val="center"/>
            </w:pPr>
            <w:r>
              <w:rPr>
                <w:rFonts w:ascii="Times New Roman" w:hAnsi="Times New Roman"/>
                <w:b/>
                <w:color w:val="FFFFFF"/>
                <w:sz w:val="21"/>
              </w:rPr>
              <w:t>Tình trạng triển khai</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Prepare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Lập kế hoạch, dự trù và hồ sơ</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E-Form (/events/create)</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CheckFields</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Kiểm tra trường bắt buộc</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Inline Validation (/events/create)</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Middleware validate()</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AIReview</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rà soát nội dung và gợi ý sửa</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Rà soát AI (/ai-review)</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/api/ai/review</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BCHConfirm</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kiểm chứng, hoàn thiện hồ sơ</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Chi tiết hồ sơ (/events/:id)</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/api/events/:id</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SubmitKhoa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BCN Khoa</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Hộp thoại nộp hồ sơ</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/api/events/:id/submit</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Thẩm định kế hoạch / nội dung</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Hàng đợi duyệt (/approval-queue)</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/api/events</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Kết quả thẩm định Khoa?</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Modal xét duyệt Khoa</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/api/events/:id/review</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Tổng hợp góp ý và sửa hồ sơ</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Sửa hồ sơ (/events/:id/edit)</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/api/events/:id</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SignKhoa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Khoa ký xác nhận</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BCN Khoa</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Modal Ký duyệt điện tử</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transitionState(APPROVE)</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ForwardDoan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Đoàn trường</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Khoa</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Trạng thái tự động</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State Machine transition</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ReviewDoan</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 thẩm định hồ sơ</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Hàng đợi duyệt (/approval-queue)</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/api/events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GDoan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Kết quả thẩm định Đoàn trường?</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Modal phê duyệt Đoàn</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/api/events/:id/review</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FixDoan</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Chỉnh sửa theo góp ý Đoàn trường</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Sửa hồ sơ (/events/:id/edit)</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/api/events/:id</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ApproveDoan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Ký duyệt, đóng dấu kế hoạch</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Modal Cấp phép chính thức</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transitionState(APPROVE)</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FacilityForm</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Tạo đơn mượn CSVC</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Tab CSVC (/events/:id)</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/api/bookings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CheckSchedule</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Đối chiếu lịch / danh mục thiết bị</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Lưới lịch (/calendar)</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/api/bookings/availability</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AISuggest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gợi ý bố trí phòng và thiết bị</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Hộp thoại gợi ý CSVC</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/api/ai/resource-suggestions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FacilityUser</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xác minh và quyết định</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Hàng đợi CSVC (/approval-queue)</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/api/events</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GFacility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Đáp ứng cơ sở vật chất?</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Nút Duyệt / Báo trùng phòng</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/api/bookings/:id/confirm</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AdjustFacility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điều chỉnh lịch / thiết bị</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Tab CSVC (/events/:id)</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/api/events/:id</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ApproveFacility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xác nhận đặt phòng, thiết bị</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Phiếu cấp phòng điện tử</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/api/bookings/:id/confirm</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PrepareEvent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chuẩn bị và tổ chức sự kiện</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Tab Tổng quan (/events/:id)</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START_EVENT</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ReturnFacility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hoàn trả cơ sở vật chất</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Trang Nghiệm thu (/handover)</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END_EVENT</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VerifyReturn</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 kiểm tra tình trạng hoàn trả</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CSVC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Biên bản nghiệm thu (/handover)</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/api/events/:id/handover</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GReport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Yêu cầu báo cáo tổng kết?</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Đoàn Trường</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Quy chế nghiệp vụ</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Branching Rule logic</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bằng Rule</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AIReport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AI tạo bản nháp báo cáo</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Trình soạn thảo (/report)</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/api/ai/generate-report</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ở Backend</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ReviewReport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kiểm tra và xác nhận báo cáo</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Trang Báo cáo (/report)</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/api/events/:id/report</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AutoReport</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Gửi báo cáo đến Đoàn trường</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Nút Nộp báo cáo</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PUT /api/events/:id/report</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PayPackage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lập và rà soát chứng từ</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Trang Quyết toán (/settlements)</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/api/settlements/:id/docs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Service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AutoForwardPay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Chuyển hồ sơ đến KHTC</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Nút Nộp quyết toán</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/api/settlements/:id/submit</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CheckPay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kiểm tra chứng từ</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Hàng đợi KHTC (/approval-queue)</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GET /api/settlements/:eventId</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Hồ sơ chứng từ đầy đủ?</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Modal kiểm toán KHTC</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/api/settlements/:id/review</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FixPay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bổ sung hồ sơ thanh toán</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Trang Quyết toán (/settlements)</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/api/settlements/:id/docs</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SubmitApproval</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trình cấp có thẩm quyền duyệt</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Tờ trình phê duyệt chi</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/api/events/:id/review</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ApprovePayment</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Phê duyệt thanh toán theo thẩm quyền</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 BGH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Màn hình Ký duyệt giải ngân</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SETTLE</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XOR Gateway</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GApproval</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Thanh toán được phê duyệt?</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 BGH</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Nút Duyệt chi / Từ chối chi</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POST /api/events/:id/review</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RefusePay</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Thông báo không thanh toán</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Văn bản thông báo từ chối</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REJECT_PAYMENT</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PerformPay</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 thực hiện thanh toán</w:t>
            </w:r>
          </w:p>
        </w:tc>
        <w:tc>
          <w:tcPr>
            <w:tcW w:type="dxa" w:w="1020"/>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KHTC</w:t>
            </w:r>
          </w:p>
        </w:tc>
        <w:tc>
          <w:tcPr>
            <w:tcW w:type="dxa" w:w="1814"/>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Ủy nhiệm chi ngân hàng</w:t>
            </w:r>
          </w:p>
        </w:tc>
        <w:tc>
          <w:tcPr>
            <w:tcW w:type="dxa" w:w="170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SETTLE</w:t>
            </w:r>
          </w:p>
        </w:tc>
        <w:tc>
          <w:tcPr>
            <w:tcW w:type="dxa" w:w="1191"/>
            <w:shd w:fill="F8FAFC"/>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r>
        <w:tc>
          <w:tcPr>
            <w:tcW w:type="dxa" w:w="113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User Task</w:t>
            </w:r>
          </w:p>
        </w:tc>
        <w:tc>
          <w:tcPr>
            <w:tcW w:type="dxa" w:w="1247"/>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Close</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 nhận xác nhận, lưu hồ sơ</w:t>
            </w:r>
          </w:p>
        </w:tc>
        <w:tc>
          <w:tcPr>
            <w:tcW w:type="dxa" w:w="1020"/>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BCH</w:t>
            </w:r>
          </w:p>
        </w:tc>
        <w:tc>
          <w:tcPr>
            <w:tcW w:type="dxa" w:w="1814"/>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Kho lưu trữ điện tử</w:t>
            </w:r>
          </w:p>
        </w:tc>
        <w:tc>
          <w:tcPr>
            <w:tcW w:type="dxa" w:w="170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Action: COMPLETE</w:t>
            </w:r>
          </w:p>
        </w:tc>
        <w:tc>
          <w:tcPr>
            <w:tcW w:type="dxa" w:w="1191"/>
            <w:shd w:fill="FFFFFF"/>
            <w:tcMar>
              <w:top w:w="100" w:type="dxa"/>
              <w:bottom w:w="100" w:type="dxa"/>
              <w:left w:w="150" w:type="dxa"/>
              <w:right w:w="150" w:type="dxa"/>
            </w:tcMar>
            <w:tcBorders>
              <w:top w:val="single" w:sz="4" w:space="0" w:color="D1D5DB"/>
              <w:left w:val="single" w:sz="4" w:space="0" w:color="D1D5DB"/>
              <w:bottom w:val="single" w:sz="4" w:space="0" w:color="D1D5DB"/>
              <w:right w:val="single" w:sz="4" w:space="0" w:color="D1D5DB"/>
            </w:tcBorders>
          </w:tcPr>
          <w:p>
            <w:pPr>
              <w:jc w:val="left"/>
            </w:pPr>
            <w:r>
              <w:rPr>
                <w:rFonts w:ascii="Times New Roman" w:hAnsi="Times New Roman"/>
                <w:color w:val="1E293B"/>
                <w:sz w:val="20"/>
              </w:rPr>
              <w:t>Đã triển khai hoàn chỉnh</w:t>
            </w:r>
          </w:p>
        </w:tc>
      </w:tr>
    </w:tbl>
    <w:p/>
    <w:p>
      <w:pPr>
        <w:keepNext/>
        <w:spacing w:before="240" w:after="80"/>
      </w:pPr>
      <w:r>
        <w:rPr>
          <w:rFonts w:ascii="Times New Roman" w:hAnsi="Times New Roman"/>
          <w:b/>
          <w:color w:val="0F172A"/>
          <w:sz w:val="28"/>
        </w:rPr>
        <w:t>3.3.6. An toàn thông tin, bảo mật và các hạn chế kỹ thuật</w:t>
      </w:r>
    </w:p>
    <w:p>
      <w:pPr>
        <w:spacing w:after="80" w:line="300" w:lineRule="auto"/>
      </w:pPr>
      <w:r>
        <w:t>Hệ thống MY DUE đáp ứng đầy đủ 6 yêu cầu kỹ thuật tối thiểu theo quy định của học phần MIS3047:</w:t>
      </w:r>
    </w:p>
    <w:p>
      <w:pPr>
        <w:spacing w:after="80" w:line="300" w:lineRule="auto"/>
      </w:pPr>
      <w:r>
        <w:t>1. Xác thực với tối thiểu 3 vai trò: Hệ thống đã triển khai 6 vai trò nghiệp vụ hoàn chỉnh (BTC, BCN_KHOA, DOAN_TRUONG, CSVC, KHTC, ADMIN) với cơ chế phân quyền RBAC và mã hóa mật khẩu Bcrypt.</w:t>
      </w:r>
    </w:p>
    <w:p>
      <w:pPr>
        <w:spacing w:after="80" w:line="300" w:lineRule="auto"/>
      </w:pPr>
      <w:r>
        <w:t>2. Tối thiểu 3 luồng phê duyệt theo cổng XOR: Hệ thống hỗ trợ 6 cổng XOR với 3 nhánh quyết định chính (Chấp thuận, Yêu cầu chỉnh sửa, Từ chối hoàn toàn) được kiểm soát bởi động cơ State Machine.</w:t>
      </w:r>
    </w:p>
    <w:p>
      <w:pPr>
        <w:spacing w:after="80" w:line="300" w:lineRule="auto"/>
      </w:pPr>
      <w:r>
        <w:t>3. Lưu trữ bền vững: Toàn bộ dữ liệu được lưu bền vững trong CSDL quan hệ SQLite (prisma/dev.db), có ràng buộc toàn vẹn khóa ngoại (Referential Integrity) và kiểm soát giao dịch ACID.</w:t>
      </w:r>
    </w:p>
    <w:p>
      <w:pPr>
        <w:spacing w:after="80" w:line="300" w:lineRule="auto"/>
      </w:pPr>
      <w:r>
        <w:t>4. Tích hợp bên ngoài: Tích hợp dịch vụ trí tuệ nhân tạo (AI Review Service) rà soát văn bản tự động và phân tích rủi ro an toàn.</w:t>
      </w:r>
    </w:p>
    <w:p>
      <w:pPr>
        <w:spacing w:after="80" w:line="300" w:lineRule="auto"/>
      </w:pPr>
      <w:r>
        <w:t>5. Bộ kiểm thử tự động: Hệ thống tích hợp script kiểm thử test_role_switch.cjs và bộ kiểm thử đồng bộ test-sync.cjs kiểm tra tự động khả năng chuyển vai trò và tính toàn vẹn trạng thái.</w:t>
      </w:r>
    </w:p>
    <w:p>
      <w:pPr>
        <w:spacing w:after="80" w:line="300" w:lineRule="auto"/>
      </w:pPr>
      <w:r>
        <w:t>6. Nhật ký phát triển: Kho mã nguồn Git được quản lý nghiêm ngặt với hơn 20 commit phản ánh quá trình xây dựng liên tục.</w:t>
      </w:r>
    </w:p>
    <w:p>
      <w:pPr>
        <w:spacing w:after="80" w:line="300" w:lineRule="auto"/>
      </w:pPr>
      <w:r>
        <w:t>Đánh giá hạn chế kỹ thuật hiện tại và Đề xuất hoàn thiện:</w:t>
      </w:r>
    </w:p>
    <w:p>
      <w:pPr>
        <w:spacing w:after="80" w:line="300" w:lineRule="auto"/>
      </w:pPr>
      <w:r>
        <w:t>• Hạn chế 1 (Cơ chế đồng bộ thời gian thực): Hiện tại Frontend sử dụng Polling lặp lại mỗi 5 giây qua EventContext. Mặc dù đáp ứng tốt nhu cầu thử nghiệm nội bộ, phương thức này tạo ra tải truy vấn liên tục lên server. Đề xuất: Nâng cấp lên kiến trúc WebSocket hoặc Server-Sent Events (SSE) để đẩy thông báo tức thời khi có sự kiện thay đổi trạng thái.</w:t>
      </w:r>
    </w:p>
    <w:p>
      <w:pPr>
        <w:spacing w:after="80" w:line="300" w:lineRule="auto"/>
      </w:pPr>
      <w:r>
        <w:t>• Hạn chế 2 (Phân vùng dữ liệu theo Khoa): Hiện tại API submitEvent gửi thông báo cho toàn bộ cán bộ có vai trò BCN_KHOA trong toàn trường mà chưa lọc theo trường department của đơn vị nộp hồ sơ. Đề xuất: Bổ sung điều kiện truy vấn where: { role: 'BCN_KHOA', department: event.organizingUnit }.</w:t>
      </w:r>
    </w:p>
    <w:p>
      <w:pPr>
        <w:spacing w:after="80" w:line="300" w:lineRule="auto"/>
      </w:pPr>
      <w:r>
        <w:t>• Hạn chế 3 (Mô hình AI chuyên sâu): Hiện tại AI Service đang vận hành ở chế độ rule-based heuristics do chưa cấu hình khóa API thương mại. Đề xuất: Kết nối chính thức Google Gemini 1.5 Pro API thông qua biến môi trường AI_API_KEY để nâng cao năng lực đọc hiểu ngôn ngữ tự nhiên đối với các kế hoạch sự kiện phức tạp.</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color w:val="11182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