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源樣黑體 Bold" w:cs="源樣黑體 Bold" w:eastAsia="源樣黑體 Bold" w:hAnsi="源樣黑體 Bold"/>
          <w:b w:val="1"/>
          <w:bCs w:val="1"/>
          <w:color w:val="000000"/>
          <w:sz w:val="48"/>
          <w:szCs w:val="48"/>
        </w:rPr>
      </w:pPr>
      <w:bookmarkStart w:colFirst="0" w:colLast="0" w:name="_d25h8kp5fi9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源樣黑體 Bold" w:cs="源樣黑體 Bold" w:eastAsia="源樣黑體 Bold" w:hAnsi="源樣黑體 Bold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源樣黑體 Bold" w:cs="源樣黑體 Bold" w:eastAsia="源樣黑體 Bold" w:hAnsi="源樣黑體 Bold"/>
          <w:b w:val="1"/>
          <w:bCs w:val="1"/>
          <w:color w:val="000000"/>
          <w:sz w:val="48"/>
          <w:szCs w:val="48"/>
          <w:rtl w:val="0"/>
        </w:rPr>
        <w:t xml:space="preserve">星橋創業媒合平台</w:t>
      </w:r>
    </w:p>
    <w:p w:rsidR="00000000" w:rsidDel="00000000" w:rsidP="00000000" w:rsidRDefault="00000000" w:rsidRPr="00000000" w14:paraId="00000003">
      <w:pPr>
        <w:jc w:val="center"/>
        <w:rPr>
          <w:rFonts w:ascii="源樣黑體 Bold" w:cs="源樣黑體 Bold" w:eastAsia="源樣黑體 Bold" w:hAnsi="源樣黑體 Bold"/>
          <w:color w:val="000000"/>
          <w:sz w:val="22"/>
          <w:szCs w:val="22"/>
        </w:rPr>
      </w:pPr>
      <w:r w:rsidDel="00000000" w:rsidR="00000000" w:rsidRPr="00000000">
        <w:rPr>
          <w:rFonts w:ascii="源樣黑體 Bold" w:cs="源樣黑體 Bold" w:eastAsia="源樣黑體 Bold" w:hAnsi="源樣黑體 Bold"/>
          <w:b w:val="1"/>
          <w:bCs w:val="1"/>
          <w:color w:val="000000"/>
          <w:sz w:val="48"/>
          <w:szCs w:val="48"/>
          <w:rtl w:val="0"/>
        </w:rPr>
        <w:t xml:space="preserve">商業地產選址評估報告</w:t>
      </w:r>
      <w:r w:rsidDel="00000000" w:rsidR="00000000" w:rsidRPr="00000000">
        <w:rPr>
          <w:rFonts w:ascii="源樣黑體 Bold" w:cs="源樣黑體 Bold" w:eastAsia="源樣黑體 Bold" w:hAnsi="源樣黑體 Bold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S Gothic" w:cs="MS Gothic" w:eastAsia="MS Gothic" w:hAnsi="MS Gothi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源樣黑體 Medium" w:cs="源樣黑體 Medium" w:eastAsia="源樣黑體 Medium" w:hAnsi="源樣黑體 Medium"/>
          <w:sz w:val="36"/>
          <w:szCs w:val="36"/>
        </w:rPr>
      </w:pPr>
      <w:r w:rsidDel="00000000" w:rsidR="00000000" w:rsidRPr="00000000">
        <w:rPr>
          <w:rFonts w:ascii="MS Gothic" w:cs="MS Gothic" w:eastAsia="MS Gothic" w:hAnsi="MS Gothic"/>
          <w:sz w:val="36"/>
          <w:szCs w:val="36"/>
          <w:rtl w:val="0"/>
        </w:rPr>
        <w:t xml:space="preserve">✦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源樣黑體 Medium" w:cs="源樣黑體 Medium" w:eastAsia="源樣黑體 Medium" w:hAnsi="源樣黑體 Medium"/>
          <w:sz w:val="36"/>
          <w:szCs w:val="36"/>
          <w:rtl w:val="0"/>
        </w:rPr>
        <w:t xml:space="preserve">預計開業地點：</w:t>
      </w:r>
    </w:p>
    <w:p w:rsidR="00000000" w:rsidDel="00000000" w:rsidP="00000000" w:rsidRDefault="00000000" w:rsidRPr="00000000" w14:paraId="00000007">
      <w:pPr>
        <w:jc w:val="center"/>
        <w:rPr>
          <w:rFonts w:ascii="源樣黑體 Medium" w:cs="源樣黑體 Medium" w:eastAsia="源樣黑體 Medium" w:hAnsi="源樣黑體 Medium"/>
          <w:sz w:val="36"/>
          <w:szCs w:val="36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sz w:val="36"/>
          <w:szCs w:val="36"/>
          <w:rtl w:val="0"/>
        </w:rPr>
        <w:t xml:space="preserve">台北市中山區松江路111號</w:t>
      </w:r>
    </w:p>
    <w:p w:rsidR="00000000" w:rsidDel="00000000" w:rsidP="00000000" w:rsidRDefault="00000000" w:rsidRPr="00000000" w14:paraId="00000008">
      <w:pPr>
        <w:rPr>
          <w:rFonts w:ascii="源樣黑體 Medium" w:cs="源樣黑體 Medium" w:eastAsia="源樣黑體 Medium" w:hAnsi="源樣黑體 Medium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預計業種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店面坪數</w:t>
            </w:r>
          </w:p>
        </w:tc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綜合推薦指數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  <w:rtl w:val="0"/>
              </w:rPr>
              <w:t xml:space="preserve">火鍋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  <w:rtl w:val="0"/>
              </w:rPr>
              <w:t xml:space="preserve">60 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color w:val="ff6633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color w:val="ff6633"/>
                <w:sz w:val="28"/>
                <w:szCs w:val="28"/>
                <w:rtl w:val="0"/>
              </w:rPr>
              <w:t xml:space="preserve">8.4 / 10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預估月營收</w:t>
            </w:r>
          </w:p>
        </w:tc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預估回本期</w:t>
            </w:r>
          </w:p>
        </w:tc>
        <w:tc>
          <w:tcPr>
            <w:shd w:fill="ffe6cd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rtl w:val="0"/>
              </w:rPr>
              <w:t xml:space="preserve">風險等級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  <w:rtl w:val="0"/>
              </w:rPr>
              <w:t xml:space="preserve">42000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  <w:rtl w:val="0"/>
              </w:rPr>
              <w:t xml:space="preserve">14 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center"/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源樣黑體 Light" w:cs="源樣黑體 Light" w:eastAsia="源樣黑體 Light" w:hAnsi="源樣黑體 Light"/>
                <w:b w:val="1"/>
                <w:bCs w:val="1"/>
                <w:sz w:val="28"/>
                <w:szCs w:val="28"/>
                <w:rtl w:val="0"/>
              </w:rPr>
              <w:t xml:space="preserve">中高風險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1. 商圈微觀人口數據</w:t>
      </w:r>
    </w:p>
    <w:p w:rsidR="00000000" w:rsidDel="00000000" w:rsidP="00000000" w:rsidRDefault="00000000" w:rsidRPr="00000000" w14:paraId="00000017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【微觀人口與消費力分析】</w:t>
      </w:r>
    </w:p>
    <w:p w:rsidR="00000000" w:rsidDel="00000000" w:rsidP="00000000" w:rsidRDefault="00000000" w:rsidRPr="00000000" w14:paraId="00000018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(1) 核心人口結構：[資料來源：內政部戶政司]</w:t>
      </w:r>
    </w:p>
    <w:p w:rsidR="00000000" w:rsidDel="00000000" w:rsidP="00000000" w:rsidRDefault="00000000" w:rsidRPr="00000000" w14:paraId="00000019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本案所在的朱崙里推估總人口數為 4,560 人。其中男性 2,060 人、女性 2,500 人。女性比例約佔 54.8%，顯示該區為「女性消費強勢區」，極度有利於重視湯底健康、環境美學的火鍋業態發展，且午休與下班時段的輕聚餐需求旺盛。</w:t>
      </w:r>
    </w:p>
    <w:p w:rsidR="00000000" w:rsidDel="00000000" w:rsidP="00000000" w:rsidRDefault="00000000" w:rsidRPr="00000000" w14:paraId="0000001A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(2) 家庭消費基數：[資料來源：財政部財稅資訊中心]</w:t>
      </w:r>
    </w:p>
    <w:p w:rsidR="00000000" w:rsidDel="00000000" w:rsidP="00000000" w:rsidRDefault="00000000" w:rsidRPr="00000000" w14:paraId="0000001B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該里納稅戶數推估達 1,900 戶，顯示核心家庭支撐力強，且因位於金融辦公區，平日白晝的「工作人口」將是實際消費主力，遠高於戶籍人口。</w:t>
      </w:r>
    </w:p>
    <w:p w:rsidR="00000000" w:rsidDel="00000000" w:rsidP="00000000" w:rsidRDefault="00000000" w:rsidRPr="00000000" w14:paraId="0000001C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(3) 真實消費力評估：</w:t>
      </w:r>
    </w:p>
    <w:p w:rsidR="00000000" w:rsidDel="00000000" w:rsidP="00000000" w:rsidRDefault="00000000" w:rsidRPr="00000000" w14:paraId="0000001D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該里年所得中位數為 98.0 萬元，屬於台北市高所得區塊。針對本案客單價 300-500 元設定，僅佔當地居民日薪極低比例，價格抗性極低，易轉化為高頻次日常消費。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源樣黑體 Light" w:cs="源樣黑體 Light" w:eastAsia="源樣黑體 Light" w:hAnsi="源樣黑體 Light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源樣黑體 Light" w:cs="源樣黑體 Light" w:eastAsia="源樣黑體 Light" w:hAnsi="源樣黑體 Light"/>
          <w:sz w:val="22"/>
          <w:szCs w:val="22"/>
        </w:rPr>
        <w:drawing>
          <wp:inline distB="114300" distT="114300" distL="114300" distR="114300">
            <wp:extent cx="6174909" cy="385010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1885" r="18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909" cy="385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2. 區域租金與商圈等級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【區域租金行情與門檻】</w:t>
      </w:r>
    </w:p>
    <w:p w:rsidR="00000000" w:rsidDel="00000000" w:rsidP="00000000" w:rsidRDefault="00000000" w:rsidRPr="00000000" w14:paraId="00000020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(1) 租金行情：[資料來源：星橋地產資料庫] 松江路主幹道（捷運松江南京段）一樓店面具備極高廣告效益，推估合理租金區間為每坪 4,500-6,000 元，二樓以上則遞減至 2,000-3,000 元。</w:t>
      </w:r>
    </w:p>
    <w:p w:rsidR="00000000" w:rsidDel="00000000" w:rsidP="00000000" w:rsidRDefault="00000000" w:rsidRPr="00000000" w14:paraId="00000021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(2) 預算規劃：</w:t>
      </w:r>
    </w:p>
    <w:p w:rsidR="00000000" w:rsidDel="00000000" w:rsidP="00000000" w:rsidRDefault="00000000" w:rsidRPr="00000000" w14:paraId="00000022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建議月租金總預算：依據 60 坪數及樓層權重，若為一樓建議控制在 25-30 萬元內。</w:t>
      </w:r>
    </w:p>
    <w:p w:rsidR="00000000" w:rsidDel="00000000" w:rsidP="00000000" w:rsidRDefault="00000000" w:rsidRPr="00000000" w14:paraId="00000023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租金營收比 (OCR) 警戒線：建議控制在 12% 以內，即月營收需達 250 萬以上才具備安全邊際。</w:t>
      </w:r>
    </w:p>
    <w:p w:rsidR="00000000" w:rsidDel="00000000" w:rsidP="00000000" w:rsidRDefault="00000000" w:rsidRPr="00000000" w14:paraId="00000024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(3) 租賃策略：由於本案鄰近多個大型停車場與捷運出口，具備強勢議價籌碼，建議爭取較長的免租裝潢期（45-60天）以攤提餐飲重設備的初期投入。</w:t>
      </w:r>
    </w:p>
    <w:p w:rsidR="00000000" w:rsidDel="00000000" w:rsidP="00000000" w:rsidRDefault="00000000" w:rsidRPr="00000000" w14:paraId="00000025">
      <w:pPr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3. 生活機能與集客力</w:t>
      </w:r>
    </w:p>
    <w:p w:rsidR="00000000" w:rsidDel="00000000" w:rsidP="00000000" w:rsidRDefault="00000000" w:rsidRPr="00000000" w14:paraId="00000027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【生活機能與交通節點】</w:t>
      </w:r>
    </w:p>
    <w:p w:rsidR="00000000" w:rsidDel="00000000" w:rsidP="00000000" w:rsidRDefault="00000000" w:rsidRPr="00000000" w14:paraId="00000028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(1) 交通流量：[資料來源：捷運局旅運量統計] 鄰近松江南京站，月運量約 1,600,000 人次，換算日均動能約 53,333 人次。龐大的捷運通勤人流是本案最大的自然流量來源。</w:t>
      </w:r>
    </w:p>
    <w:p w:rsidR="00000000" w:rsidDel="00000000" w:rsidP="00000000" w:rsidRDefault="00000000" w:rsidRPr="00000000" w14:paraId="00000029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(2) 停車便利性：[資料來源：Google Places] 周邊停車配套極為成熟，包括台灣聯通(將捷一場)、嘟嘟房(松江南京站)、Times(松江路第3)等多處設施，解決了台北市中心用餐最痛的停車問題，有利於吸引家庭客與商務客開車前往。</w:t>
      </w:r>
    </w:p>
    <w:p w:rsidR="00000000" w:rsidDel="00000000" w:rsidP="00000000" w:rsidRDefault="00000000" w:rsidRPr="00000000" w14:paraId="0000002A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(3) 集客設施：本案被多所學校包圍（長安國小、吉林國小、大同高中、中山女高），加上松江南京辦公商圈與行天宮（Xingtian Temple）的觀光/參拜人流，形成了「平日上班族+學生家長，假日觀光客+家庭」的混合型客源結構，抗跌性強。</w:t>
      </w:r>
    </w:p>
    <w:p w:rsidR="00000000" w:rsidDel="00000000" w:rsidP="00000000" w:rsidRDefault="00000000" w:rsidRPr="00000000" w14:paraId="0000002B">
      <w:pPr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4. 市場競爭態勢</w:t>
      </w:r>
    </w:p>
    <w:p w:rsidR="00000000" w:rsidDel="00000000" w:rsidP="00000000" w:rsidRDefault="00000000" w:rsidRPr="00000000" w14:paraId="0000002D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【市場競爭態勢分析】</w:t>
      </w:r>
    </w:p>
    <w:p w:rsidR="00000000" w:rsidDel="00000000" w:rsidP="00000000" w:rsidRDefault="00000000" w:rsidRPr="00000000" w14:paraId="0000002E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(1) 競品對標：[資料來源：Google Maps 數據]</w:t>
      </w:r>
    </w:p>
    <w:p w:rsidR="00000000" w:rsidDel="00000000" w:rsidP="00000000" w:rsidRDefault="00000000" w:rsidRPr="00000000" w14:paraId="0000002F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品牌名稱 | 評分 | 評論數 | 威脅指數 |</w:t>
      </w:r>
    </w:p>
    <w:p w:rsidR="00000000" w:rsidDel="00000000" w:rsidP="00000000" w:rsidRDefault="00000000" w:rsidRPr="00000000" w14:paraId="00000031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:--- | :--- | :--- | :--- |</w:t>
      </w:r>
    </w:p>
    <w:p w:rsidR="00000000" w:rsidDel="00000000" w:rsidP="00000000" w:rsidRDefault="00000000" w:rsidRPr="00000000" w14:paraId="00000032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隱鍋 台北林森北路店 | 4.8 | 10602 | 極高 |</w:t>
      </w:r>
    </w:p>
    <w:p w:rsidR="00000000" w:rsidDel="00000000" w:rsidP="00000000" w:rsidRDefault="00000000" w:rsidRPr="00000000" w14:paraId="00000033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辛殿麻辣鍋｜松江店 | 4.4 | 7082 | 極高 |</w:t>
      </w:r>
    </w:p>
    <w:p w:rsidR="00000000" w:rsidDel="00000000" w:rsidP="00000000" w:rsidRDefault="00000000" w:rsidRPr="00000000" w14:paraId="00000034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Songjiang Buffet Hot Pot | 4.1 | 4774 | 中 |</w:t>
      </w:r>
    </w:p>
    <w:p w:rsidR="00000000" w:rsidDel="00000000" w:rsidP="00000000" w:rsidRDefault="00000000" w:rsidRPr="00000000" w14:paraId="00000035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犇鱻涮涮鍋 自助式吃到飽 | 4.2 | 2454 | 中高 |</w:t>
      </w:r>
    </w:p>
    <w:p w:rsidR="00000000" w:rsidDel="00000000" w:rsidP="00000000" w:rsidRDefault="00000000" w:rsidRPr="00000000" w14:paraId="00000036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藝爐晏-精品鍋物 | 4.8 | 2444 | 高 |</w:t>
      </w:r>
    </w:p>
    <w:p w:rsidR="00000000" w:rsidDel="00000000" w:rsidP="00000000" w:rsidRDefault="00000000" w:rsidRPr="00000000" w14:paraId="00000037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漉 海鮮蒸氣鍋-松江店 | 4.3 | 1868 | 中 |</w:t>
      </w:r>
    </w:p>
    <w:p w:rsidR="00000000" w:rsidDel="00000000" w:rsidP="00000000" w:rsidRDefault="00000000" w:rsidRPr="00000000" w14:paraId="00000038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石‧撈麻辣鴛鴦鍋 | 4.6 | 1643 | 高 |</w:t>
      </w:r>
    </w:p>
    <w:p w:rsidR="00000000" w:rsidDel="00000000" w:rsidP="00000000" w:rsidRDefault="00000000" w:rsidRPr="00000000" w14:paraId="00000039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撈王鍋物料理 松江南京店 | 4.8 | 1380 | 高 |</w:t>
      </w:r>
    </w:p>
    <w:p w:rsidR="00000000" w:rsidDel="00000000" w:rsidP="00000000" w:rsidRDefault="00000000" w:rsidRPr="00000000" w14:paraId="0000003A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築間幸福鍋物 台北松江店 | 4.4 | 773 | 中高 |</w:t>
      </w:r>
    </w:p>
    <w:p w:rsidR="00000000" w:rsidDel="00000000" w:rsidP="00000000" w:rsidRDefault="00000000" w:rsidRPr="00000000" w14:paraId="0000003B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蜀國麻辣鴛鴦火鍋 | 4.6 | 378 | 低 |</w:t>
      </w:r>
    </w:p>
    <w:p w:rsidR="00000000" w:rsidDel="00000000" w:rsidP="00000000" w:rsidRDefault="00000000" w:rsidRPr="00000000" w14:paraId="0000003C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(2) 市場缺口 (Gap Analysis)：</w:t>
      </w:r>
    </w:p>
    <w:p w:rsidR="00000000" w:rsidDel="00000000" w:rsidP="00000000" w:rsidRDefault="00000000" w:rsidRPr="00000000" w14:paraId="0000003E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目前商圈內強勢競品多集中於「高單價單點麻辣鍋」(如辛殿、撈王) 或「中低價吃到飽」(如犇鱻)。在 300-500 元區間的「精緻個人鍋物」存在供給缺口。此價位帶能吸納不想吃太撐(吃到飽)又不想花破千(高單價)的上班族午晚餐客群。</w:t>
      </w:r>
    </w:p>
    <w:p w:rsidR="00000000" w:rsidDel="00000000" w:rsidP="00000000" w:rsidRDefault="00000000" w:rsidRPr="00000000" w14:paraId="0000003F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5. 產業適性與空間規劃</w:t>
      </w:r>
    </w:p>
    <w:p w:rsidR="00000000" w:rsidDel="00000000" w:rsidP="00000000" w:rsidRDefault="00000000" w:rsidRPr="00000000" w14:paraId="00000042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【空間規劃與坪效優化】</w:t>
      </w:r>
    </w:p>
    <w:p w:rsidR="00000000" w:rsidDel="00000000" w:rsidP="00000000" w:rsidRDefault="00000000" w:rsidRPr="00000000" w14:paraId="00000043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(1) 物件規格：總坪數 60 坪，屬中型標準店面。</w:t>
      </w:r>
    </w:p>
    <w:p w:rsidR="00000000" w:rsidDel="00000000" w:rsidP="00000000" w:rsidRDefault="00000000" w:rsidRPr="00000000" w14:paraId="00000044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(2) 黃金比例配置建議：</w:t>
      </w:r>
    </w:p>
    <w:p w:rsidR="00000000" w:rsidDel="00000000" w:rsidP="00000000" w:rsidRDefault="00000000" w:rsidRPr="00000000" w14:paraId="00000045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用餐區 (65%)：約 39 坪，預估可設置 50-55 個座位。建議採 2 人桌為主，可靈活併桌。</w:t>
      </w:r>
    </w:p>
    <w:p w:rsidR="00000000" w:rsidDel="00000000" w:rsidP="00000000" w:rsidRDefault="00000000" w:rsidRPr="00000000" w14:paraId="00000046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後場區 (25%)：約 15 坪，廚房動線需優化洗碗區與出餐區的分流，因應高翻桌率。</w:t>
      </w:r>
    </w:p>
    <w:p w:rsidR="00000000" w:rsidDel="00000000" w:rsidP="00000000" w:rsidRDefault="00000000" w:rsidRPr="00000000" w14:paraId="00000047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倉儲與彈性空間 (10%)：約 6 坪，需善用垂直收納。</w:t>
      </w:r>
    </w:p>
    <w:p w:rsidR="00000000" w:rsidDel="00000000" w:rsidP="00000000" w:rsidRDefault="00000000" w:rsidRPr="00000000" w14:paraId="00000048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(3) 動線策略：針對火鍋業態，建議設置自助醬料/飲料吧於動線中島，分散服務生工作量；且 300-500 元價位帶應最大化座位數以提升營收上限。</w:t>
      </w:r>
    </w:p>
    <w:p w:rsidR="00000000" w:rsidDel="00000000" w:rsidP="00000000" w:rsidRDefault="00000000" w:rsidRPr="00000000" w14:paraId="00000049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6. 財務損益模型</w:t>
      </w:r>
    </w:p>
    <w:p w:rsidR="00000000" w:rsidDel="00000000" w:rsidP="00000000" w:rsidRDefault="00000000" w:rsidRPr="00000000" w14:paraId="0000004B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【財務模型與獲利預估】</w:t>
      </w:r>
    </w:p>
    <w:p w:rsidR="00000000" w:rsidDel="00000000" w:rsidP="00000000" w:rsidRDefault="00000000" w:rsidRPr="00000000" w14:paraId="0000004C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(1) 損益平衡點 (Break-even Analysis)：</w:t>
      </w:r>
    </w:p>
    <w:p w:rsidR="00000000" w:rsidDel="00000000" w:rsidP="00000000" w:rsidRDefault="00000000" w:rsidRPr="00000000" w14:paraId="0000004D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設定客單價：$ 400 (區間平均值)</w:t>
      </w:r>
    </w:p>
    <w:p w:rsidR="00000000" w:rsidDel="00000000" w:rsidP="00000000" w:rsidRDefault="00000000" w:rsidRPr="00000000" w14:paraId="0000004E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日營收目標：$ 42,000 (足以覆蓋租金、人力與食材)</w:t>
      </w:r>
    </w:p>
    <w:p w:rsidR="00000000" w:rsidDel="00000000" w:rsidP="00000000" w:rsidRDefault="00000000" w:rsidRPr="00000000" w14:paraId="0000004F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來客數目標：105 人/日 (僅佔該里總人口 4,560 的 2.3%，若考量流動人口則滲透率極低，達標難度低)</w:t>
      </w:r>
    </w:p>
    <w:p w:rsidR="00000000" w:rsidDel="00000000" w:rsidP="00000000" w:rsidRDefault="00000000" w:rsidRPr="00000000" w14:paraId="00000050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(2) 獲利結構預測：</w:t>
      </w:r>
    </w:p>
    <w:p w:rsidR="00000000" w:rsidDel="00000000" w:rsidP="00000000" w:rsidRDefault="00000000" w:rsidRPr="00000000" w14:paraId="00000051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預估翻桌率：平日 2.5 輪 / 假日 4.5 輪</w:t>
      </w:r>
    </w:p>
    <w:p w:rsidR="00000000" w:rsidDel="00000000" w:rsidP="00000000" w:rsidRDefault="00000000" w:rsidRPr="00000000" w14:paraId="00000052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目標月營收：$ 220-250 萬 (預估淨利約 35-45 萬)</w:t>
      </w:r>
    </w:p>
    <w:p w:rsidR="00000000" w:rsidDel="00000000" w:rsidP="00000000" w:rsidRDefault="00000000" w:rsidRPr="00000000" w14:paraId="00000053">
      <w:pPr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rPr>
          <w:rFonts w:ascii="源樣黑體 Light" w:cs="源樣黑體 Light" w:eastAsia="源樣黑體 Light" w:hAnsi="源樣黑體 Light"/>
          <w:sz w:val="22"/>
          <w:szCs w:val="22"/>
        </w:rPr>
        <w:drawing>
          <wp:inline distB="114300" distT="114300" distL="114300" distR="114300">
            <wp:extent cx="6014119" cy="420237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7066" r="70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4119" cy="4202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7. 在地化行銷策略</w:t>
      </w:r>
    </w:p>
    <w:p w:rsidR="00000000" w:rsidDel="00000000" w:rsidP="00000000" w:rsidRDefault="00000000" w:rsidRPr="00000000" w14:paraId="00000058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【SWOT 策略分析】</w:t>
      </w:r>
    </w:p>
    <w:p w:rsidR="00000000" w:rsidDel="00000000" w:rsidP="00000000" w:rsidRDefault="00000000" w:rsidRPr="00000000" w14:paraId="00000059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內部優勢 (Strengths) | 內部劣勢 (Weaknesses) |</w:t>
      </w:r>
    </w:p>
    <w:p w:rsidR="00000000" w:rsidDel="00000000" w:rsidP="00000000" w:rsidRDefault="00000000" w:rsidRPr="00000000" w14:paraId="0000005A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:--- | :--- |</w:t>
      </w:r>
    </w:p>
    <w:p w:rsidR="00000000" w:rsidDel="00000000" w:rsidP="00000000" w:rsidRDefault="00000000" w:rsidRPr="00000000" w14:paraId="0000005B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■ 捷運松江南京站人流紅利極高&lt;br&gt;■ 周邊停車場眾多，交通便利性滿分&lt;br&gt;■ 300-500元定價避開高端競品正面衝突 | ■ 店面租金成本相對較高&lt;br&gt;■ 60坪空間限制了大型團客的接待能力&lt;br&gt;■ 品牌初期缺乏知名度 |</w:t>
      </w:r>
    </w:p>
    <w:p w:rsidR="00000000" w:rsidDel="00000000" w:rsidP="00000000" w:rsidRDefault="00000000" w:rsidRPr="00000000" w14:paraId="0000005C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外部機會 (Opportunities) | 外部威脅 (Threats) |</w:t>
      </w:r>
    </w:p>
    <w:p w:rsidR="00000000" w:rsidDel="00000000" w:rsidP="00000000" w:rsidRDefault="00000000" w:rsidRPr="00000000" w14:paraId="0000005E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:--- | :--- |</w:t>
      </w:r>
    </w:p>
    <w:p w:rsidR="00000000" w:rsidDel="00000000" w:rsidP="00000000" w:rsidRDefault="00000000" w:rsidRPr="00000000" w14:paraId="0000005F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| ■ 金融商圈上班族「快速精緻午餐」需求大&lt;br&gt;■ 女性消費人口比例高，適合推廣健康鍋物&lt;br&gt;■ 周邊學校多，可開發補習班/家長晚餐市場 | ■ 周邊火鍋名店林立(辛殿、撈王)，比較心態重&lt;br&gt;■ 食材成本波動可能壓縮平價鍋物利潤&lt;br&gt;■ 人力缺工問題可能影響翻桌服務品質 |</w:t>
      </w:r>
    </w:p>
    <w:p w:rsidR="00000000" w:rsidDel="00000000" w:rsidP="00000000" w:rsidRDefault="00000000" w:rsidRPr="00000000" w14:paraId="00000060">
      <w:pPr>
        <w:rPr>
          <w:rFonts w:ascii="源樣黑體 Light" w:cs="源樣黑體 Light" w:eastAsia="源樣黑體 Light" w:hAnsi="源樣黑體 Ligh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</w:rPr>
      </w:pPr>
      <w:r w:rsidDel="00000000" w:rsidR="00000000" w:rsidRPr="00000000">
        <w:rPr>
          <w:rFonts w:ascii="源樣黑體 Medium" w:cs="源樣黑體 Medium" w:eastAsia="源樣黑體 Medium" w:hAnsi="源樣黑體 Medium"/>
          <w:b w:val="1"/>
          <w:bCs w:val="1"/>
          <w:color w:val="ff9966"/>
          <w:sz w:val="32"/>
          <w:szCs w:val="32"/>
          <w:rtl w:val="0"/>
        </w:rPr>
        <w:t xml:space="preserve">8. 專家總結建議</w:t>
      </w:r>
    </w:p>
    <w:p w:rsidR="00000000" w:rsidDel="00000000" w:rsidP="00000000" w:rsidRDefault="00000000" w:rsidRPr="00000000" w14:paraId="00000062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【專家總結與行動清單】</w:t>
      </w:r>
    </w:p>
    <w:p w:rsidR="00000000" w:rsidDel="00000000" w:rsidP="00000000" w:rsidRDefault="00000000" w:rsidRPr="00000000" w14:paraId="00000063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(1) 簽約前檢核項目 (Due Diligence)：</w:t>
      </w:r>
    </w:p>
    <w:p w:rsidR="00000000" w:rsidDel="00000000" w:rsidP="00000000" w:rsidRDefault="00000000" w:rsidRPr="00000000" w14:paraId="00000064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確認電力負載：火鍋業態需大量用電(電磁爐)，需確認該址契約容量是否足夠(建議 75kW 以上)或需額外申請。</w:t>
      </w:r>
    </w:p>
    <w:p w:rsidR="00000000" w:rsidDel="00000000" w:rsidP="00000000" w:rsidRDefault="00000000" w:rsidRPr="00000000" w14:paraId="00000065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   ● 確認排煙法規：松江路商辦混合區對氣味敏感，需確認排煙管路是否符合環保局規範且不影響鄰居。</w:t>
      </w:r>
    </w:p>
    <w:p w:rsidR="00000000" w:rsidDel="00000000" w:rsidP="00000000" w:rsidRDefault="00000000" w:rsidRPr="00000000" w14:paraId="00000066">
      <w:pPr>
        <w:ind w:left="480" w:firstLine="0"/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Fonts w:ascii="源樣黑體 Light" w:cs="源樣黑體 Light" w:eastAsia="源樣黑體 Light" w:hAnsi="源樣黑體 Light"/>
          <w:color w:val="434343"/>
          <w:rtl w:val="0"/>
        </w:rPr>
        <w:t xml:space="preserve">(2) 風險預警：本案最大風險在於「人員招募」與「初期租金壓力」。松江路一級戰區租金不低，若首三個月翻桌率未達 2 輪，現金流將吃緊。建議預留 6 個月週轉金，並在裝潢期即啟動行銷與徵才。</w:t>
      </w:r>
    </w:p>
    <w:p w:rsidR="00000000" w:rsidDel="00000000" w:rsidP="00000000" w:rsidRDefault="00000000" w:rsidRPr="00000000" w14:paraId="00000067">
      <w:pPr>
        <w:rPr>
          <w:rFonts w:ascii="源樣黑體 Light" w:cs="源樣黑體 Light" w:eastAsia="源樣黑體 Light" w:hAnsi="源樣黑體 Light"/>
          <w:color w:val="434343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080" w:right="1080" w:header="720" w:footer="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源樣黑體 Light"/>
  <w:font w:name="源樣黑體 Bold"/>
  <w:font w:name="源樣黑體 Medium"/>
  <w:font w:name="NTR">
    <w:embedRegular w:fontKey="{00000000-0000-0000-0000-000000000000}" r:id="rId1" w:subsetted="0"/>
  </w:font>
  <w:font w:name="Hanken Grotesk Black">
    <w:embedBold w:fontKey="{00000000-0000-0000-0000-000000000000}" r:id="rId2" w:subsetted="0"/>
    <w:embedBol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4"/>
      </w:tabs>
      <w:spacing w:after="160" w:before="0" w:line="300" w:lineRule="auto"/>
      <w:ind w:left="0" w:right="0" w:firstLine="0"/>
      <w:jc w:val="left"/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395307</wp:posOffset>
          </wp:positionH>
          <wp:positionV relativeFrom="paragraph">
            <wp:posOffset>0</wp:posOffset>
          </wp:positionV>
          <wp:extent cx="5400000" cy="8028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0" cy="802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451745</wp:posOffset>
              </wp:positionH>
              <wp:positionV relativeFrom="paragraph">
                <wp:posOffset>-2074</wp:posOffset>
              </wp:positionV>
              <wp:extent cx="5287125" cy="52725"/>
              <wp:effectExtent b="0" l="0" r="0" t="0"/>
              <wp:wrapNone/>
              <wp:docPr descr="Light horizontal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flipH="1" rot="10800000">
                        <a:off x="2707200" y="3758400"/>
                        <a:ext cx="5277600" cy="43200"/>
                      </a:xfrm>
                      <a:prstGeom prst="flowChartDecision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451745</wp:posOffset>
              </wp:positionH>
              <wp:positionV relativeFrom="paragraph">
                <wp:posOffset>-2074</wp:posOffset>
              </wp:positionV>
              <wp:extent cx="5287125" cy="52725"/>
              <wp:effectExtent b="0" l="0" r="0" t="0"/>
              <wp:wrapNone/>
              <wp:docPr descr="Light horizontal" id="1" name="image5.png"/>
              <a:graphic>
                <a:graphicData uri="http://schemas.openxmlformats.org/drawingml/2006/picture">
                  <pic:pic>
                    <pic:nvPicPr>
                      <pic:cNvPr descr="Light horizontal"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87125" cy="52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300" w:lineRule="auto"/>
      <w:ind w:left="0" w:right="0" w:firstLine="0"/>
      <w:jc w:val="center"/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頁／共 </w:t>
    </w: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頁</w: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4940618</wp:posOffset>
              </wp:positionH>
              <wp:positionV relativeFrom="paragraph">
                <wp:posOffset>268923</wp:posOffset>
              </wp:positionV>
              <wp:extent cx="1609725" cy="412115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5900" y="3578705"/>
                        <a:ext cx="1600200" cy="402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源樣黑體 Light" w:cs="源樣黑體 Light" w:eastAsia="源樣黑體 Light" w:hAnsi="源樣黑體 Ligh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星橋創媒｜專屬機密資料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4940618</wp:posOffset>
              </wp:positionH>
              <wp:positionV relativeFrom="paragraph">
                <wp:posOffset>268923</wp:posOffset>
              </wp:positionV>
              <wp:extent cx="1609725" cy="412115"/>
              <wp:effectExtent b="0" l="0" r="0" t="0"/>
              <wp:wrapSquare wrapText="bothSides" distB="45720" distT="45720" distL="114300" distR="11430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9725" cy="412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1164"/>
        <w:tab w:val="left" w:leader="none" w:pos="2670"/>
      </w:tabs>
      <w:spacing w:after="160" w:before="0" w:line="300" w:lineRule="auto"/>
      <w:ind w:left="0" w:right="0" w:firstLine="400"/>
      <w:jc w:val="left"/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TR" w:cs="NTR" w:eastAsia="NTR" w:hAnsi="NT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975"/>
      </w:tabs>
      <w:spacing w:after="160" w:before="0" w:line="480" w:lineRule="auto"/>
      <w:ind w:left="-485" w:right="0" w:firstLine="0"/>
      <w:jc w:val="right"/>
      <w:rPr>
        <w:rFonts w:ascii="源樣黑體 Medium" w:cs="源樣黑體 Medium" w:eastAsia="源樣黑體 Medium" w:hAnsi="源樣黑體 Mediu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源樣黑體 Medium" w:cs="源樣黑體 Medium" w:eastAsia="源樣黑體 Medium" w:hAnsi="源樣黑體 Medium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  <w:t xml:space="preserve">報告日期：</w:t>
    </w:r>
    <w:r w:rsidDel="00000000" w:rsidR="00000000" w:rsidRPr="00000000">
      <w:rPr>
        <w:rFonts w:ascii="源樣黑體 Medium" w:cs="源樣黑體 Medium" w:eastAsia="源樣黑體 Medium" w:hAnsi="源樣黑體 Medium"/>
        <w:sz w:val="20"/>
        <w:szCs w:val="20"/>
        <w:rtl w:val="0"/>
      </w:rPr>
      <w:t xml:space="preserve">2025/00/Fr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-360044</wp:posOffset>
          </wp:positionH>
          <wp:positionV relativeFrom="paragraph">
            <wp:posOffset>-180339</wp:posOffset>
          </wp:positionV>
          <wp:extent cx="1616400" cy="4320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113" r="2112" t="0"/>
                  <a:stretch>
                    <a:fillRect/>
                  </a:stretch>
                </pic:blipFill>
                <pic:spPr>
                  <a:xfrm>
                    <a:off x="0" y="0"/>
                    <a:ext cx="1616400" cy="432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TR" w:cs="NTR" w:eastAsia="NTR" w:hAnsi="NTR"/>
        <w:sz w:val="24"/>
        <w:szCs w:val="24"/>
        <w:lang w:val="en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40" w:before="240" w:line="360" w:lineRule="auto"/>
      <w:jc w:val="center"/>
    </w:pPr>
    <w:rPr>
      <w:rFonts w:ascii="Hanken Grotesk Black" w:cs="Hanken Grotesk Black" w:eastAsia="Hanken Grotesk Black" w:hAnsi="Hanken Grotesk Black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</w:pPr>
    <w:rPr>
      <w:rFonts w:ascii="Hanken Grotesk Black" w:cs="Hanken Grotesk Black" w:eastAsia="Hanken Grotesk Black" w:hAnsi="Hanken Grotesk Black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  <w:ind w:left="568" w:hanging="284"/>
    </w:pPr>
    <w:rPr>
      <w:rFonts w:ascii="Hanken Grotesk Black" w:cs="Hanken Grotesk Black" w:eastAsia="Hanken Grotesk Black" w:hAnsi="Hanken Grotesk Black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Hanken Grotesk Black" w:cs="Hanken Grotesk Black" w:eastAsia="Hanken Grotesk Black" w:hAnsi="Hanken Grotesk Black"/>
      <w:i w:val="1"/>
      <w:iCs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Hanken Grotesk Black" w:cs="Hanken Grotesk Black" w:eastAsia="Hanken Grotesk Black" w:hAnsi="Hanken Grotesk Black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Hanken Grotesk Black" w:cs="Hanken Grotesk Black" w:eastAsia="Hanken Grotesk Black" w:hAnsi="Hanken Grotesk Black"/>
      <w:i w:val="1"/>
      <w:iCs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14967c" w:space="8" w:sz="6" w:val="single"/>
        <w:bottom w:color="14967c" w:space="8" w:sz="6" w:val="single"/>
      </w:pBdr>
      <w:spacing w:after="400" w:line="240" w:lineRule="auto"/>
      <w:jc w:val="center"/>
    </w:pPr>
    <w:rPr>
      <w:rFonts w:ascii="Hanken Grotesk Black" w:cs="Hanken Grotesk Black" w:eastAsia="Hanken Grotesk Black" w:hAnsi="Hanken Grotesk Black"/>
      <w:smallCaps w:val="1"/>
      <w:color w:val="146194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color w:val="146194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TR-regular.ttf"/><Relationship Id="rId2" Type="http://schemas.openxmlformats.org/officeDocument/2006/relationships/font" Target="fonts/HankenGroteskBlack-bold.ttf"/><Relationship Id="rId3" Type="http://schemas.openxmlformats.org/officeDocument/2006/relationships/font" Target="fonts/HankenGroteskBlac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