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졸 업 논 문</w:t>
      </w:r>
    </w:p>
    <w:p/>
    <w:tbl>
      <w:tblPr>
        <w:tblStyle w:val="TableGrid"/>
        <w:tblW w:type="auto" w:w="0"/>
        <w:jc w:val="center"/>
        <w:tblLook w:firstColumn="1" w:firstRow="1" w:lastColumn="0" w:lastRow="0" w:noHBand="0" w:noVBand="1" w:val="04A0"/>
      </w:tblPr>
      <w:tblGrid>
        <w:gridCol w:w="4819"/>
        <w:gridCol w:w="4819"/>
      </w:tblGrid>
      <w:tr>
        <w:tc>
          <w:tcPr>
            <w:tcW w:type="dxa" w:w="4819"/>
            <w:vAlign w:val="center"/>
            <w:shd w:fill="E7E6E6"/>
          </w:tcPr>
          <w:p>
            <w:r/>
            <w:r>
              <w:rPr>
                <w:b/>
                <w:sz w:val="17"/>
              </w:rPr>
              <w:t>연구 주제명</w:t>
            </w:r>
          </w:p>
        </w:tc>
        <w:tc>
          <w:tcPr>
            <w:tcW w:type="dxa" w:w="4819"/>
            <w:vAlign w:val="center"/>
          </w:tcPr>
          <w:p>
            <w:r/>
            <w:r>
              <w:rPr>
                <w:b w:val="0"/>
                <w:sz w:val="17"/>
              </w:rPr>
              <w:t>국문: 고함량 영양성분의 안전성 근거 검토와 개인맞춤형 정보제공 도구의 개발</w:t>
              <w:br/>
              <w:t>영문: Safety Evidence Review of High-Dose Nutrients and Development of a Personalized Information Tool</w:t>
            </w:r>
          </w:p>
        </w:tc>
      </w:tr>
      <w:tr>
        <w:tc>
          <w:tcPr>
            <w:tcW w:type="dxa" w:w="4819"/>
            <w:vAlign w:val="center"/>
            <w:shd w:fill="E7E6E6"/>
          </w:tcPr>
          <w:p>
            <w:r/>
            <w:r>
              <w:rPr>
                <w:b/>
                <w:sz w:val="17"/>
              </w:rPr>
              <w:t>성 명</w:t>
            </w:r>
          </w:p>
        </w:tc>
        <w:tc>
          <w:tcPr>
            <w:tcW w:type="dxa" w:w="4819"/>
            <w:vAlign w:val="center"/>
          </w:tcPr>
          <w:p>
            <w:r/>
            <w:r>
              <w:rPr>
                <w:b w:val="0"/>
                <w:sz w:val="17"/>
              </w:rPr>
              <w:t>권혁찬</w:t>
            </w:r>
          </w:p>
        </w:tc>
      </w:tr>
      <w:tr>
        <w:tc>
          <w:tcPr>
            <w:tcW w:type="dxa" w:w="4819"/>
            <w:vAlign w:val="center"/>
            <w:shd w:fill="E7E6E6"/>
          </w:tcPr>
          <w:p>
            <w:r/>
            <w:r>
              <w:rPr>
                <w:b/>
                <w:sz w:val="17"/>
              </w:rPr>
              <w:t>학 번</w:t>
            </w:r>
          </w:p>
        </w:tc>
        <w:tc>
          <w:tcPr>
            <w:tcW w:type="dxa" w:w="4819"/>
            <w:vAlign w:val="center"/>
          </w:tcPr>
          <w:p>
            <w:r/>
            <w:r>
              <w:rPr>
                <w:b w:val="0"/>
                <w:sz w:val="17"/>
              </w:rPr>
              <w:t>2021194024</w:t>
            </w:r>
          </w:p>
        </w:tc>
      </w:tr>
      <w:tr>
        <w:tc>
          <w:tcPr>
            <w:tcW w:type="dxa" w:w="4819"/>
            <w:vAlign w:val="center"/>
            <w:shd w:fill="E7E6E6"/>
          </w:tcPr>
          <w:p>
            <w:r/>
            <w:r>
              <w:rPr>
                <w:b/>
                <w:sz w:val="17"/>
              </w:rPr>
              <w:t>실습기간</w:t>
            </w:r>
          </w:p>
        </w:tc>
        <w:tc>
          <w:tcPr>
            <w:tcW w:type="dxa" w:w="4819"/>
            <w:vAlign w:val="center"/>
          </w:tcPr>
          <w:p>
            <w:r/>
            <w:r>
              <w:rPr>
                <w:b w:val="0"/>
                <w:sz w:val="17"/>
              </w:rPr>
              <w:t>2026년 3월 3일 ~ 2026년 6월 19일</w:t>
            </w:r>
          </w:p>
        </w:tc>
      </w:tr>
      <w:tr>
        <w:tc>
          <w:tcPr>
            <w:tcW w:type="dxa" w:w="4819"/>
            <w:vAlign w:val="center"/>
            <w:shd w:fill="E7E6E6"/>
          </w:tcPr>
          <w:p>
            <w:r/>
            <w:r>
              <w:rPr>
                <w:b/>
                <w:sz w:val="17"/>
              </w:rPr>
              <w:t>실습장소</w:t>
            </w:r>
          </w:p>
        </w:tc>
        <w:tc>
          <w:tcPr>
            <w:tcW w:type="dxa" w:w="4819"/>
            <w:vAlign w:val="center"/>
          </w:tcPr>
          <w:p>
            <w:r/>
            <w:r>
              <w:rPr>
                <w:b w:val="0"/>
                <w:sz w:val="17"/>
              </w:rPr>
              <w:t>연세대학교 약학대학</w:t>
            </w:r>
          </w:p>
        </w:tc>
      </w:tr>
      <w:tr>
        <w:tc>
          <w:tcPr>
            <w:tcW w:type="dxa" w:w="4819"/>
            <w:vAlign w:val="center"/>
            <w:shd w:fill="E7E6E6"/>
          </w:tcPr>
          <w:p>
            <w:r/>
            <w:r>
              <w:rPr>
                <w:b/>
                <w:sz w:val="17"/>
              </w:rPr>
              <w:t>논문양식</w:t>
            </w:r>
          </w:p>
        </w:tc>
        <w:tc>
          <w:tcPr>
            <w:tcW w:type="dxa" w:w="4819"/>
            <w:vAlign w:val="center"/>
          </w:tcPr>
          <w:p>
            <w:r/>
            <w:r>
              <w:rPr>
                <w:b w:val="0"/>
                <w:sz w:val="17"/>
              </w:rPr>
              <w:t>종설논문</w:t>
            </w:r>
          </w:p>
        </w:tc>
      </w:tr>
      <w:tr>
        <w:tc>
          <w:tcPr>
            <w:tcW w:type="dxa" w:w="4819"/>
            <w:vAlign w:val="center"/>
            <w:shd w:fill="E7E6E6"/>
          </w:tcPr>
          <w:p>
            <w:r/>
            <w:r>
              <w:rPr>
                <w:b/>
                <w:sz w:val="17"/>
              </w:rPr>
              <w:t>담당교수</w:t>
            </w:r>
          </w:p>
        </w:tc>
        <w:tc>
          <w:tcPr>
            <w:tcW w:type="dxa" w:w="4819"/>
            <w:vAlign w:val="center"/>
          </w:tcPr>
          <w:p>
            <w:r/>
            <w:r>
              <w:rPr>
                <w:b w:val="0"/>
                <w:sz w:val="17"/>
              </w:rPr>
              <w:t>장민정 교수님  (서명)</w:t>
            </w:r>
          </w:p>
        </w:tc>
      </w:tr>
      <w:tr>
        <w:tc>
          <w:tcPr>
            <w:tcW w:type="dxa" w:w="4819"/>
            <w:vAlign w:val="center"/>
            <w:shd w:fill="E7E6E6"/>
          </w:tcPr>
          <w:p>
            <w:r/>
            <w:r>
              <w:rPr>
                <w:b/>
                <w:sz w:val="17"/>
              </w:rPr>
              <w:t>제출일</w:t>
            </w:r>
          </w:p>
        </w:tc>
        <w:tc>
          <w:tcPr>
            <w:tcW w:type="dxa" w:w="4819"/>
            <w:vAlign w:val="center"/>
          </w:tcPr>
          <w:p>
            <w:r/>
            <w:r>
              <w:rPr>
                <w:b w:val="0"/>
                <w:sz w:val="17"/>
              </w:rPr>
              <w:t>2026년 6월</w:t>
            </w:r>
          </w:p>
        </w:tc>
      </w:tr>
    </w:tbl>
    <w:p/>
    <w:p>
      <w:pPr>
        <w:jc w:val="center"/>
      </w:pPr>
      <w:r>
        <w:rPr>
          <w:b/>
          <w:sz w:val="24"/>
        </w:rPr>
        <w:t>연세대학교 약학대학 전공심화실습(1)</w:t>
      </w:r>
    </w:p>
    <w:p>
      <w:r>
        <w:br w:type="page"/>
      </w:r>
    </w:p>
    <w:p>
      <w:pPr>
        <w:pStyle w:val="Heading1"/>
        <w:spacing w:before="240" w:after="120"/>
      </w:pPr>
      <w:r>
        <w:t>국문초록</w:t>
      </w:r>
    </w:p>
    <w:p>
      <w:pPr>
        <w:spacing w:line="300" w:lineRule="auto" w:after="100"/>
        <w:ind w:firstLine="312"/>
      </w:pPr>
      <w:r>
        <w:t>본 연구는 일반의약품 및 건강기능식품으로 접하기 쉬운 비타민 D, 비타민 B6, 철분, 마그네슘 및 아연을 대상으로 안전성 근거를 검토하고, 복용자의 상태에 따라 확인해야 할 정보를 제시하는 조회 도구를 개발하고자 수행하였다. 문헌검색은 PubMed를 이용하였으며, 각 성분에서 임상적으로 문제가 될 수 있는 이상반응과 위험요인을 중심으로 검색식을 구성하였다.</w:t>
      </w:r>
    </w:p>
    <w:p>
      <w:pPr>
        <w:spacing w:line="300" w:lineRule="auto" w:after="100"/>
        <w:ind w:firstLine="312"/>
      </w:pPr>
      <w:r>
        <w:t>다섯 성분의 검색 결과는 모두 16,194건이었고, 성분 간 중복 문헌 304건을 제외한 뒤 15,890건을 분석 자료로 정리하였다. 검색식의 누락 여부를 확인하기 위해 미리 선정한 핵심문헌 22편의 회수 여부를 평가하였다. 최초 검색에서는 15편이 확인되었으나 누락 원인을 분석해 검색어를 보완한 뒤 22편을 모두 회수하였다.</w:t>
      </w:r>
    </w:p>
    <w:p>
      <w:pPr>
        <w:spacing w:line="300" w:lineRule="auto" w:after="100"/>
        <w:ind w:firstLine="312"/>
      </w:pPr>
      <w:r>
        <w:t>핵심문헌의 초록을 검토한 결과, 비타민 D에서는 고칼슘혈증·고칼슘뇨·요로결석, 비타민 B6에서는 감각신경병증, 철분에서는 위장관 이상반응, 마그네슘에서는 설사와 고마그네슘혈증, 아연에서는 구리결핍에 따른 혈액학적·신경학적 이상이 주요 안전성 문제로 확인되었다. 이를 바탕으로 성분별 복용량, 복용기간, 병용제품, 기저질환 및 증상을 확인하는 정보제공 문안을 작성하였다.</w:t>
      </w:r>
    </w:p>
    <w:p>
      <w:pPr>
        <w:spacing w:line="300" w:lineRule="auto" w:after="100"/>
        <w:ind w:firstLine="312"/>
      </w:pPr>
      <w:r>
        <w:t>본 연구는 안전성 문헌을 성분별 상담 질문과 연결했다는 점에서 의의가 있다. 다만 PubMed 이외의 데이터베이스 검색과 독립적인 전문 검토를 시행하지 않았으므로, 개발한 문안은 약사의 판단을 보조하는 연구용 자료로 사용되어야 한다.</w:t>
      </w:r>
    </w:p>
    <w:p>
      <w:pPr>
        <w:spacing w:line="300" w:lineRule="auto" w:after="100"/>
        <w:ind w:firstLine="312"/>
      </w:pPr>
      <w:r>
        <w:t>주요어: 일반의약품, 영양제, 안전성, PubMed, 비타민 D, 비타민 B6, 철분, 마그네슘, 아연</w:t>
      </w:r>
    </w:p>
    <w:p>
      <w:pPr>
        <w:pStyle w:val="Heading1"/>
        <w:spacing w:before="240" w:after="120"/>
      </w:pPr>
      <w:r>
        <w:t>영문초록</w:t>
      </w:r>
    </w:p>
    <w:p>
      <w:pPr>
        <w:spacing w:line="300" w:lineRule="auto" w:after="100"/>
        <w:ind w:firstLine="312"/>
      </w:pPr>
      <w:r>
        <w:t>This study reviewed safety evidence for vitamin D, vitamin B6, oral iron, magnesium, and zinc and developed a personalized information tool. Five PubMed searches identified 16,194 records in total, and 15,890 unique records remained after removal of 304 duplicates. Search terms were revised after an initial check retrieved 15 of 22 prespecified key articles; the revised searches retrieved all 22 articles. Major safety concerns were hypercalcemia and urinary stones for vitamin D, sensory neuropathy for vitamin B6, gastrointestinal adverse events for oral iron, diarrhea and hypermagnesemia for magnesium, and copper-deficiency-related hematologic and neurologic abnormalities for zinc. The resulting information statements prompt users to confirm dose, duration, concurrent products, underlying disease, and relevant symptoms. The tool is intended to support, not replace, professional judgment.</w:t>
      </w:r>
    </w:p>
    <w:p>
      <w:pPr>
        <w:spacing w:line="300" w:lineRule="auto" w:after="100"/>
        <w:ind w:firstLine="312"/>
      </w:pPr>
      <w:r>
        <w:t>Keywords: over-the-counter products, dietary supplements, safety, PubMed, evidence traceability</w:t>
      </w:r>
    </w:p>
    <w:p>
      <w:r>
        <w:br w:type="page"/>
      </w:r>
    </w:p>
    <w:p>
      <w:pPr>
        <w:pStyle w:val="Heading1"/>
        <w:spacing w:before="240" w:after="120"/>
      </w:pPr>
      <w:r>
        <w:t>목차</w:t>
      </w:r>
    </w:p>
    <w:p>
      <w:r>
        <w:t>국문초록</w:t>
      </w:r>
    </w:p>
    <w:p>
      <w:r>
        <w:t>영문초록</w:t>
      </w:r>
    </w:p>
    <w:p>
      <w:r>
        <w:t>1. 서론</w:t>
      </w:r>
    </w:p>
    <w:p>
      <w:r>
        <w:t>2. 연구 방법</w:t>
      </w:r>
    </w:p>
    <w:p>
      <w:r>
        <w:t xml:space="preserve">  2.1 연구설계와 범위</w:t>
      </w:r>
    </w:p>
    <w:p>
      <w:r>
        <w:t xml:space="preserve">  2.2 검색과 계보</w:t>
      </w:r>
    </w:p>
    <w:p>
      <w:r>
        <w:t xml:space="preserve">  2.3 중복 제거와 계산 선별</w:t>
      </w:r>
    </w:p>
    <w:p>
      <w:r>
        <w:t xml:space="preserve">  2.4 초록 근거와 규칙</w:t>
      </w:r>
    </w:p>
    <w:p>
      <w:r>
        <w:t>3. 연구 결과</w:t>
      </w:r>
    </w:p>
    <w:p>
      <w:r>
        <w:t>4. 고찰</w:t>
      </w:r>
    </w:p>
    <w:p>
      <w:r>
        <w:t>5. 결론</w:t>
      </w:r>
    </w:p>
    <w:p>
      <w:r>
        <w:t>6. 참고문헌</w:t>
      </w:r>
    </w:p>
    <w:p>
      <w:r>
        <w:t>부록</w:t>
      </w:r>
    </w:p>
    <w:p>
      <w:r>
        <w:br w:type="page"/>
      </w:r>
    </w:p>
    <w:p>
      <w:pPr>
        <w:pStyle w:val="Heading1"/>
        <w:spacing w:before="240" w:after="120"/>
      </w:pPr>
      <w:r>
        <w:t>1. 서론</w:t>
      </w:r>
    </w:p>
    <w:p>
      <w:pPr>
        <w:spacing w:line="300" w:lineRule="auto" w:after="100"/>
        <w:ind w:firstLine="312"/>
      </w:pPr>
      <w:r>
        <w:t>비타민과 무기질 보충제는 처방전 없이 구입할 수 있어 비교적 안전한 제품으로 인식되기 쉽다. 그러나 같은 성분을 여러 제품으로 복용하거나 고함량 제품을 장기간 사용하는 경우에는 이상반응이 나타날 수 있다. 특히 신기능 저하, 결석 병력, 빈혈 또는 신경학적 증상이 있는 복용자에서는 제품명만으로 안전성을 판단하기 어렵다.</w:t>
      </w:r>
    </w:p>
    <w:p>
      <w:pPr>
        <w:spacing w:line="300" w:lineRule="auto" w:after="100"/>
        <w:ind w:firstLine="312"/>
      </w:pPr>
      <w:r>
        <w:t>영양성분의 안전성은 성분의 유무보다 실제 섭취량과 기간, 병용제품 및 복용자의 임상적 특성에 의해 달라진다. 비타민 D의 과량 섭취는 칼슘대사 이상과 결석 위험을, 비타민 B6의 장기 복용은 감각신경병증을 일으킬 수 있다. 철분은 위장관 이상반응이 흔하고, 마그네슘은 신기능이 저하된 환자에서 축적될 수 있으며, 아연의 과량 섭취는 구리 흡수를 방해할 수 있다.</w:t>
      </w:r>
    </w:p>
    <w:p>
      <w:pPr>
        <w:spacing w:line="300" w:lineRule="auto" w:after="100"/>
        <w:ind w:firstLine="312"/>
      </w:pPr>
      <w:r>
        <w:t>따라서 영양성분 상담에서는 단순히 복용 가능 여부를 답하기보다 제품별 함량을 합산하고, 복용기간과 위험요인을 확인하며, 판단의 근거가 되는 문헌을 함께 제시할 필요가 있다. 본 연구의 목적은 다섯 영양성분의 주요 안전성 근거를 정리하고, 이를 실제 상담에서 확인할 질문으로 전환한 개인맞춤형 정보제공 도구를 개발하는 것이다.</w:t>
      </w:r>
    </w:p>
    <w:p>
      <w:pPr>
        <w:pStyle w:val="Heading1"/>
        <w:spacing w:before="240" w:after="120"/>
      </w:pPr>
      <w:r>
        <w:t>2. 연구 방법</w:t>
      </w:r>
    </w:p>
    <w:p>
      <w:pPr>
        <w:pStyle w:val="Heading2"/>
        <w:spacing w:before="240" w:after="120"/>
      </w:pPr>
      <w:r>
        <w:t>2.1 연구설계와 범위</w:t>
      </w:r>
    </w:p>
    <w:p>
      <w:pPr>
        <w:spacing w:line="300" w:lineRule="auto" w:after="100"/>
        <w:ind w:firstLine="312"/>
      </w:pPr>
      <w:r>
        <w:t>본 연구는 문헌고찰과 정보제공 도구 개발을 결합한 탐색적 연구로 수행하였다. 연구대상 성분은 비타민 D, 비타민 B6, 철분, 마그네슘 및 아연으로 정하였다. 각 성분에서 용량 또는 장기 복용과 관련성이 알려진 안전성 결과를 별도의 연구주제로 설정하였다.</w:t>
      </w:r>
    </w:p>
    <w:p>
      <w:pPr>
        <w:pStyle w:val="Heading2"/>
        <w:spacing w:before="240" w:after="120"/>
      </w:pPr>
      <w:r>
        <w:t>2.2 검색과 계보</w:t>
      </w:r>
    </w:p>
    <w:p>
      <w:pPr>
        <w:spacing w:line="300" w:lineRule="auto" w:after="100"/>
        <w:ind w:firstLine="312"/>
      </w:pPr>
      <w:r>
        <w:t>각 노드 검색식은 MeSH와 제목·초록 자유어를 조합하고 언어·기간·연구설계 필터를 적용하지 않았다. NCBI E-utilities를 사용해 UID와 XML을 전량 저장했다. 각 원시 파일의 SHA-256, 쿼리 해시, hit·export·import 수를 manifest에 기록하고 세 수가 일치하지 않으면 실행을 실패시켰다.</w:t>
      </w:r>
    </w:p>
    <w:p>
      <w:pPr>
        <w:spacing w:line="300" w:lineRule="auto" w:after="100"/>
        <w:ind w:firstLine="312"/>
      </w:pPr>
      <w:r>
        <w:t>검색식의 민감도를 점검하기 위해 연구 시작 전에 성분별 핵심문헌 22편을 선정하였다. 최초 검색에서 확인되지 않은 7편은 제목, 초록 및 MeSH 용어를 다시 검토하였다. 그 결과 과량복용, 이상반응, 투여 및 일반 성분명을 나타내는 표현이 충분히 포함되지 않은 것으로 확인되어 검색어를 보완한 뒤 다시 검색하였다.</w:t>
      </w:r>
    </w:p>
    <w:p>
      <w:pPr>
        <w:pStyle w:val="Heading2"/>
        <w:spacing w:before="240" w:after="120"/>
      </w:pPr>
      <w:r>
        <w:t>2.3 중복 제거와 계산 선별</w:t>
      </w:r>
    </w:p>
    <w:p>
      <w:pPr>
        <w:spacing w:line="300" w:lineRule="auto" w:after="100"/>
        <w:ind w:firstLine="312"/>
      </w:pPr>
      <w:r>
        <w:t>검색 결과는 PMID를 기준으로 중복을 제거하였다. 제목과 초록에 동물실험, 시험관 연구 또는 소아 연구임이 명확하게 제시된 문헌은 우선순위를 낮추었고, 성인에서 경구로 섭취한 영양성분의 이상반응을 다룬 연구를 우선 검토 대상으로 분류하였다. 정보가 충분하지 않은 문헌은 임의로 제외하지 않았다.</w:t>
      </w:r>
    </w:p>
    <w:p>
      <w:pPr>
        <w:pStyle w:val="Heading2"/>
        <w:spacing w:before="240" w:after="120"/>
      </w:pPr>
      <w:r>
        <w:t>2.4 초록 근거와 규칙</w:t>
      </w:r>
    </w:p>
    <w:p>
      <w:pPr>
        <w:spacing w:line="300" w:lineRule="auto" w:after="100"/>
        <w:ind w:firstLine="312"/>
      </w:pPr>
      <w:r>
        <w:t>핵심문헌에서 연구설계, 대상 성분, 주요 안전성 결과와 근거 문장을 추출하였다. 추출한 내용은 PubMed PMID 및 원문 연결주소와 함께 저장하였다. 이후 성분별로 복용자에게 확인할 항목과 상담 시 설명할 내용을 작성하였다. 전문 확인이 끝나지 않은 내용은 확정적인 인과관계나 치료 권고로 표현하지 않았다.</w:t>
      </w:r>
    </w:p>
    <w:p>
      <w:pPr>
        <w:pStyle w:val="Heading1"/>
        <w:spacing w:before="240" w:after="120"/>
      </w:pPr>
      <w:r>
        <w:t>3. 연구 결과</w:t>
      </w:r>
    </w:p>
    <w:p>
      <w:pPr>
        <w:pStyle w:val="Heading2"/>
        <w:spacing w:before="240" w:after="120"/>
      </w:pPr>
      <w:r>
        <w:t>3.1 검색과 선별</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vAlign w:val="center"/>
            <w:shd w:fill="DCE6F1"/>
          </w:tcPr>
          <w:p>
            <w:r/>
            <w:r>
              <w:rPr>
                <w:b/>
                <w:sz w:val="17"/>
              </w:rPr>
              <w:t>성분</w:t>
            </w:r>
          </w:p>
        </w:tc>
        <w:tc>
          <w:tcPr>
            <w:tcW w:type="dxa" w:w="1928"/>
            <w:vAlign w:val="center"/>
            <w:shd w:fill="DCE6F1"/>
          </w:tcPr>
          <w:p>
            <w:r/>
            <w:r>
              <w:rPr>
                <w:b/>
                <w:sz w:val="17"/>
              </w:rPr>
              <w:t>검색 문헌 수</w:t>
            </w:r>
          </w:p>
        </w:tc>
        <w:tc>
          <w:tcPr>
            <w:tcW w:type="dxa" w:w="1928"/>
            <w:vAlign w:val="center"/>
            <w:shd w:fill="DCE6F1"/>
          </w:tcPr>
          <w:p>
            <w:r/>
            <w:r>
              <w:rPr>
                <w:b/>
                <w:sz w:val="17"/>
              </w:rPr>
              <w:t>핵심문헌</w:t>
            </w:r>
          </w:p>
        </w:tc>
        <w:tc>
          <w:tcPr>
            <w:tcW w:type="dxa" w:w="1928"/>
            <w:vAlign w:val="center"/>
            <w:shd w:fill="DCE6F1"/>
          </w:tcPr>
          <w:p>
            <w:r/>
            <w:r>
              <w:rPr>
                <w:b/>
                <w:sz w:val="17"/>
              </w:rPr>
              <w:t>우선 검토 문헌</w:t>
            </w:r>
          </w:p>
        </w:tc>
        <w:tc>
          <w:tcPr>
            <w:tcW w:type="dxa" w:w="1928"/>
            <w:vAlign w:val="center"/>
            <w:shd w:fill="DCE6F1"/>
          </w:tcPr>
          <w:p>
            <w:r/>
            <w:r>
              <w:rPr>
                <w:b/>
                <w:sz w:val="17"/>
              </w:rPr>
              <w:t>전문 검토</w:t>
            </w:r>
          </w:p>
        </w:tc>
      </w:tr>
      <w:tr>
        <w:tc>
          <w:tcPr>
            <w:tcW w:type="dxa" w:w="1928"/>
            <w:vAlign w:val="center"/>
          </w:tcPr>
          <w:p>
            <w:r/>
            <w:r>
              <w:rPr>
                <w:b w:val="0"/>
                <w:sz w:val="17"/>
              </w:rPr>
              <w:t>비타민 D</w:t>
            </w:r>
          </w:p>
        </w:tc>
        <w:tc>
          <w:tcPr>
            <w:tcW w:type="dxa" w:w="1928"/>
            <w:vAlign w:val="center"/>
          </w:tcPr>
          <w:p>
            <w:r/>
            <w:r>
              <w:rPr>
                <w:b w:val="0"/>
                <w:sz w:val="17"/>
              </w:rPr>
              <w:t>5,697</w:t>
            </w:r>
          </w:p>
        </w:tc>
        <w:tc>
          <w:tcPr>
            <w:tcW w:type="dxa" w:w="1928"/>
            <w:vAlign w:val="center"/>
          </w:tcPr>
          <w:p>
            <w:r/>
            <w:r>
              <w:rPr>
                <w:b w:val="0"/>
                <w:sz w:val="17"/>
              </w:rPr>
              <w:t>5</w:t>
            </w:r>
          </w:p>
        </w:tc>
        <w:tc>
          <w:tcPr>
            <w:tcW w:type="dxa" w:w="1928"/>
            <w:vAlign w:val="center"/>
          </w:tcPr>
          <w:p>
            <w:r/>
            <w:r>
              <w:rPr>
                <w:b w:val="0"/>
                <w:sz w:val="17"/>
              </w:rPr>
              <w:t>25</w:t>
            </w:r>
          </w:p>
        </w:tc>
        <w:tc>
          <w:tcPr>
            <w:tcW w:type="dxa" w:w="1928"/>
            <w:vAlign w:val="center"/>
          </w:tcPr>
          <w:p>
            <w:r/>
            <w:r>
              <w:rPr>
                <w:b w:val="0"/>
                <w:sz w:val="17"/>
              </w:rPr>
              <w:t>미시행</w:t>
            </w:r>
          </w:p>
        </w:tc>
      </w:tr>
      <w:tr>
        <w:tc>
          <w:tcPr>
            <w:tcW w:type="dxa" w:w="1928"/>
            <w:vAlign w:val="center"/>
          </w:tcPr>
          <w:p>
            <w:r/>
            <w:r>
              <w:rPr>
                <w:b w:val="0"/>
                <w:sz w:val="17"/>
              </w:rPr>
              <w:t>비타민 B6</w:t>
            </w:r>
          </w:p>
        </w:tc>
        <w:tc>
          <w:tcPr>
            <w:tcW w:type="dxa" w:w="1928"/>
            <w:vAlign w:val="center"/>
          </w:tcPr>
          <w:p>
            <w:r/>
            <w:r>
              <w:rPr>
                <w:b w:val="0"/>
                <w:sz w:val="17"/>
              </w:rPr>
              <w:t>402</w:t>
            </w:r>
          </w:p>
        </w:tc>
        <w:tc>
          <w:tcPr>
            <w:tcW w:type="dxa" w:w="1928"/>
            <w:vAlign w:val="center"/>
          </w:tcPr>
          <w:p>
            <w:r/>
            <w:r>
              <w:rPr>
                <w:b w:val="0"/>
                <w:sz w:val="17"/>
              </w:rPr>
              <w:t>4</w:t>
            </w:r>
          </w:p>
        </w:tc>
        <w:tc>
          <w:tcPr>
            <w:tcW w:type="dxa" w:w="1928"/>
            <w:vAlign w:val="center"/>
          </w:tcPr>
          <w:p>
            <w:r/>
            <w:r>
              <w:rPr>
                <w:b w:val="0"/>
                <w:sz w:val="17"/>
              </w:rPr>
              <w:t>22</w:t>
            </w:r>
          </w:p>
        </w:tc>
        <w:tc>
          <w:tcPr>
            <w:tcW w:type="dxa" w:w="1928"/>
            <w:vAlign w:val="center"/>
          </w:tcPr>
          <w:p>
            <w:r/>
            <w:r>
              <w:rPr>
                <w:b w:val="0"/>
                <w:sz w:val="17"/>
              </w:rPr>
              <w:t>미시행</w:t>
            </w:r>
          </w:p>
        </w:tc>
      </w:tr>
      <w:tr>
        <w:tc>
          <w:tcPr>
            <w:tcW w:type="dxa" w:w="1928"/>
            <w:vAlign w:val="center"/>
          </w:tcPr>
          <w:p>
            <w:r/>
            <w:r>
              <w:rPr>
                <w:b w:val="0"/>
                <w:sz w:val="17"/>
              </w:rPr>
              <w:t>철분</w:t>
            </w:r>
          </w:p>
        </w:tc>
        <w:tc>
          <w:tcPr>
            <w:tcW w:type="dxa" w:w="1928"/>
            <w:vAlign w:val="center"/>
          </w:tcPr>
          <w:p>
            <w:r/>
            <w:r>
              <w:rPr>
                <w:b w:val="0"/>
                <w:sz w:val="17"/>
              </w:rPr>
              <w:t>3,105</w:t>
            </w:r>
          </w:p>
        </w:tc>
        <w:tc>
          <w:tcPr>
            <w:tcW w:type="dxa" w:w="1928"/>
            <w:vAlign w:val="center"/>
          </w:tcPr>
          <w:p>
            <w:r/>
            <w:r>
              <w:rPr>
                <w:b w:val="0"/>
                <w:sz w:val="17"/>
              </w:rPr>
              <w:t>4</w:t>
            </w:r>
          </w:p>
        </w:tc>
        <w:tc>
          <w:tcPr>
            <w:tcW w:type="dxa" w:w="1928"/>
            <w:vAlign w:val="center"/>
          </w:tcPr>
          <w:p>
            <w:r/>
            <w:r>
              <w:rPr>
                <w:b w:val="0"/>
                <w:sz w:val="17"/>
              </w:rPr>
              <w:t>24</w:t>
            </w:r>
          </w:p>
        </w:tc>
        <w:tc>
          <w:tcPr>
            <w:tcW w:type="dxa" w:w="1928"/>
            <w:vAlign w:val="center"/>
          </w:tcPr>
          <w:p>
            <w:r/>
            <w:r>
              <w:rPr>
                <w:b w:val="0"/>
                <w:sz w:val="17"/>
              </w:rPr>
              <w:t>미시행</w:t>
            </w:r>
          </w:p>
        </w:tc>
      </w:tr>
      <w:tr>
        <w:tc>
          <w:tcPr>
            <w:tcW w:type="dxa" w:w="1928"/>
            <w:vAlign w:val="center"/>
          </w:tcPr>
          <w:p>
            <w:r/>
            <w:r>
              <w:rPr>
                <w:b w:val="0"/>
                <w:sz w:val="17"/>
              </w:rPr>
              <w:t>마그네슘</w:t>
            </w:r>
          </w:p>
        </w:tc>
        <w:tc>
          <w:tcPr>
            <w:tcW w:type="dxa" w:w="1928"/>
            <w:vAlign w:val="center"/>
          </w:tcPr>
          <w:p>
            <w:r/>
            <w:r>
              <w:rPr>
                <w:b w:val="0"/>
                <w:sz w:val="17"/>
              </w:rPr>
              <w:t>3,742</w:t>
            </w:r>
          </w:p>
        </w:tc>
        <w:tc>
          <w:tcPr>
            <w:tcW w:type="dxa" w:w="1928"/>
            <w:vAlign w:val="center"/>
          </w:tcPr>
          <w:p>
            <w:r/>
            <w:r>
              <w:rPr>
                <w:b w:val="0"/>
                <w:sz w:val="17"/>
              </w:rPr>
              <w:t>5</w:t>
            </w:r>
          </w:p>
        </w:tc>
        <w:tc>
          <w:tcPr>
            <w:tcW w:type="dxa" w:w="1928"/>
            <w:vAlign w:val="center"/>
          </w:tcPr>
          <w:p>
            <w:r/>
            <w:r>
              <w:rPr>
                <w:b w:val="0"/>
                <w:sz w:val="17"/>
              </w:rPr>
              <w:t>23</w:t>
            </w:r>
          </w:p>
        </w:tc>
        <w:tc>
          <w:tcPr>
            <w:tcW w:type="dxa" w:w="1928"/>
            <w:vAlign w:val="center"/>
          </w:tcPr>
          <w:p>
            <w:r/>
            <w:r>
              <w:rPr>
                <w:b w:val="0"/>
                <w:sz w:val="17"/>
              </w:rPr>
              <w:t>미시행</w:t>
            </w:r>
          </w:p>
        </w:tc>
      </w:tr>
      <w:tr>
        <w:tc>
          <w:tcPr>
            <w:tcW w:type="dxa" w:w="1928"/>
            <w:vAlign w:val="center"/>
          </w:tcPr>
          <w:p>
            <w:r/>
            <w:r>
              <w:rPr>
                <w:b w:val="0"/>
                <w:sz w:val="17"/>
              </w:rPr>
              <w:t>아연</w:t>
            </w:r>
          </w:p>
        </w:tc>
        <w:tc>
          <w:tcPr>
            <w:tcW w:type="dxa" w:w="1928"/>
            <w:vAlign w:val="center"/>
          </w:tcPr>
          <w:p>
            <w:r/>
            <w:r>
              <w:rPr>
                <w:b w:val="0"/>
                <w:sz w:val="17"/>
              </w:rPr>
              <w:t>3,248</w:t>
            </w:r>
          </w:p>
        </w:tc>
        <w:tc>
          <w:tcPr>
            <w:tcW w:type="dxa" w:w="1928"/>
            <w:vAlign w:val="center"/>
          </w:tcPr>
          <w:p>
            <w:r/>
            <w:r>
              <w:rPr>
                <w:b w:val="0"/>
                <w:sz w:val="17"/>
              </w:rPr>
              <w:t>4</w:t>
            </w:r>
          </w:p>
        </w:tc>
        <w:tc>
          <w:tcPr>
            <w:tcW w:type="dxa" w:w="1928"/>
            <w:vAlign w:val="center"/>
          </w:tcPr>
          <w:p>
            <w:r/>
            <w:r>
              <w:rPr>
                <w:b w:val="0"/>
                <w:sz w:val="17"/>
              </w:rPr>
              <w:t>24</w:t>
            </w:r>
          </w:p>
        </w:tc>
        <w:tc>
          <w:tcPr>
            <w:tcW w:type="dxa" w:w="1928"/>
            <w:vAlign w:val="center"/>
          </w:tcPr>
          <w:p>
            <w:r/>
            <w:r>
              <w:rPr>
                <w:b w:val="0"/>
                <w:sz w:val="17"/>
              </w:rPr>
              <w:t>미시행</w:t>
            </w:r>
          </w:p>
        </w:tc>
      </w:tr>
    </w:tbl>
    <w:p>
      <w:pPr>
        <w:spacing w:line="300" w:lineRule="auto" w:after="100"/>
        <w:ind w:firstLine="312"/>
      </w:pPr>
      <w:r>
        <w:t>다섯 성분의 검색 건수는 모두 16,194건이었다. 성분 간 PMID 중복 304건을 제외한 고유 문헌은 15,890건이었다. 제목과 초록을 이용한 우선순위 분류에서 6,106건을 우선 검토 대상으로, 9,504건을 추가 확인 대상으로 분류하였다. 연구범위에서 명백히 벗어난 것으로 판단된 문헌은 280건이었다.</w:t>
      </w:r>
    </w:p>
    <w:p>
      <w:pPr>
        <w:pStyle w:val="Heading2"/>
        <w:spacing w:before="240" w:after="120"/>
      </w:pPr>
      <w:r>
        <w:t>3.2 핵심문헌 회수율</w:t>
      </w:r>
    </w:p>
    <w:p>
      <w:pPr>
        <w:spacing w:line="300" w:lineRule="auto" w:after="100"/>
        <w:ind w:firstLine="312"/>
      </w:pPr>
      <w:r>
        <w:t>최초 검색에서는 핵심문헌 22편 중 15편이 확인되어 회수율은 68.2%였다. 비타민 B6와 철분에서 각각 1편, 마그네슘에서 3편, 아연에서 2편이 누락되었다. 누락 문헌에 사용된 표현을 반영해 검색식을 수정한 결과 22편이 모두 검색되어 최종 회수율은 100%였다.</w:t>
      </w:r>
    </w:p>
    <w:p>
      <w:r>
        <w:br w:type="page"/>
      </w:r>
    </w:p>
    <w:p>
      <w:pPr>
        <w:pStyle w:val="Heading2"/>
        <w:spacing w:before="240" w:after="120"/>
      </w:pPr>
      <w:r>
        <w:t>3.3 성분별 안전성 근거</w:t>
      </w:r>
    </w:p>
    <w:tbl>
      <w:tblPr>
        <w:tblStyle w:val="TableGrid"/>
        <w:tblW w:type="auto" w:w="0"/>
        <w:jc w:val="center"/>
        <w:tblLook w:firstColumn="1" w:firstRow="1" w:lastColumn="0" w:lastRow="0" w:noHBand="0" w:noVBand="1" w:val="04A0"/>
      </w:tblPr>
      <w:tblGrid>
        <w:gridCol w:w="1928"/>
        <w:gridCol w:w="1928"/>
        <w:gridCol w:w="1928"/>
        <w:gridCol w:w="1928"/>
        <w:gridCol w:w="1928"/>
      </w:tblGrid>
      <w:tr>
        <w:tc>
          <w:tcPr>
            <w:tcW w:type="dxa" w:w="1928"/>
            <w:vAlign w:val="center"/>
            <w:shd w:fill="DCE6F1"/>
          </w:tcPr>
          <w:p>
            <w:r/>
            <w:r>
              <w:rPr>
                <w:b/>
                <w:sz w:val="17"/>
              </w:rPr>
              <w:t>성분</w:t>
            </w:r>
          </w:p>
        </w:tc>
        <w:tc>
          <w:tcPr>
            <w:tcW w:type="dxa" w:w="1928"/>
            <w:vAlign w:val="center"/>
            <w:shd w:fill="DCE6F1"/>
          </w:tcPr>
          <w:p>
            <w:r/>
            <w:r>
              <w:rPr>
                <w:b/>
                <w:sz w:val="17"/>
              </w:rPr>
              <w:t>확인 문헌</w:t>
            </w:r>
          </w:p>
        </w:tc>
        <w:tc>
          <w:tcPr>
            <w:tcW w:type="dxa" w:w="1928"/>
            <w:vAlign w:val="center"/>
            <w:shd w:fill="DCE6F1"/>
          </w:tcPr>
          <w:p>
            <w:r/>
            <w:r>
              <w:rPr>
                <w:b/>
                <w:sz w:val="17"/>
              </w:rPr>
              <w:t>주요 연구설계</w:t>
            </w:r>
          </w:p>
        </w:tc>
        <w:tc>
          <w:tcPr>
            <w:tcW w:type="dxa" w:w="1928"/>
            <w:vAlign w:val="center"/>
            <w:shd w:fill="DCE6F1"/>
          </w:tcPr>
          <w:p>
            <w:r/>
            <w:r>
              <w:rPr>
                <w:b/>
                <w:sz w:val="17"/>
              </w:rPr>
              <w:t>전문 확인</w:t>
            </w:r>
          </w:p>
        </w:tc>
        <w:tc>
          <w:tcPr>
            <w:tcW w:type="dxa" w:w="1928"/>
            <w:vAlign w:val="center"/>
            <w:shd w:fill="DCE6F1"/>
          </w:tcPr>
          <w:p>
            <w:r/>
            <w:r>
              <w:rPr>
                <w:b/>
                <w:sz w:val="17"/>
              </w:rPr>
              <w:t>근거 정리 방식</w:t>
            </w:r>
          </w:p>
        </w:tc>
      </w:tr>
      <w:tr>
        <w:tc>
          <w:tcPr>
            <w:tcW w:type="dxa" w:w="1928"/>
            <w:vAlign w:val="center"/>
          </w:tcPr>
          <w:p>
            <w:r/>
            <w:r>
              <w:rPr>
                <w:b w:val="0"/>
                <w:sz w:val="17"/>
              </w:rPr>
              <w:t>비타민 D</w:t>
            </w:r>
          </w:p>
        </w:tc>
        <w:tc>
          <w:tcPr>
            <w:tcW w:type="dxa" w:w="1928"/>
            <w:vAlign w:val="center"/>
          </w:tcPr>
          <w:p>
            <w:r/>
            <w:r>
              <w:rPr>
                <w:b w:val="0"/>
                <w:sz w:val="17"/>
              </w:rPr>
              <w:t>5</w:t>
            </w:r>
          </w:p>
        </w:tc>
        <w:tc>
          <w:tcPr>
            <w:tcW w:type="dxa" w:w="1928"/>
            <w:vAlign w:val="center"/>
          </w:tcPr>
          <w:p>
            <w:r/>
            <w:r>
              <w:rPr>
                <w:b w:val="0"/>
                <w:sz w:val="17"/>
              </w:rPr>
              <w:t>임상시험 1편, 무작위배정시험 4편</w:t>
            </w:r>
          </w:p>
        </w:tc>
        <w:tc>
          <w:tcPr>
            <w:tcW w:type="dxa" w:w="1928"/>
            <w:vAlign w:val="center"/>
          </w:tcPr>
          <w:p>
            <w:r/>
            <w:r>
              <w:rPr>
                <w:b w:val="0"/>
                <w:sz w:val="17"/>
              </w:rPr>
              <w:t>미시행</w:t>
            </w:r>
          </w:p>
        </w:tc>
        <w:tc>
          <w:tcPr>
            <w:tcW w:type="dxa" w:w="1928"/>
            <w:vAlign w:val="center"/>
          </w:tcPr>
          <w:p>
            <w:r/>
            <w:r>
              <w:rPr>
                <w:b w:val="0"/>
                <w:sz w:val="17"/>
              </w:rPr>
              <w:t>서술적 정리</w:t>
            </w:r>
          </w:p>
        </w:tc>
      </w:tr>
      <w:tr>
        <w:tc>
          <w:tcPr>
            <w:tcW w:type="dxa" w:w="1928"/>
            <w:vAlign w:val="center"/>
          </w:tcPr>
          <w:p>
            <w:r/>
            <w:r>
              <w:rPr>
                <w:b w:val="0"/>
                <w:sz w:val="17"/>
              </w:rPr>
              <w:t>비타민 B6</w:t>
            </w:r>
          </w:p>
        </w:tc>
        <w:tc>
          <w:tcPr>
            <w:tcW w:type="dxa" w:w="1928"/>
            <w:vAlign w:val="center"/>
          </w:tcPr>
          <w:p>
            <w:r/>
            <w:r>
              <w:rPr>
                <w:b w:val="0"/>
                <w:sz w:val="17"/>
              </w:rPr>
              <w:t>4</w:t>
            </w:r>
          </w:p>
        </w:tc>
        <w:tc>
          <w:tcPr>
            <w:tcW w:type="dxa" w:w="1928"/>
            <w:vAlign w:val="center"/>
          </w:tcPr>
          <w:p>
            <w:r/>
            <w:r>
              <w:rPr>
                <w:b w:val="0"/>
                <w:sz w:val="17"/>
              </w:rPr>
              <w:t>증례군 1편, 과학적 의견서 1편, 체계적 문헌고찰 2편</w:t>
            </w:r>
          </w:p>
        </w:tc>
        <w:tc>
          <w:tcPr>
            <w:tcW w:type="dxa" w:w="1928"/>
            <w:vAlign w:val="center"/>
          </w:tcPr>
          <w:p>
            <w:r/>
            <w:r>
              <w:rPr>
                <w:b w:val="0"/>
                <w:sz w:val="17"/>
              </w:rPr>
              <w:t>미시행</w:t>
            </w:r>
          </w:p>
        </w:tc>
        <w:tc>
          <w:tcPr>
            <w:tcW w:type="dxa" w:w="1928"/>
            <w:vAlign w:val="center"/>
          </w:tcPr>
          <w:p>
            <w:r/>
            <w:r>
              <w:rPr>
                <w:b w:val="0"/>
                <w:sz w:val="17"/>
              </w:rPr>
              <w:t>서술적 정리</w:t>
            </w:r>
          </w:p>
        </w:tc>
      </w:tr>
      <w:tr>
        <w:tc>
          <w:tcPr>
            <w:tcW w:type="dxa" w:w="1928"/>
            <w:vAlign w:val="center"/>
          </w:tcPr>
          <w:p>
            <w:r/>
            <w:r>
              <w:rPr>
                <w:b w:val="0"/>
                <w:sz w:val="17"/>
              </w:rPr>
              <w:t>철분</w:t>
            </w:r>
          </w:p>
        </w:tc>
        <w:tc>
          <w:tcPr>
            <w:tcW w:type="dxa" w:w="1928"/>
            <w:vAlign w:val="center"/>
          </w:tcPr>
          <w:p>
            <w:r/>
            <w:r>
              <w:rPr>
                <w:b w:val="0"/>
                <w:sz w:val="17"/>
              </w:rPr>
              <w:t>4</w:t>
            </w:r>
          </w:p>
        </w:tc>
        <w:tc>
          <w:tcPr>
            <w:tcW w:type="dxa" w:w="1928"/>
            <w:vAlign w:val="center"/>
          </w:tcPr>
          <w:p>
            <w:r/>
            <w:r>
              <w:rPr>
                <w:b w:val="0"/>
                <w:sz w:val="17"/>
              </w:rPr>
              <w:t>무작위배정시험 2편, 체계적 문헌고찰 1편, 체계적 문헌고찰·메타분석 1편</w:t>
            </w:r>
          </w:p>
        </w:tc>
        <w:tc>
          <w:tcPr>
            <w:tcW w:type="dxa" w:w="1928"/>
            <w:vAlign w:val="center"/>
          </w:tcPr>
          <w:p>
            <w:r/>
            <w:r>
              <w:rPr>
                <w:b w:val="0"/>
                <w:sz w:val="17"/>
              </w:rPr>
              <w:t>미시행</w:t>
            </w:r>
          </w:p>
        </w:tc>
        <w:tc>
          <w:tcPr>
            <w:tcW w:type="dxa" w:w="1928"/>
            <w:vAlign w:val="center"/>
          </w:tcPr>
          <w:p>
            <w:r/>
            <w:r>
              <w:rPr>
                <w:b w:val="0"/>
                <w:sz w:val="17"/>
              </w:rPr>
              <w:t>서술적 정리</w:t>
            </w:r>
          </w:p>
        </w:tc>
      </w:tr>
      <w:tr>
        <w:tc>
          <w:tcPr>
            <w:tcW w:type="dxa" w:w="1928"/>
            <w:vAlign w:val="center"/>
          </w:tcPr>
          <w:p>
            <w:r/>
            <w:r>
              <w:rPr>
                <w:b w:val="0"/>
                <w:sz w:val="17"/>
              </w:rPr>
              <w:t>마그네슘</w:t>
            </w:r>
          </w:p>
        </w:tc>
        <w:tc>
          <w:tcPr>
            <w:tcW w:type="dxa" w:w="1928"/>
            <w:vAlign w:val="center"/>
          </w:tcPr>
          <w:p>
            <w:r/>
            <w:r>
              <w:rPr>
                <w:b w:val="0"/>
                <w:sz w:val="17"/>
              </w:rPr>
              <w:t>5</w:t>
            </w:r>
          </w:p>
        </w:tc>
        <w:tc>
          <w:tcPr>
            <w:tcW w:type="dxa" w:w="1928"/>
            <w:vAlign w:val="center"/>
          </w:tcPr>
          <w:p>
            <w:r/>
            <w:r>
              <w:rPr>
                <w:b w:val="0"/>
                <w:sz w:val="17"/>
              </w:rPr>
              <w:t>증례군 2편, 코호트 연구 2편, 서술적 고찰 1편</w:t>
            </w:r>
          </w:p>
        </w:tc>
        <w:tc>
          <w:tcPr>
            <w:tcW w:type="dxa" w:w="1928"/>
            <w:vAlign w:val="center"/>
          </w:tcPr>
          <w:p>
            <w:r/>
            <w:r>
              <w:rPr>
                <w:b w:val="0"/>
                <w:sz w:val="17"/>
              </w:rPr>
              <w:t>미시행</w:t>
            </w:r>
          </w:p>
        </w:tc>
        <w:tc>
          <w:tcPr>
            <w:tcW w:type="dxa" w:w="1928"/>
            <w:vAlign w:val="center"/>
          </w:tcPr>
          <w:p>
            <w:r/>
            <w:r>
              <w:rPr>
                <w:b w:val="0"/>
                <w:sz w:val="17"/>
              </w:rPr>
              <w:t>서술적 정리</w:t>
            </w:r>
          </w:p>
        </w:tc>
      </w:tr>
      <w:tr>
        <w:tc>
          <w:tcPr>
            <w:tcW w:type="dxa" w:w="1928"/>
            <w:vAlign w:val="center"/>
          </w:tcPr>
          <w:p>
            <w:r/>
            <w:r>
              <w:rPr>
                <w:b w:val="0"/>
                <w:sz w:val="17"/>
              </w:rPr>
              <w:t>아연</w:t>
            </w:r>
          </w:p>
        </w:tc>
        <w:tc>
          <w:tcPr>
            <w:tcW w:type="dxa" w:w="1928"/>
            <w:vAlign w:val="center"/>
          </w:tcPr>
          <w:p>
            <w:r/>
            <w:r>
              <w:rPr>
                <w:b w:val="0"/>
                <w:sz w:val="17"/>
              </w:rPr>
              <w:t>4</w:t>
            </w:r>
          </w:p>
        </w:tc>
        <w:tc>
          <w:tcPr>
            <w:tcW w:type="dxa" w:w="1928"/>
            <w:vAlign w:val="center"/>
          </w:tcPr>
          <w:p>
            <w:r/>
            <w:r>
              <w:rPr>
                <w:b w:val="0"/>
                <w:sz w:val="17"/>
              </w:rPr>
              <w:t>증례보고 3편, 종설 1편</w:t>
            </w:r>
          </w:p>
        </w:tc>
        <w:tc>
          <w:tcPr>
            <w:tcW w:type="dxa" w:w="1928"/>
            <w:vAlign w:val="center"/>
          </w:tcPr>
          <w:p>
            <w:r/>
            <w:r>
              <w:rPr>
                <w:b w:val="0"/>
                <w:sz w:val="17"/>
              </w:rPr>
              <w:t>미시행</w:t>
            </w:r>
          </w:p>
        </w:tc>
        <w:tc>
          <w:tcPr>
            <w:tcW w:type="dxa" w:w="1928"/>
            <w:vAlign w:val="center"/>
          </w:tcPr>
          <w:p>
            <w:r/>
            <w:r>
              <w:rPr>
                <w:b w:val="0"/>
                <w:sz w:val="17"/>
              </w:rPr>
              <w:t>서술적 정리</w:t>
            </w:r>
          </w:p>
        </w:tc>
      </w:tr>
    </w:tbl>
    <w:p>
      <w:pPr>
        <w:spacing w:line="300" w:lineRule="auto" w:after="100"/>
        <w:ind w:firstLine="312"/>
      </w:pPr>
      <w:r>
        <w:t>K1은 임상시험 중심, K2는 사례군·검토·과학적 의견, K3는 무작위시험과 체계적 문헌고찰, K4는 사례군·코호트·관점 논문, K5는 사례보고와 검토로 구성됐다. 설계와 결과 정의가 달라 메타분석은 수행하지 않았다.</w:t>
      </w:r>
    </w:p>
    <w:p>
      <w:pPr>
        <w:pStyle w:val="Heading2"/>
        <w:spacing w:before="240" w:after="120"/>
      </w:pPr>
      <w:r>
        <w:t>3.3.1 비타민 D</w:t>
      </w:r>
    </w:p>
    <w:p>
      <w:pPr>
        <w:spacing w:line="300" w:lineRule="auto" w:after="100"/>
        <w:ind w:firstLine="312"/>
      </w:pPr>
      <w:r>
        <w:t>비타민 D 관련 핵심문헌은 무작위배정시험 4편과 임상시험 1편이었다. 연구들은 고용량 비타민 D가 결석이나 고칼슘혈증을 일관되게 증가시키는지, 칼슘을 함께 복용할 때 고칼슘뇨가 증가하는지를 평가하였다. 연구대상과 투여법이 서로 달라 결과를 단일 위험도로 합치지는 않았다.</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409"/>
            <w:vAlign w:val="center"/>
            <w:shd w:fill="DCE6F1"/>
          </w:tcPr>
          <w:p>
            <w:r/>
            <w:r>
              <w:rPr>
                <w:b/>
                <w:sz w:val="17"/>
              </w:rPr>
              <w:t>연구</w:t>
            </w:r>
          </w:p>
        </w:tc>
        <w:tc>
          <w:tcPr>
            <w:tcW w:type="dxa" w:w="2409"/>
            <w:vAlign w:val="center"/>
            <w:shd w:fill="DCE6F1"/>
          </w:tcPr>
          <w:p>
            <w:r/>
            <w:r>
              <w:rPr>
                <w:b/>
                <w:sz w:val="17"/>
              </w:rPr>
              <w:t>설계</w:t>
            </w:r>
          </w:p>
        </w:tc>
        <w:tc>
          <w:tcPr>
            <w:tcW w:type="dxa" w:w="2409"/>
            <w:vAlign w:val="center"/>
            <w:shd w:fill="DCE6F1"/>
          </w:tcPr>
          <w:p>
            <w:r/>
            <w:r>
              <w:rPr>
                <w:b/>
                <w:sz w:val="17"/>
              </w:rPr>
              <w:t>노출</w:t>
            </w:r>
          </w:p>
        </w:tc>
        <w:tc>
          <w:tcPr>
            <w:tcW w:type="dxa" w:w="2409"/>
            <w:vAlign w:val="center"/>
            <w:shd w:fill="DCE6F1"/>
          </w:tcPr>
          <w:p>
            <w:r/>
            <w:r>
              <w:rPr>
                <w:b/>
                <w:sz w:val="17"/>
              </w:rPr>
              <w:t>주요 결과</w:t>
            </w:r>
          </w:p>
        </w:tc>
      </w:tr>
      <w:tr>
        <w:tc>
          <w:tcPr>
            <w:tcW w:type="dxa" w:w="1701"/>
            <w:vAlign w:val="center"/>
          </w:tcPr>
          <w:p>
            <w:r/>
            <w:r>
              <w:rPr>
                <w:b w:val="0"/>
                <w:sz w:val="17"/>
              </w:rPr>
              <w:t>Malihi 등, 2019</w:t>
              <w:br/>
              <w:t>PMID 31005969</w:t>
            </w:r>
          </w:p>
        </w:tc>
        <w:tc>
          <w:tcPr>
            <w:tcW w:type="dxa" w:w="1417"/>
            <w:vAlign w:val="center"/>
          </w:tcPr>
          <w:p>
            <w:r/>
            <w:r>
              <w:rPr>
                <w:b w:val="0"/>
                <w:sz w:val="17"/>
              </w:rPr>
              <w:t>무작위배정시험</w:t>
            </w:r>
          </w:p>
        </w:tc>
        <w:tc>
          <w:tcPr>
            <w:tcW w:type="dxa" w:w="1814"/>
            <w:vAlign w:val="center"/>
          </w:tcPr>
          <w:p>
            <w:r/>
            <w:r>
              <w:rPr>
                <w:b w:val="0"/>
                <w:sz w:val="17"/>
              </w:rPr>
              <w:t>비타민 D3 100,000 IU/월; 중앙 추적기간 3.3년</w:t>
            </w:r>
          </w:p>
        </w:tc>
        <w:tc>
          <w:tcPr>
            <w:tcW w:type="dxa" w:w="4535"/>
            <w:vAlign w:val="center"/>
          </w:tcPr>
          <w:p>
            <w:r/>
            <w:r>
              <w:rPr>
                <w:b w:val="0"/>
                <w:sz w:val="17"/>
              </w:rPr>
              <w:t>결석 158건(비타민 D 76건, 위약 82건). 첫 결석 발생 HR 0.90(95% CI 0.66-1.23). 비타민 D군 고칼슘혈증은 없었다.</w:t>
            </w:r>
          </w:p>
        </w:tc>
      </w:tr>
      <w:tr>
        <w:tc>
          <w:tcPr>
            <w:tcW w:type="dxa" w:w="1701"/>
            <w:vAlign w:val="center"/>
          </w:tcPr>
          <w:p>
            <w:r/>
            <w:r>
              <w:rPr>
                <w:b w:val="0"/>
                <w:sz w:val="17"/>
              </w:rPr>
              <w:t>Billington 등, 2018</w:t>
              <w:br/>
              <w:t>PMID 30180273</w:t>
            </w:r>
          </w:p>
        </w:tc>
        <w:tc>
          <w:tcPr>
            <w:tcW w:type="dxa" w:w="1417"/>
            <w:vAlign w:val="center"/>
          </w:tcPr>
          <w:p>
            <w:r/>
            <w:r>
              <w:rPr>
                <w:b w:val="0"/>
                <w:sz w:val="17"/>
              </w:rPr>
              <w:t>무작위배정시험</w:t>
            </w:r>
          </w:p>
        </w:tc>
        <w:tc>
          <w:tcPr>
            <w:tcW w:type="dxa" w:w="1814"/>
            <w:vAlign w:val="center"/>
          </w:tcPr>
          <w:p>
            <w:r/>
            <w:r>
              <w:rPr>
                <w:b w:val="0"/>
                <w:sz w:val="17"/>
              </w:rPr>
              <w:t>고용량 비타민 D와 칼슘 병용</w:t>
            </w:r>
          </w:p>
        </w:tc>
        <w:tc>
          <w:tcPr>
            <w:tcW w:type="dxa" w:w="4535"/>
            <w:vAlign w:val="center"/>
          </w:tcPr>
          <w:p>
            <w:r/>
            <w:r>
              <w:rPr>
                <w:b w:val="0"/>
                <w:sz w:val="17"/>
              </w:rPr>
              <w:t>고용량군 48명 중 19명에서 고칼슘뇨가 발생하였다. 고칼슘뇨 OR 3.6(95% CI 1.39-9.3); 고칼슘혈증 차이는 없었다.</w:t>
            </w:r>
          </w:p>
        </w:tc>
      </w:tr>
      <w:tr>
        <w:tc>
          <w:tcPr>
            <w:tcW w:type="dxa" w:w="1701"/>
            <w:vAlign w:val="center"/>
          </w:tcPr>
          <w:p>
            <w:r/>
            <w:r>
              <w:rPr>
                <w:b w:val="0"/>
                <w:sz w:val="17"/>
              </w:rPr>
              <w:t>Ferroni 등, 2017</w:t>
              <w:br/>
              <w:t>PMID 27765695</w:t>
            </w:r>
          </w:p>
        </w:tc>
        <w:tc>
          <w:tcPr>
            <w:tcW w:type="dxa" w:w="1417"/>
            <w:vAlign w:val="center"/>
          </w:tcPr>
          <w:p>
            <w:r/>
            <w:r>
              <w:rPr>
                <w:b w:val="0"/>
                <w:sz w:val="17"/>
              </w:rPr>
              <w:t>무작위배정시험</w:t>
            </w:r>
          </w:p>
        </w:tc>
        <w:tc>
          <w:tcPr>
            <w:tcW w:type="dxa" w:w="1814"/>
            <w:vAlign w:val="center"/>
          </w:tcPr>
          <w:p>
            <w:r/>
            <w:r>
              <w:rPr>
                <w:b w:val="0"/>
                <w:sz w:val="17"/>
              </w:rPr>
              <w:t>1,000 IU/일 대 50,000 IU/주</w:t>
            </w:r>
          </w:p>
        </w:tc>
        <w:tc>
          <w:tcPr>
            <w:tcW w:type="dxa" w:w="4535"/>
            <w:vAlign w:val="center"/>
          </w:tcPr>
          <w:p>
            <w:r/>
            <w:r>
              <w:rPr>
                <w:b w:val="0"/>
                <w:sz w:val="17"/>
              </w:rPr>
              <w:t>두 군 모두 24시간 요중 칼슘과 calcium oxalate/phosphate 과포화도에 유의한 변화가 없었다.</w:t>
            </w:r>
          </w:p>
        </w:tc>
      </w:tr>
      <w:tr>
        <w:tc>
          <w:tcPr>
            <w:tcW w:type="dxa" w:w="1701"/>
            <w:vAlign w:val="center"/>
          </w:tcPr>
          <w:p>
            <w:r/>
            <w:r>
              <w:rPr>
                <w:b w:val="0"/>
                <w:sz w:val="17"/>
              </w:rPr>
              <w:t>Leaf 등, 2012</w:t>
              <w:br/>
              <w:t>PMID 22422535</w:t>
            </w:r>
          </w:p>
        </w:tc>
        <w:tc>
          <w:tcPr>
            <w:tcW w:type="dxa" w:w="1417"/>
            <w:vAlign w:val="center"/>
          </w:tcPr>
          <w:p>
            <w:r/>
            <w:r>
              <w:rPr>
                <w:b w:val="0"/>
                <w:sz w:val="17"/>
              </w:rPr>
              <w:t>임상시험</w:t>
            </w:r>
          </w:p>
        </w:tc>
        <w:tc>
          <w:tcPr>
            <w:tcW w:type="dxa" w:w="1814"/>
            <w:vAlign w:val="center"/>
          </w:tcPr>
          <w:p>
            <w:r/>
            <w:r>
              <w:rPr>
                <w:b w:val="0"/>
                <w:sz w:val="17"/>
              </w:rPr>
              <w:t>결석 환자의 비타민 D 보충</w:t>
            </w:r>
          </w:p>
        </w:tc>
        <w:tc>
          <w:tcPr>
            <w:tcW w:type="dxa" w:w="4535"/>
            <w:vAlign w:val="center"/>
          </w:tcPr>
          <w:p>
            <w:r/>
            <w:r>
              <w:rPr>
                <w:b w:val="0"/>
                <w:sz w:val="17"/>
              </w:rPr>
              <w:t>평균 요중 칼슘은 257에서 255 mg/day로 변화하지 않았다(p=0.91). 일부 환자에서는 증가해 보충 후 모니터링 필요성을 제시하였다.</w:t>
            </w:r>
          </w:p>
        </w:tc>
      </w:tr>
      <w:tr>
        <w:tc>
          <w:tcPr>
            <w:tcW w:type="dxa" w:w="1701"/>
            <w:vAlign w:val="center"/>
          </w:tcPr>
          <w:p>
            <w:r/>
            <w:r>
              <w:rPr>
                <w:b w:val="0"/>
                <w:sz w:val="17"/>
              </w:rPr>
              <w:t>Gallagher 등, 2014</w:t>
              <w:br/>
              <w:t>PMID 24937025</w:t>
            </w:r>
          </w:p>
        </w:tc>
        <w:tc>
          <w:tcPr>
            <w:tcW w:type="dxa" w:w="1417"/>
            <w:vAlign w:val="center"/>
          </w:tcPr>
          <w:p>
            <w:r/>
            <w:r>
              <w:rPr>
                <w:b w:val="0"/>
                <w:sz w:val="17"/>
              </w:rPr>
              <w:t>무작위배정시험</w:t>
            </w:r>
          </w:p>
        </w:tc>
        <w:tc>
          <w:tcPr>
            <w:tcW w:type="dxa" w:w="1814"/>
            <w:vAlign w:val="center"/>
          </w:tcPr>
          <w:p>
            <w:r/>
            <w:r>
              <w:rPr>
                <w:b w:val="0"/>
                <w:sz w:val="17"/>
              </w:rPr>
              <w:t>칼슘 1,200 mg/일과 비타민 D</w:t>
            </w:r>
          </w:p>
        </w:tc>
        <w:tc>
          <w:tcPr>
            <w:tcW w:type="dxa" w:w="4535"/>
            <w:vAlign w:val="center"/>
          </w:tcPr>
          <w:p>
            <w:r/>
            <w:r>
              <w:rPr>
                <w:b w:val="0"/>
                <w:sz w:val="17"/>
              </w:rPr>
              <w:t>고칼슘뇨와 고칼슘혈증이 관찰되었으나 비타민 D 용량과 뚜렷한 관계는 확인되지 않았다.</w:t>
            </w:r>
          </w:p>
        </w:tc>
      </w:tr>
    </w:tbl>
    <w:p/>
    <w:p>
      <w:pPr>
        <w:spacing w:line="300" w:lineRule="auto" w:after="100"/>
        <w:ind w:firstLine="312"/>
      </w:pPr>
      <w:r>
        <w:t>비타민 D 결과는 고용량 투여 자체가 모든 대상자에서 결석을 증가시키는 것은 아니라는 점을 보여준다. 그러나 칼슘 병용군에서 고칼슘뇨가 빈번했고 결석 환자 일부에서 요중 칼슘이 증가했으므로, 상담 시 총 비타민 D 섭취량뿐 아니라 칼슘 병용, 결석 병력 및 검사 결과를 함께 확인해야 한다.</w:t>
      </w:r>
    </w:p>
    <w:p>
      <w:pPr>
        <w:pStyle w:val="Heading2"/>
        <w:spacing w:before="240" w:after="120"/>
      </w:pPr>
      <w:r>
        <w:t>3.3.2 비타민 B6</w:t>
      </w:r>
    </w:p>
    <w:p>
      <w:pPr>
        <w:spacing w:line="300" w:lineRule="auto" w:after="100"/>
        <w:ind w:firstLine="312"/>
      </w:pPr>
      <w:r>
        <w:t>비타민 B6의 핵심 안전성 결과는 장기간 고용량 pyridoxine 섭취와 감각신경병증의 관련성이었다. 고전적 증례군은 과량복용 후 운동실조와 중증 감각기능 장애를 보인 성인 7명을 보고했으며, 복용 중단 후 호전되는 경과를 기술하였다.</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409"/>
            <w:vAlign w:val="center"/>
            <w:shd w:fill="DCE6F1"/>
          </w:tcPr>
          <w:p>
            <w:r/>
            <w:r>
              <w:rPr>
                <w:b/>
                <w:sz w:val="17"/>
              </w:rPr>
              <w:t>연구</w:t>
            </w:r>
          </w:p>
        </w:tc>
        <w:tc>
          <w:tcPr>
            <w:tcW w:type="dxa" w:w="2409"/>
            <w:vAlign w:val="center"/>
            <w:shd w:fill="DCE6F1"/>
          </w:tcPr>
          <w:p>
            <w:r/>
            <w:r>
              <w:rPr>
                <w:b/>
                <w:sz w:val="17"/>
              </w:rPr>
              <w:t>설계</w:t>
            </w:r>
          </w:p>
        </w:tc>
        <w:tc>
          <w:tcPr>
            <w:tcW w:type="dxa" w:w="2409"/>
            <w:vAlign w:val="center"/>
            <w:shd w:fill="DCE6F1"/>
          </w:tcPr>
          <w:p>
            <w:r/>
            <w:r>
              <w:rPr>
                <w:b/>
                <w:sz w:val="17"/>
              </w:rPr>
              <w:t>노출</w:t>
            </w:r>
          </w:p>
        </w:tc>
        <w:tc>
          <w:tcPr>
            <w:tcW w:type="dxa" w:w="2409"/>
            <w:vAlign w:val="center"/>
            <w:shd w:fill="DCE6F1"/>
          </w:tcPr>
          <w:p>
            <w:r/>
            <w:r>
              <w:rPr>
                <w:b/>
                <w:sz w:val="17"/>
              </w:rPr>
              <w:t>주요 결과</w:t>
            </w:r>
          </w:p>
        </w:tc>
      </w:tr>
      <w:tr>
        <w:tc>
          <w:tcPr>
            <w:tcW w:type="dxa" w:w="1701"/>
            <w:vAlign w:val="center"/>
          </w:tcPr>
          <w:p>
            <w:r/>
            <w:r>
              <w:rPr>
                <w:b w:val="0"/>
                <w:sz w:val="17"/>
              </w:rPr>
              <w:t>Schaumburg 등, 1983</w:t>
              <w:br/>
              <w:t>PMID 6308447</w:t>
            </w:r>
          </w:p>
        </w:tc>
        <w:tc>
          <w:tcPr>
            <w:tcW w:type="dxa" w:w="1417"/>
            <w:vAlign w:val="center"/>
          </w:tcPr>
          <w:p>
            <w:r/>
            <w:r>
              <w:rPr>
                <w:b w:val="0"/>
                <w:sz w:val="17"/>
              </w:rPr>
              <w:t>증례군</w:t>
            </w:r>
          </w:p>
        </w:tc>
        <w:tc>
          <w:tcPr>
            <w:tcW w:type="dxa" w:w="1814"/>
            <w:vAlign w:val="center"/>
          </w:tcPr>
          <w:p>
            <w:r/>
            <w:r>
              <w:rPr>
                <w:b w:val="0"/>
                <w:sz w:val="17"/>
              </w:rPr>
              <w:t>고용량 pyridoxine의 일일 복용</w:t>
            </w:r>
          </w:p>
        </w:tc>
        <w:tc>
          <w:tcPr>
            <w:tcW w:type="dxa" w:w="4535"/>
            <w:vAlign w:val="center"/>
          </w:tcPr>
          <w:p>
            <w:r/>
            <w:r>
              <w:rPr>
                <w:b w:val="0"/>
                <w:sz w:val="17"/>
              </w:rPr>
              <w:t>성인 7명에서 운동실조와 중증 감각신경계 장애가 발생했으며 복용 중단 후 호전되었다.</w:t>
            </w:r>
          </w:p>
        </w:tc>
      </w:tr>
      <w:tr>
        <w:tc>
          <w:tcPr>
            <w:tcW w:type="dxa" w:w="1701"/>
            <w:vAlign w:val="center"/>
          </w:tcPr>
          <w:p>
            <w:r/>
            <w:r>
              <w:rPr>
                <w:b w:val="0"/>
                <w:sz w:val="17"/>
              </w:rPr>
              <w:t>Muhamad 등, 2023</w:t>
              <w:br/>
              <w:t>PMID 37447150</w:t>
            </w:r>
          </w:p>
        </w:tc>
        <w:tc>
          <w:tcPr>
            <w:tcW w:type="dxa" w:w="1417"/>
            <w:vAlign w:val="center"/>
          </w:tcPr>
          <w:p>
            <w:r/>
            <w:r>
              <w:rPr>
                <w:b w:val="0"/>
                <w:sz w:val="17"/>
              </w:rPr>
              <w:t>체계적 문헌고찰</w:t>
            </w:r>
          </w:p>
        </w:tc>
        <w:tc>
          <w:tcPr>
            <w:tcW w:type="dxa" w:w="1814"/>
            <w:vAlign w:val="center"/>
          </w:tcPr>
          <w:p>
            <w:r/>
            <w:r>
              <w:rPr>
                <w:b w:val="0"/>
                <w:sz w:val="17"/>
              </w:rPr>
              <w:t>비타민 B6와 말초신경병증</w:t>
            </w:r>
          </w:p>
        </w:tc>
        <w:tc>
          <w:tcPr>
            <w:tcW w:type="dxa" w:w="4535"/>
            <w:vAlign w:val="center"/>
          </w:tcPr>
          <w:p>
            <w:r/>
            <w:r>
              <w:rPr>
                <w:b w:val="0"/>
                <w:sz w:val="17"/>
              </w:rPr>
              <w:t>고용량 B6 노출 환자에서 감각성 신경병증이 보고되었고 중단 후 주관적 증상 호전이 관찰되었다. 허용량 범위의 위해 근거는 제한적이었다.</w:t>
            </w:r>
          </w:p>
        </w:tc>
      </w:tr>
      <w:tr>
        <w:tc>
          <w:tcPr>
            <w:tcW w:type="dxa" w:w="1701"/>
            <w:vAlign w:val="center"/>
          </w:tcPr>
          <w:p>
            <w:r/>
            <w:r>
              <w:rPr>
                <w:b w:val="0"/>
                <w:sz w:val="17"/>
              </w:rPr>
              <w:t>EFSA Panel, 2023</w:t>
              <w:br/>
              <w:t>PMID 37207271</w:t>
            </w:r>
          </w:p>
        </w:tc>
        <w:tc>
          <w:tcPr>
            <w:tcW w:type="dxa" w:w="1417"/>
            <w:vAlign w:val="center"/>
          </w:tcPr>
          <w:p>
            <w:r/>
            <w:r>
              <w:rPr>
                <w:b w:val="0"/>
                <w:sz w:val="17"/>
              </w:rPr>
              <w:t>과학적 의견서</w:t>
            </w:r>
          </w:p>
        </w:tc>
        <w:tc>
          <w:tcPr>
            <w:tcW w:type="dxa" w:w="1814"/>
            <w:vAlign w:val="center"/>
          </w:tcPr>
          <w:p>
            <w:r/>
            <w:r>
              <w:rPr>
                <w:b w:val="0"/>
                <w:sz w:val="17"/>
              </w:rPr>
              <w:t>성인 비타민 B6 섭취</w:t>
            </w:r>
          </w:p>
        </w:tc>
        <w:tc>
          <w:tcPr>
            <w:tcW w:type="dxa" w:w="4535"/>
            <w:vAlign w:val="center"/>
          </w:tcPr>
          <w:p>
            <w:r/>
            <w:r>
              <w:rPr>
                <w:b w:val="0"/>
                <w:sz w:val="17"/>
              </w:rPr>
              <w:t>말초신경병증을 결정적 결과로 사용해 성인 상한섭취량을 12 mg/day로 설정하였다.</w:t>
            </w:r>
          </w:p>
        </w:tc>
      </w:tr>
      <w:tr>
        <w:tc>
          <w:tcPr>
            <w:tcW w:type="dxa" w:w="1701"/>
            <w:vAlign w:val="center"/>
          </w:tcPr>
          <w:p>
            <w:r/>
            <w:r>
              <w:rPr>
                <w:b w:val="0"/>
                <w:sz w:val="17"/>
              </w:rPr>
              <w:t>Stein 등, 2021</w:t>
              <w:br/>
              <w:t>PMID 33619867</w:t>
            </w:r>
          </w:p>
        </w:tc>
        <w:tc>
          <w:tcPr>
            <w:tcW w:type="dxa" w:w="1417"/>
            <w:vAlign w:val="center"/>
          </w:tcPr>
          <w:p>
            <w:r/>
            <w:r>
              <w:rPr>
                <w:b w:val="0"/>
                <w:sz w:val="17"/>
              </w:rPr>
              <w:t>체계적 문헌고찰·메타분석</w:t>
            </w:r>
          </w:p>
        </w:tc>
        <w:tc>
          <w:tcPr>
            <w:tcW w:type="dxa" w:w="1814"/>
            <w:vAlign w:val="center"/>
          </w:tcPr>
          <w:p>
            <w:r/>
            <w:r>
              <w:rPr>
                <w:b w:val="0"/>
                <w:sz w:val="17"/>
              </w:rPr>
              <w:t>B군 비타민과 말초신경병증</w:t>
            </w:r>
          </w:p>
        </w:tc>
        <w:tc>
          <w:tcPr>
            <w:tcW w:type="dxa" w:w="4535"/>
            <w:vAlign w:val="center"/>
          </w:tcPr>
          <w:p>
            <w:r/>
            <w:r>
              <w:rPr>
                <w:b w:val="0"/>
                <w:sz w:val="17"/>
              </w:rPr>
              <w:t>B군 비타민 치료의 증상 개선은 연구 간 이질성이 컸고, B6 단독의 치료효과를 확정하기 어려웠다.</w:t>
            </w:r>
          </w:p>
        </w:tc>
      </w:tr>
    </w:tbl>
    <w:p/>
    <w:p>
      <w:pPr>
        <w:spacing w:line="300" w:lineRule="auto" w:after="100"/>
        <w:ind w:firstLine="312"/>
      </w:pPr>
      <w:r>
        <w:t>비타민 B6는 결핍 치료와 과량복용 위해를 구분해야 한다. 제품 한 개의 표시량만 확인하면 복합비타민, 에너지 제품 및 신경비타민제의 중복 섭취를 놓칠 수 있다. 따라서 하루 총량과 복용기간을 합산하고 저림, 감각저하, 균형장애 또는 보행 이상이 있는지 확인하도록 도구를 구성하였다.</w:t>
      </w:r>
    </w:p>
    <w:p>
      <w:r>
        <w:br w:type="page"/>
      </w:r>
    </w:p>
    <w:p>
      <w:pPr>
        <w:pStyle w:val="Heading2"/>
        <w:spacing w:before="240" w:after="120"/>
      </w:pPr>
      <w:r>
        <w:t>3.3.3 경구 철분</w:t>
      </w:r>
    </w:p>
    <w:p>
      <w:pPr>
        <w:spacing w:line="300" w:lineRule="auto" w:after="100"/>
        <w:ind w:firstLine="312"/>
      </w:pPr>
      <w:r>
        <w:t>철분 문헌에서는 위장관 이상반응의 빈도와 제제·복용 일정에 따른 차이가 주요 결과였다. 황산철 메타분석은 위약 또는 정맥 철분보다 위장관 부작용이 증가함을 보였고, 여러 경구 제제를 비교한 종설에서는 제제별 이상반응 빈도에 큰 차이가 보고되었다.</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409"/>
            <w:vAlign w:val="center"/>
            <w:shd w:fill="DCE6F1"/>
          </w:tcPr>
          <w:p>
            <w:r/>
            <w:r>
              <w:rPr>
                <w:b/>
                <w:sz w:val="17"/>
              </w:rPr>
              <w:t>연구</w:t>
            </w:r>
          </w:p>
        </w:tc>
        <w:tc>
          <w:tcPr>
            <w:tcW w:type="dxa" w:w="2409"/>
            <w:vAlign w:val="center"/>
            <w:shd w:fill="DCE6F1"/>
          </w:tcPr>
          <w:p>
            <w:r/>
            <w:r>
              <w:rPr>
                <w:b/>
                <w:sz w:val="17"/>
              </w:rPr>
              <w:t>설계</w:t>
            </w:r>
          </w:p>
        </w:tc>
        <w:tc>
          <w:tcPr>
            <w:tcW w:type="dxa" w:w="2409"/>
            <w:vAlign w:val="center"/>
            <w:shd w:fill="DCE6F1"/>
          </w:tcPr>
          <w:p>
            <w:r/>
            <w:r>
              <w:rPr>
                <w:b/>
                <w:sz w:val="17"/>
              </w:rPr>
              <w:t>노출</w:t>
            </w:r>
          </w:p>
        </w:tc>
        <w:tc>
          <w:tcPr>
            <w:tcW w:type="dxa" w:w="2409"/>
            <w:vAlign w:val="center"/>
            <w:shd w:fill="DCE6F1"/>
          </w:tcPr>
          <w:p>
            <w:r/>
            <w:r>
              <w:rPr>
                <w:b/>
                <w:sz w:val="17"/>
              </w:rPr>
              <w:t>주요 결과</w:t>
            </w:r>
          </w:p>
        </w:tc>
      </w:tr>
      <w:tr>
        <w:tc>
          <w:tcPr>
            <w:tcW w:type="dxa" w:w="1701"/>
            <w:vAlign w:val="center"/>
          </w:tcPr>
          <w:p>
            <w:r/>
            <w:r>
              <w:rPr>
                <w:b w:val="0"/>
                <w:sz w:val="17"/>
              </w:rPr>
              <w:t>Tolkien 등, 2015</w:t>
              <w:br/>
              <w:t>PMID 25700159</w:t>
            </w:r>
          </w:p>
        </w:tc>
        <w:tc>
          <w:tcPr>
            <w:tcW w:type="dxa" w:w="1417"/>
            <w:vAlign w:val="center"/>
          </w:tcPr>
          <w:p>
            <w:r/>
            <w:r>
              <w:rPr>
                <w:b w:val="0"/>
                <w:sz w:val="17"/>
              </w:rPr>
              <w:t>체계적 문헌고찰·메타분석</w:t>
            </w:r>
          </w:p>
        </w:tc>
        <w:tc>
          <w:tcPr>
            <w:tcW w:type="dxa" w:w="1814"/>
            <w:vAlign w:val="center"/>
          </w:tcPr>
          <w:p>
            <w:r/>
            <w:r>
              <w:rPr>
                <w:b w:val="0"/>
                <w:sz w:val="17"/>
              </w:rPr>
              <w:t>경구 황산철</w:t>
            </w:r>
          </w:p>
        </w:tc>
        <w:tc>
          <w:tcPr>
            <w:tcW w:type="dxa" w:w="4535"/>
            <w:vAlign w:val="center"/>
          </w:tcPr>
          <w:p>
            <w:r/>
            <w:r>
              <w:rPr>
                <w:b w:val="0"/>
                <w:sz w:val="17"/>
              </w:rPr>
              <w:t>위약 대비 위장관 이상반응 OR 2.32(95% CI 1.74-3.08). 임신부 하위군 OR 3.33(95% CI 1.19-9.28). 용량과 OR의 유의한 관련성은 없었다.</w:t>
            </w:r>
          </w:p>
        </w:tc>
      </w:tr>
      <w:tr>
        <w:tc>
          <w:tcPr>
            <w:tcW w:type="dxa" w:w="1701"/>
            <w:vAlign w:val="center"/>
          </w:tcPr>
          <w:p>
            <w:r/>
            <w:r>
              <w:rPr>
                <w:b w:val="0"/>
                <w:sz w:val="17"/>
              </w:rPr>
              <w:t>Cancelo-Hidalgo 등, 2013</w:t>
              <w:br/>
              <w:t>PMID 23252877</w:t>
            </w:r>
          </w:p>
        </w:tc>
        <w:tc>
          <w:tcPr>
            <w:tcW w:type="dxa" w:w="1417"/>
            <w:vAlign w:val="center"/>
          </w:tcPr>
          <w:p>
            <w:r/>
            <w:r>
              <w:rPr>
                <w:b w:val="0"/>
                <w:sz w:val="17"/>
              </w:rPr>
              <w:t>체계적 문헌고찰</w:t>
            </w:r>
          </w:p>
        </w:tc>
        <w:tc>
          <w:tcPr>
            <w:tcW w:type="dxa" w:w="1814"/>
            <w:vAlign w:val="center"/>
          </w:tcPr>
          <w:p>
            <w:r/>
            <w:r>
              <w:rPr>
                <w:b w:val="0"/>
                <w:sz w:val="17"/>
              </w:rPr>
              <w:t>경구 철분 제제 111개 연구, 10,695명</w:t>
            </w:r>
          </w:p>
        </w:tc>
        <w:tc>
          <w:tcPr>
            <w:tcW w:type="dxa" w:w="4535"/>
            <w:vAlign w:val="center"/>
          </w:tcPr>
          <w:p>
            <w:r/>
            <w:r>
              <w:rPr>
                <w:b w:val="0"/>
                <w:sz w:val="17"/>
              </w:rPr>
              <w:t>전체 이상반응은 제제에 따라 4.1-47.0%, 위장관 이상반응은 3.7-43.4%였다.</w:t>
            </w:r>
          </w:p>
        </w:tc>
      </w:tr>
      <w:tr>
        <w:tc>
          <w:tcPr>
            <w:tcW w:type="dxa" w:w="1701"/>
            <w:vAlign w:val="center"/>
          </w:tcPr>
          <w:p>
            <w:r/>
            <w:r>
              <w:rPr>
                <w:b w:val="0"/>
                <w:sz w:val="17"/>
              </w:rPr>
              <w:t>Pereira 등, 2014</w:t>
              <w:br/>
              <w:t>PMID 24899360</w:t>
            </w:r>
          </w:p>
        </w:tc>
        <w:tc>
          <w:tcPr>
            <w:tcW w:type="dxa" w:w="1417"/>
            <w:vAlign w:val="center"/>
          </w:tcPr>
          <w:p>
            <w:r/>
            <w:r>
              <w:rPr>
                <w:b w:val="0"/>
                <w:sz w:val="17"/>
              </w:rPr>
              <w:t>무작위배정시험</w:t>
            </w:r>
          </w:p>
        </w:tc>
        <w:tc>
          <w:tcPr>
            <w:tcW w:type="dxa" w:w="1814"/>
            <w:vAlign w:val="center"/>
          </w:tcPr>
          <w:p>
            <w:r/>
            <w:r>
              <w:rPr>
                <w:b w:val="0"/>
                <w:sz w:val="17"/>
              </w:rPr>
              <w:t>황산철 65 mg elemental iron, 1일 2회</w:t>
            </w:r>
          </w:p>
        </w:tc>
        <w:tc>
          <w:tcPr>
            <w:tcW w:type="dxa" w:w="4535"/>
            <w:vAlign w:val="center"/>
          </w:tcPr>
          <w:p>
            <w:r/>
            <w:r>
              <w:rPr>
                <w:b w:val="0"/>
                <w:sz w:val="17"/>
              </w:rPr>
              <w:t>첫 주 증상 보고자의 75%가 황산철군이었다. 증상 수는 황산철군 6.7±1.7, 위약군 1.2±0.5(p=0.01)였다.</w:t>
            </w:r>
          </w:p>
        </w:tc>
      </w:tr>
      <w:tr>
        <w:tc>
          <w:tcPr>
            <w:tcW w:type="dxa" w:w="1701"/>
            <w:vAlign w:val="center"/>
          </w:tcPr>
          <w:p>
            <w:r/>
            <w:r>
              <w:rPr>
                <w:b w:val="0"/>
                <w:sz w:val="17"/>
              </w:rPr>
              <w:t>Kampuang 등, 2023</w:t>
              <w:br/>
              <w:t>PMID 37010569</w:t>
            </w:r>
          </w:p>
        </w:tc>
        <w:tc>
          <w:tcPr>
            <w:tcW w:type="dxa" w:w="1417"/>
            <w:vAlign w:val="center"/>
          </w:tcPr>
          <w:p>
            <w:r/>
            <w:r>
              <w:rPr>
                <w:b w:val="0"/>
                <w:sz w:val="17"/>
              </w:rPr>
              <w:t>무작위배정시험</w:t>
            </w:r>
          </w:p>
        </w:tc>
        <w:tc>
          <w:tcPr>
            <w:tcW w:type="dxa" w:w="1814"/>
            <w:vAlign w:val="center"/>
          </w:tcPr>
          <w:p>
            <w:r/>
            <w:r>
              <w:rPr>
                <w:b w:val="0"/>
                <w:sz w:val="17"/>
              </w:rPr>
              <w:t>ferrous fumarate 주 3회 대 1일 3회</w:t>
            </w:r>
          </w:p>
        </w:tc>
        <w:tc>
          <w:tcPr>
            <w:tcW w:type="dxa" w:w="4535"/>
            <w:vAlign w:val="center"/>
          </w:tcPr>
          <w:p>
            <w:r/>
            <w:r>
              <w:rPr>
                <w:b w:val="0"/>
                <w:sz w:val="17"/>
              </w:rPr>
              <w:t>64명에서 12주 혈액학적 반응은 유사했으며 주 3회군에서 위장관 이상반응과 비용이 적었다.</w:t>
            </w:r>
          </w:p>
        </w:tc>
      </w:tr>
    </w:tbl>
    <w:p/>
    <w:p>
      <w:pPr>
        <w:spacing w:line="300" w:lineRule="auto" w:after="100"/>
        <w:ind w:firstLine="312"/>
      </w:pPr>
      <w:r>
        <w:t>이 결과는 철분 상담에서 ‘복용 가능 여부’보다 제제명, 1회 원소철 함량, 하루 복용 횟수 및 증상을 확인하는 것이 중요함을 보여준다. 오심, 구토, 속쓰림, 복통, 설사 및 변비가 지속되면 임의 중단만 권하기보다 복용 일정과 제제 변경 가능성을 전문가와 상의하도록 안내해야 한다.</w:t>
      </w:r>
    </w:p>
    <w:p>
      <w:r>
        <w:br w:type="page"/>
      </w:r>
    </w:p>
    <w:p>
      <w:pPr>
        <w:pStyle w:val="Heading2"/>
        <w:spacing w:before="240" w:after="120"/>
      </w:pPr>
      <w:r>
        <w:t>3.3.4 마그네슘</w:t>
      </w:r>
    </w:p>
    <w:p>
      <w:pPr>
        <w:spacing w:line="300" w:lineRule="auto" w:after="100"/>
        <w:ind w:firstLine="312"/>
      </w:pPr>
      <w:r>
        <w:t>마그네슘은 보충제의 설사와 magnesium oxide 복용자의 고마그네슘혈증이라는 두 가지 안전성 문제가 확인되었다. 특히 고령, 신기능 저하, 고용량 및 장기 복용이 함께 존재할 때 중증 위험이 증가하였다.</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409"/>
            <w:vAlign w:val="center"/>
            <w:shd w:fill="DCE6F1"/>
          </w:tcPr>
          <w:p>
            <w:r/>
            <w:r>
              <w:rPr>
                <w:b/>
                <w:sz w:val="17"/>
              </w:rPr>
              <w:t>연구</w:t>
            </w:r>
          </w:p>
        </w:tc>
        <w:tc>
          <w:tcPr>
            <w:tcW w:type="dxa" w:w="2409"/>
            <w:vAlign w:val="center"/>
            <w:shd w:fill="DCE6F1"/>
          </w:tcPr>
          <w:p>
            <w:r/>
            <w:r>
              <w:rPr>
                <w:b/>
                <w:sz w:val="17"/>
              </w:rPr>
              <w:t>설계</w:t>
            </w:r>
          </w:p>
        </w:tc>
        <w:tc>
          <w:tcPr>
            <w:tcW w:type="dxa" w:w="2409"/>
            <w:vAlign w:val="center"/>
            <w:shd w:fill="DCE6F1"/>
          </w:tcPr>
          <w:p>
            <w:r/>
            <w:r>
              <w:rPr>
                <w:b/>
                <w:sz w:val="17"/>
              </w:rPr>
              <w:t>노출</w:t>
            </w:r>
          </w:p>
        </w:tc>
        <w:tc>
          <w:tcPr>
            <w:tcW w:type="dxa" w:w="2409"/>
            <w:vAlign w:val="center"/>
            <w:shd w:fill="DCE6F1"/>
          </w:tcPr>
          <w:p>
            <w:r/>
            <w:r>
              <w:rPr>
                <w:b/>
                <w:sz w:val="17"/>
              </w:rPr>
              <w:t>주요 결과</w:t>
            </w:r>
          </w:p>
        </w:tc>
      </w:tr>
      <w:tr>
        <w:tc>
          <w:tcPr>
            <w:tcW w:type="dxa" w:w="1701"/>
            <w:vAlign w:val="center"/>
          </w:tcPr>
          <w:p>
            <w:r/>
            <w:r>
              <w:rPr>
                <w:b w:val="0"/>
                <w:sz w:val="17"/>
              </w:rPr>
              <w:t>Wakai 등, 2019</w:t>
              <w:br/>
              <w:t>PMID 30805197</w:t>
            </w:r>
          </w:p>
        </w:tc>
        <w:tc>
          <w:tcPr>
            <w:tcW w:type="dxa" w:w="1417"/>
            <w:vAlign w:val="center"/>
          </w:tcPr>
          <w:p>
            <w:r/>
            <w:r>
              <w:rPr>
                <w:b w:val="0"/>
                <w:sz w:val="17"/>
              </w:rPr>
              <w:t>후향적 코호트</w:t>
            </w:r>
          </w:p>
        </w:tc>
        <w:tc>
          <w:tcPr>
            <w:tcW w:type="dxa" w:w="1814"/>
            <w:vAlign w:val="center"/>
          </w:tcPr>
          <w:p>
            <w:r/>
            <w:r>
              <w:rPr>
                <w:b w:val="0"/>
                <w:sz w:val="17"/>
              </w:rPr>
              <w:t>MgO 처방 환자 320명</w:t>
            </w:r>
          </w:p>
        </w:tc>
        <w:tc>
          <w:tcPr>
            <w:tcW w:type="dxa" w:w="4535"/>
            <w:vAlign w:val="center"/>
          </w:tcPr>
          <w:p>
            <w:r/>
            <w:r>
              <w:rPr>
                <w:b w:val="0"/>
                <w:sz w:val="17"/>
              </w:rPr>
              <w:t>75명(23%)에서 고마그네슘혈증. eGFR ≤55.4(OR 3.105), BUN ≥22.4(OR 3.490), MgO ≥1,650 mg/day(OR 1.914), ≥36일 복용(OR 2.198)이 독립 위험요인이었다.</w:t>
            </w:r>
          </w:p>
        </w:tc>
      </w:tr>
      <w:tr>
        <w:tc>
          <w:tcPr>
            <w:tcW w:type="dxa" w:w="1701"/>
            <w:vAlign w:val="center"/>
          </w:tcPr>
          <w:p>
            <w:r/>
            <w:r>
              <w:rPr>
                <w:b w:val="0"/>
                <w:sz w:val="17"/>
              </w:rPr>
              <w:t>Yamaguchi 등, 2019</w:t>
              <w:br/>
              <w:t>PMID 30136128</w:t>
            </w:r>
          </w:p>
        </w:tc>
        <w:tc>
          <w:tcPr>
            <w:tcW w:type="dxa" w:w="1417"/>
            <w:vAlign w:val="center"/>
          </w:tcPr>
          <w:p>
            <w:r/>
            <w:r>
              <w:rPr>
                <w:b w:val="0"/>
                <w:sz w:val="17"/>
              </w:rPr>
              <w:t>증례군</w:t>
            </w:r>
          </w:p>
        </w:tc>
        <w:tc>
          <w:tcPr>
            <w:tcW w:type="dxa" w:w="1814"/>
            <w:vAlign w:val="center"/>
          </w:tcPr>
          <w:p>
            <w:r/>
            <w:r>
              <w:rPr>
                <w:b w:val="0"/>
                <w:sz w:val="17"/>
              </w:rPr>
              <w:t>MgO 복용 고령자</w:t>
            </w:r>
          </w:p>
        </w:tc>
        <w:tc>
          <w:tcPr>
            <w:tcW w:type="dxa" w:w="4535"/>
            <w:vAlign w:val="center"/>
          </w:tcPr>
          <w:p>
            <w:r/>
            <w:r>
              <w:rPr>
                <w:b w:val="0"/>
                <w:sz w:val="17"/>
              </w:rPr>
              <w:t>65세 이상 신기능 저하 환자 4명에서 증상성 중증 고마그네슘혈증이 발생했고 1명은 사망하였다.</w:t>
            </w:r>
          </w:p>
        </w:tc>
      </w:tr>
      <w:tr>
        <w:tc>
          <w:tcPr>
            <w:tcW w:type="dxa" w:w="1701"/>
            <w:vAlign w:val="center"/>
          </w:tcPr>
          <w:p>
            <w:r/>
            <w:r>
              <w:rPr>
                <w:b w:val="0"/>
                <w:sz w:val="17"/>
              </w:rPr>
              <w:t>Nishikawa 등, 2018</w:t>
              <w:br/>
              <w:t>PMID 29988705</w:t>
            </w:r>
          </w:p>
        </w:tc>
        <w:tc>
          <w:tcPr>
            <w:tcW w:type="dxa" w:w="1417"/>
            <w:vAlign w:val="center"/>
          </w:tcPr>
          <w:p>
            <w:r/>
            <w:r>
              <w:rPr>
                <w:b w:val="0"/>
                <w:sz w:val="17"/>
              </w:rPr>
              <w:t>증례군</w:t>
            </w:r>
          </w:p>
        </w:tc>
        <w:tc>
          <w:tcPr>
            <w:tcW w:type="dxa" w:w="1814"/>
            <w:vAlign w:val="center"/>
          </w:tcPr>
          <w:p>
            <w:r/>
            <w:r>
              <w:rPr>
                <w:b w:val="0"/>
                <w:sz w:val="17"/>
              </w:rPr>
              <w:t>응급 혈액투석 환자 15명</w:t>
            </w:r>
          </w:p>
        </w:tc>
        <w:tc>
          <w:tcPr>
            <w:tcW w:type="dxa" w:w="4535"/>
            <w:vAlign w:val="center"/>
          </w:tcPr>
          <w:p>
            <w:r/>
            <w:r>
              <w:rPr>
                <w:b w:val="0"/>
                <w:sz w:val="17"/>
              </w:rPr>
              <w:t>모두 MgO를 복용했고 14명이 65세 이상이었다. 투석 전 Mg 중앙값 6.0 mg/dL; 9명에서 급성신손상이 동반되었다.</w:t>
            </w:r>
          </w:p>
        </w:tc>
      </w:tr>
      <w:tr>
        <w:tc>
          <w:tcPr>
            <w:tcW w:type="dxa" w:w="1701"/>
            <w:vAlign w:val="center"/>
          </w:tcPr>
          <w:p>
            <w:r/>
            <w:r>
              <w:rPr>
                <w:b w:val="0"/>
                <w:sz w:val="17"/>
              </w:rPr>
              <w:t>Costello 등, 2023</w:t>
              <w:br/>
              <w:t>PMID 37487817</w:t>
            </w:r>
          </w:p>
        </w:tc>
        <w:tc>
          <w:tcPr>
            <w:tcW w:type="dxa" w:w="1417"/>
            <w:vAlign w:val="center"/>
          </w:tcPr>
          <w:p>
            <w:r/>
            <w:r>
              <w:rPr>
                <w:b w:val="0"/>
                <w:sz w:val="17"/>
              </w:rPr>
              <w:t>서술적 고찰</w:t>
            </w:r>
          </w:p>
        </w:tc>
        <w:tc>
          <w:tcPr>
            <w:tcW w:type="dxa" w:w="1814"/>
            <w:vAlign w:val="center"/>
          </w:tcPr>
          <w:p>
            <w:r/>
            <w:r>
              <w:rPr>
                <w:b w:val="0"/>
                <w:sz w:val="17"/>
              </w:rPr>
              <w:t>보충 마그네슘 128-1,200 mg/day</w:t>
            </w:r>
          </w:p>
        </w:tc>
        <w:tc>
          <w:tcPr>
            <w:tcW w:type="dxa" w:w="4535"/>
            <w:vAlign w:val="center"/>
          </w:tcPr>
          <w:p>
            <w:r/>
            <w:r>
              <w:rPr>
                <w:b w:val="0"/>
                <w:sz w:val="17"/>
              </w:rPr>
              <w:t>다수 중재연구에서 대조군 대비 설사 차이가 없었으나 일부 연구에서는 설사로 중도탈락이 보고되었다.</w:t>
            </w:r>
          </w:p>
        </w:tc>
      </w:tr>
      <w:tr>
        <w:tc>
          <w:tcPr>
            <w:tcW w:type="dxa" w:w="1701"/>
            <w:vAlign w:val="center"/>
          </w:tcPr>
          <w:p>
            <w:r/>
            <w:r>
              <w:rPr>
                <w:b w:val="0"/>
                <w:sz w:val="17"/>
              </w:rPr>
              <w:t>Kawano 등, 2024</w:t>
              <w:br/>
              <w:t>PMID 39218658</w:t>
            </w:r>
          </w:p>
        </w:tc>
        <w:tc>
          <w:tcPr>
            <w:tcW w:type="dxa" w:w="1417"/>
            <w:vAlign w:val="center"/>
          </w:tcPr>
          <w:p>
            <w:r/>
            <w:r>
              <w:rPr>
                <w:b w:val="0"/>
                <w:sz w:val="17"/>
              </w:rPr>
              <w:t>코호트 연구</w:t>
            </w:r>
          </w:p>
        </w:tc>
        <w:tc>
          <w:tcPr>
            <w:tcW w:type="dxa" w:w="1814"/>
            <w:vAlign w:val="center"/>
          </w:tcPr>
          <w:p>
            <w:r/>
            <w:r>
              <w:rPr>
                <w:b w:val="0"/>
                <w:sz w:val="17"/>
              </w:rPr>
              <w:t>MgO 입원환자 256명</w:t>
            </w:r>
          </w:p>
        </w:tc>
        <w:tc>
          <w:tcPr>
            <w:tcW w:type="dxa" w:w="4535"/>
            <w:vAlign w:val="center"/>
          </w:tcPr>
          <w:p>
            <w:r/>
            <w:r>
              <w:rPr>
                <w:b w:val="0"/>
                <w:sz w:val="17"/>
              </w:rPr>
              <w:t>BUN, eGFR, MgO 용량과 낮은 BMI가 고마그네슘혈증 위험과 관련되어 혈중 Mg 모니터링 필요성을 제시하였다.</w:t>
            </w:r>
          </w:p>
        </w:tc>
      </w:tr>
    </w:tbl>
    <w:p/>
    <w:p>
      <w:pPr>
        <w:spacing w:line="300" w:lineRule="auto" w:after="100"/>
        <w:ind w:firstLine="312"/>
      </w:pPr>
      <w:r>
        <w:t>마그네슘 도구에는 제품과 1일 용량 외에도 신기능과 복용기간을 필수 항목으로 포함하였다. 의식저하, 저혈압, 서맥 또는 호흡곤란은 단순한 위장관 부작용과 구분해야 하며, 권장량 이내 복용이라도 고령자나 급성신손상 환자에서는 혈중 마그네슘 확인이 필요할 수 있다.</w:t>
      </w:r>
    </w:p>
    <w:p>
      <w:r>
        <w:br w:type="page"/>
      </w:r>
    </w:p>
    <w:p>
      <w:pPr>
        <w:pStyle w:val="Heading2"/>
        <w:spacing w:before="240" w:after="120"/>
      </w:pPr>
      <w:r>
        <w:t>3.3.5 아연</w:t>
      </w:r>
    </w:p>
    <w:p>
      <w:pPr>
        <w:spacing w:line="300" w:lineRule="auto" w:after="100"/>
        <w:ind w:firstLine="312"/>
      </w:pPr>
      <w:r>
        <w:t>아연의 주요 장기 위해는 구리 흡수 저하에 따른 빈혈, 호중구감소증 및 신경학적 이상이었다. 최근 증례들은 일반의약품 또는 보충제 형태의 아연을 장기간 복용한 고령자에서 중증 구리결핍이 뒤늦게 발견될 수 있음을 보여준다.</w:t>
      </w:r>
    </w:p>
    <w:tbl>
      <w:tblPr>
        <w:tblStyle w:val="TableGrid"/>
        <w:tblW w:type="auto" w:w="0"/>
        <w:jc w:val="center"/>
        <w:tblLayout w:type="fixed"/>
        <w:tblLook w:firstColumn="1" w:firstRow="1" w:lastColumn="0" w:lastRow="0" w:noHBand="0" w:noVBand="1" w:val="04A0"/>
      </w:tblPr>
      <w:tblGrid>
        <w:gridCol w:w="2409"/>
        <w:gridCol w:w="2409"/>
        <w:gridCol w:w="2409"/>
        <w:gridCol w:w="2409"/>
      </w:tblGrid>
      <w:tr>
        <w:tc>
          <w:tcPr>
            <w:tcW w:type="dxa" w:w="2409"/>
            <w:vAlign w:val="center"/>
            <w:shd w:fill="DCE6F1"/>
          </w:tcPr>
          <w:p>
            <w:r/>
            <w:r>
              <w:rPr>
                <w:b/>
                <w:sz w:val="17"/>
              </w:rPr>
              <w:t>연구</w:t>
            </w:r>
          </w:p>
        </w:tc>
        <w:tc>
          <w:tcPr>
            <w:tcW w:type="dxa" w:w="2409"/>
            <w:vAlign w:val="center"/>
            <w:shd w:fill="DCE6F1"/>
          </w:tcPr>
          <w:p>
            <w:r/>
            <w:r>
              <w:rPr>
                <w:b/>
                <w:sz w:val="17"/>
              </w:rPr>
              <w:t>설계</w:t>
            </w:r>
          </w:p>
        </w:tc>
        <w:tc>
          <w:tcPr>
            <w:tcW w:type="dxa" w:w="2409"/>
            <w:vAlign w:val="center"/>
            <w:shd w:fill="DCE6F1"/>
          </w:tcPr>
          <w:p>
            <w:r/>
            <w:r>
              <w:rPr>
                <w:b/>
                <w:sz w:val="17"/>
              </w:rPr>
              <w:t>노출</w:t>
            </w:r>
          </w:p>
        </w:tc>
        <w:tc>
          <w:tcPr>
            <w:tcW w:type="dxa" w:w="2409"/>
            <w:vAlign w:val="center"/>
            <w:shd w:fill="DCE6F1"/>
          </w:tcPr>
          <w:p>
            <w:r/>
            <w:r>
              <w:rPr>
                <w:b/>
                <w:sz w:val="17"/>
              </w:rPr>
              <w:t>주요 결과</w:t>
            </w:r>
          </w:p>
        </w:tc>
      </w:tr>
      <w:tr>
        <w:tc>
          <w:tcPr>
            <w:tcW w:type="dxa" w:w="1701"/>
            <w:vAlign w:val="center"/>
          </w:tcPr>
          <w:p>
            <w:r/>
            <w:r>
              <w:rPr>
                <w:b w:val="0"/>
                <w:sz w:val="17"/>
              </w:rPr>
              <w:t>Fosmire, 1990</w:t>
              <w:br/>
              <w:t>PMID 2407097</w:t>
            </w:r>
          </w:p>
        </w:tc>
        <w:tc>
          <w:tcPr>
            <w:tcW w:type="dxa" w:w="1417"/>
            <w:vAlign w:val="center"/>
          </w:tcPr>
          <w:p>
            <w:r/>
            <w:r>
              <w:rPr>
                <w:b w:val="0"/>
                <w:sz w:val="17"/>
              </w:rPr>
              <w:t>종설</w:t>
            </w:r>
          </w:p>
        </w:tc>
        <w:tc>
          <w:tcPr>
            <w:tcW w:type="dxa" w:w="1814"/>
            <w:vAlign w:val="center"/>
          </w:tcPr>
          <w:p>
            <w:r/>
            <w:r>
              <w:rPr>
                <w:b w:val="0"/>
                <w:sz w:val="17"/>
              </w:rPr>
              <w:t>과량 아연 섭취</w:t>
            </w:r>
          </w:p>
        </w:tc>
        <w:tc>
          <w:tcPr>
            <w:tcW w:type="dxa" w:w="4535"/>
            <w:vAlign w:val="center"/>
          </w:tcPr>
          <w:p>
            <w:r/>
            <w:r>
              <w:rPr>
                <w:b w:val="0"/>
                <w:sz w:val="17"/>
              </w:rPr>
              <w:t>만성 과량 섭취에서 구리결핍, 빈혈 및 면역·지질대사 변화 가능성을 정리하였다.</w:t>
            </w:r>
          </w:p>
        </w:tc>
      </w:tr>
      <w:tr>
        <w:tc>
          <w:tcPr>
            <w:tcW w:type="dxa" w:w="1701"/>
            <w:vAlign w:val="center"/>
          </w:tcPr>
          <w:p>
            <w:r/>
            <w:r>
              <w:rPr>
                <w:b w:val="0"/>
                <w:sz w:val="17"/>
              </w:rPr>
              <w:t>Wahab 등, 2023</w:t>
              <w:br/>
              <w:t>PMID 37640593</w:t>
            </w:r>
          </w:p>
        </w:tc>
        <w:tc>
          <w:tcPr>
            <w:tcW w:type="dxa" w:w="1417"/>
            <w:vAlign w:val="center"/>
          </w:tcPr>
          <w:p>
            <w:r/>
            <w:r>
              <w:rPr>
                <w:b w:val="0"/>
                <w:sz w:val="17"/>
              </w:rPr>
              <w:t>증례보고</w:t>
            </w:r>
          </w:p>
        </w:tc>
        <w:tc>
          <w:tcPr>
            <w:tcW w:type="dxa" w:w="1814"/>
            <w:vAlign w:val="center"/>
          </w:tcPr>
          <w:p>
            <w:r/>
            <w:r>
              <w:rPr>
                <w:b w:val="0"/>
                <w:sz w:val="17"/>
              </w:rPr>
              <w:t>아연 보충제</w:t>
            </w:r>
          </w:p>
        </w:tc>
        <w:tc>
          <w:tcPr>
            <w:tcW w:type="dxa" w:w="4535"/>
            <w:vAlign w:val="center"/>
          </w:tcPr>
          <w:p>
            <w:r/>
            <w:r>
              <w:rPr>
                <w:b w:val="0"/>
                <w:sz w:val="17"/>
              </w:rPr>
              <w:t>아연 보충제 사용으로 인한 중증 구리결핍 빈혈 사례를 보고하였다.</w:t>
            </w:r>
          </w:p>
        </w:tc>
      </w:tr>
      <w:tr>
        <w:tc>
          <w:tcPr>
            <w:tcW w:type="dxa" w:w="1701"/>
            <w:vAlign w:val="center"/>
          </w:tcPr>
          <w:p>
            <w:r/>
            <w:r>
              <w:rPr>
                <w:b w:val="0"/>
                <w:sz w:val="17"/>
              </w:rPr>
              <w:t>Gupta 등, 2023</w:t>
              <w:br/>
              <w:t>PMID 37736439</w:t>
            </w:r>
          </w:p>
        </w:tc>
        <w:tc>
          <w:tcPr>
            <w:tcW w:type="dxa" w:w="1417"/>
            <w:vAlign w:val="center"/>
          </w:tcPr>
          <w:p>
            <w:r/>
            <w:r>
              <w:rPr>
                <w:b w:val="0"/>
                <w:sz w:val="17"/>
              </w:rPr>
              <w:t>증례보고</w:t>
            </w:r>
          </w:p>
        </w:tc>
        <w:tc>
          <w:tcPr>
            <w:tcW w:type="dxa" w:w="1814"/>
            <w:vAlign w:val="center"/>
          </w:tcPr>
          <w:p>
            <w:r/>
            <w:r>
              <w:rPr>
                <w:b w:val="0"/>
                <w:sz w:val="17"/>
              </w:rPr>
              <w:t>76세 여성의 아연 보충</w:t>
            </w:r>
          </w:p>
        </w:tc>
        <w:tc>
          <w:tcPr>
            <w:tcW w:type="dxa" w:w="4535"/>
            <w:vAlign w:val="center"/>
          </w:tcPr>
          <w:p>
            <w:r/>
            <w:r>
              <w:rPr>
                <w:b w:val="0"/>
                <w:sz w:val="17"/>
              </w:rPr>
              <w:t>저구리혈증, 중증 범혈구감소증, 빈혈 및 보행장애가 발생하였다. 아연 중단과 구리 투여 후 혈액학적 이상은 회복되었으나 신경학적 장애는 남았다.</w:t>
            </w:r>
          </w:p>
        </w:tc>
      </w:tr>
      <w:tr>
        <w:tc>
          <w:tcPr>
            <w:tcW w:type="dxa" w:w="1701"/>
            <w:vAlign w:val="center"/>
          </w:tcPr>
          <w:p>
            <w:r/>
            <w:r>
              <w:rPr>
                <w:b w:val="0"/>
                <w:sz w:val="17"/>
              </w:rPr>
              <w:t>Hooten 등, 2024</w:t>
              <w:br/>
              <w:t>PMID 38846187</w:t>
            </w:r>
          </w:p>
        </w:tc>
        <w:tc>
          <w:tcPr>
            <w:tcW w:type="dxa" w:w="1417"/>
            <w:vAlign w:val="center"/>
          </w:tcPr>
          <w:p>
            <w:r/>
            <w:r>
              <w:rPr>
                <w:b w:val="0"/>
                <w:sz w:val="17"/>
              </w:rPr>
              <w:t>증례보고</w:t>
            </w:r>
          </w:p>
        </w:tc>
        <w:tc>
          <w:tcPr>
            <w:tcW w:type="dxa" w:w="1814"/>
            <w:vAlign w:val="center"/>
          </w:tcPr>
          <w:p>
            <w:r/>
            <w:r>
              <w:rPr>
                <w:b w:val="0"/>
                <w:sz w:val="17"/>
              </w:rPr>
              <w:t>OTC 비타민·무기질 제품</w:t>
            </w:r>
          </w:p>
        </w:tc>
        <w:tc>
          <w:tcPr>
            <w:tcW w:type="dxa" w:w="4535"/>
            <w:vAlign w:val="center"/>
          </w:tcPr>
          <w:p>
            <w:r/>
            <w:r>
              <w:rPr>
                <w:b w:val="0"/>
                <w:sz w:val="17"/>
              </w:rPr>
              <w:t>74세 여성에서 높은 아연, 낮은 구리와 ceruloplasmin, 환상철적모구 및 호중구감소증이 확인되었다. 제품 중단과 구리 투여 후 호전되었다.</w:t>
            </w:r>
          </w:p>
        </w:tc>
      </w:tr>
    </w:tbl>
    <w:p/>
    <w:p>
      <w:pPr>
        <w:spacing w:line="300" w:lineRule="auto" w:after="100"/>
        <w:ind w:firstLine="312"/>
      </w:pPr>
      <w:r>
        <w:t>아연 관련 증례는 혈액학적 이상이 회복되어도 신경학적 후유증이 남을 수 있음을 보여준다. 따라서 장기 복용자에게서는 아연 용량과 기간을 확인하고, 설명되지 않는 빈혈·백혈구감소·감각 이상 또는 보행장애가 있을 때 혈중 아연과 구리 검사를 의료진과 상의하도록 안내하였다.</w:t>
      </w:r>
    </w:p>
    <w:p>
      <w:pPr>
        <w:pStyle w:val="Heading2"/>
        <w:spacing w:before="240" w:after="120"/>
      </w:pPr>
      <w:r>
        <w:t>3.4 정보제공 도구의 구성</w:t>
      </w:r>
    </w:p>
    <w:p>
      <w:pPr>
        <w:spacing w:line="300" w:lineRule="auto" w:after="100"/>
        <w:ind w:firstLine="312"/>
      </w:pPr>
      <w:r>
        <w:t>조회 도구는 성분별로 복용량, 복용기간, 병용제품, 기저질환 및 현재 증상을 확인하도록 구성하였다. 비타민 D에서는 칼슘 병용과 결석 병력, 비타민 B6에서는 여러 제품의 중복 섭취와 감각 이상, 철분에서는 제제와 복용 횟수 및 위장관 증상, 마그네슘에서는 신기능과 설사·저혈압·의식 변화, 아연에서는 장기 복용과 빈혈·보행 이상을 주요 확인 항목으로 제시하였다. 모든 문안에는 근거가 된 PubMed 문헌을 연결하였다.</w:t>
      </w:r>
    </w:p>
    <w:p>
      <w:r>
        <w:br w:type="page"/>
      </w:r>
    </w:p>
    <w:p>
      <w:pPr>
        <w:pStyle w:val="Heading1"/>
        <w:spacing w:before="240" w:after="120"/>
      </w:pPr>
      <w:r>
        <w:t>4. 고찰</w:t>
      </w:r>
    </w:p>
    <w:p>
      <w:pPr>
        <w:spacing w:line="300" w:lineRule="auto" w:after="100"/>
        <w:ind w:firstLine="312"/>
      </w:pPr>
      <w:r>
        <w:t>본 연구에서는 고함량 영양성분의 안전성 문제를 성분별로 구분하고, 문헌에서 확인된 위해를 실제 상담 질문으로 연결하였다. 검색식 보완 전에는 오래된 증례보고나 최근에 색인된 문헌이 누락되었으나, 누락 문헌의 표현을 직접 확인하여 검색어를 수정함으로써 사전에 선정한 핵심문헌을 모두 회수할 수 있었다.</w:t>
      </w:r>
    </w:p>
    <w:p>
      <w:pPr>
        <w:spacing w:line="300" w:lineRule="auto" w:after="100"/>
        <w:ind w:firstLine="312"/>
      </w:pPr>
      <w:r>
        <w:t>마그네슘과 아연 검색에서는 구체적인 제형명뿐 아니라 일반 성분명을 포함한 뒤 검색량이 증가하였다. 이는 관련 문헌을 놓칠 가능성을 줄이는 대신 검토해야 할 비관련 문헌도 늘어날 수 있음을 의미한다. 본 연구에서는 검색 결과의 일부만 선택하지 않고 전체 결과를 보존한 뒤, 연구대상과 노출 및 안전성 결과가 명확한 문헌부터 검토하였다.</w:t>
      </w:r>
    </w:p>
    <w:p>
      <w:pPr>
        <w:spacing w:line="300" w:lineRule="auto" w:after="100"/>
        <w:ind w:firstLine="312"/>
      </w:pPr>
      <w:r>
        <w:t>초록 근거 지도는 각 노드에 안전성 신호가 존재함을 보여 주지만, 발생률이나 인과 크기를 확정하지 않는다. 특히 사례보고가 많은 K5는 드문 위해를 발견하는 데 유용하지만 분모가 없어 위험률을 제시할 수 없다. K1과 K3의 임상시험도 용량, 대상자, 추적기간과 결과 정의가 달라 초록만으로 통합할 수 없다.</w:t>
      </w:r>
    </w:p>
    <w:p>
      <w:pPr>
        <w:spacing w:line="300" w:lineRule="auto" w:after="100"/>
        <w:ind w:firstLine="312"/>
      </w:pPr>
      <w:r>
        <w:t>조회 도구의 장점은 안전성 문안을 근거문헌과 직접 연결하고, 새로운 문헌이 추가될 때 출처를 다시 확인할 수 있다는 점이다. 그러나 출처가 연결되어 있다는 사실만으로 문안의 임상적 타당성이 보장되는 것은 아니다. 실제 상담에 적용하려면 전문 검토와 약사 평가를 거쳐 표현의 정확성과 위해 누락 여부를 확인해야 한다.</w:t>
      </w:r>
    </w:p>
    <w:p>
      <w:pPr>
        <w:pStyle w:val="Heading2"/>
        <w:spacing w:before="240" w:after="120"/>
      </w:pPr>
      <w:r>
        <w:t>4.1 한계</w:t>
      </w:r>
    </w:p>
    <w:p>
      <w:pPr>
        <w:spacing w:line="300" w:lineRule="auto" w:after="100"/>
        <w:ind w:firstLine="312"/>
      </w:pPr>
      <w:r>
        <w:t>첫째, PubMed 이외의 Embase, CENTRAL, Scopus 등은 검색하지 않았다. 둘째, 사람의 이중 선별과 전문 판정이 없다. 셋째, 초록 정보는 용량·기간·분모·결과 정의가 불완전할 수 있다. 넷째, 검색식 검토자가 독립된 정보전문가가 아니다. 다섯째, 성능 평가용 human gold set과 전문가 시나리오가 없어 임상 성능을 주장할 수 없다.</w:t>
      </w:r>
    </w:p>
    <w:p>
      <w:pPr>
        <w:pStyle w:val="Heading1"/>
        <w:spacing w:before="240" w:after="120"/>
      </w:pPr>
      <w:r>
        <w:t>5. 결론</w:t>
      </w:r>
    </w:p>
    <w:p>
      <w:pPr>
        <w:spacing w:line="300" w:lineRule="auto" w:after="100"/>
        <w:ind w:firstLine="312"/>
      </w:pPr>
      <w:r>
        <w:t>본 연구는 비타민 D, 비타민 B6, 철분, 마그네슘 및 아연의 주요 안전성 문제를 문헌에 근거하여 정리하고, 복용량과 기간, 병용제품, 기저질환 및 증상을 확인하는 개인맞춤형 정보제공 도구를 개발하였다. 수정한 검색식은 사전에 선정한 핵심문헌 22편을 모두 회수하였으며, 각 안전성 문안은 근거문헌과 연결되었다. 향후 전문 검토와 독립적인 사례 평가를 통해 문안의 정확성과 상담 활용성을 확인할 필요가 있다.</w:t>
      </w:r>
    </w:p>
    <w:p>
      <w:r>
        <w:br w:type="page"/>
      </w:r>
    </w:p>
    <w:p>
      <w:pPr>
        <w:pStyle w:val="Heading1"/>
        <w:spacing w:before="240" w:after="120"/>
      </w:pPr>
      <w:r>
        <w:t>6. 참고문헌</w:t>
      </w:r>
    </w:p>
    <w:p>
      <w:pPr>
        <w:spacing w:after="60"/>
        <w:ind w:left="283" w:hanging="283"/>
      </w:pPr>
      <w:r>
        <w:t>1. Monthly high-dose vitamin D supplementation does not increase kidney stone risk or serum calcium: results from a randomized controlled trial. PubMed PMID: 31005969. https://pubmed.ncbi.nlm.nih.gov/31005969/</w:t>
      </w:r>
    </w:p>
    <w:p>
      <w:pPr>
        <w:spacing w:after="60"/>
        <w:ind w:left="283" w:hanging="283"/>
      </w:pPr>
      <w:r>
        <w:t>2. Safety of calcium and vitamin D supplements, a randomized controlled trial. PubMed PMID: 30180273. https://pubmed.ncbi.nlm.nih.gov/30180273/</w:t>
      </w:r>
    </w:p>
    <w:p>
      <w:pPr>
        <w:spacing w:after="60"/>
        <w:ind w:left="283" w:hanging="283"/>
      </w:pPr>
      <w:r>
        <w:t>3. Vitamin D Repletion in Kidney Stone Formers: A Randomized Controlled Trial. PubMed PMID: 27765695. https://pubmed.ncbi.nlm.nih.gov/27765695/</w:t>
      </w:r>
    </w:p>
    <w:p>
      <w:pPr>
        <w:spacing w:after="60"/>
        <w:ind w:left="283" w:hanging="283"/>
      </w:pPr>
      <w:r>
        <w:t>4. Effect of vitamin D repletion on urinary calcium excretion among kidney stone formers. PubMed PMID: 22422535. https://pubmed.ncbi.nlm.nih.gov/22422535/</w:t>
      </w:r>
    </w:p>
    <w:p>
      <w:pPr>
        <w:spacing w:after="60"/>
        <w:ind w:left="283" w:hanging="283"/>
      </w:pPr>
      <w:r>
        <w:t>5. Incidence of hypercalciuria and hypercalcemia during vitamin D and calcium supplementation in older women. PubMed PMID: 24937025. https://pubmed.ncbi.nlm.nih.gov/24937025/</w:t>
      </w:r>
    </w:p>
    <w:p>
      <w:pPr>
        <w:spacing w:after="60"/>
        <w:ind w:left="283" w:hanging="283"/>
      </w:pPr>
      <w:r>
        <w:t>6. Sensory neuropathy from pyridoxine abuse. A new megavitamin syndrome. PubMed PMID: 6308447. https://pubmed.ncbi.nlm.nih.gov/6308447/</w:t>
      </w:r>
    </w:p>
    <w:p>
      <w:pPr>
        <w:spacing w:after="60"/>
        <w:ind w:left="283" w:hanging="283"/>
      </w:pPr>
      <w:r>
        <w:t>7. The Role of Vitamin B6 in Peripheral Neuropathy: A Systematic Review. PubMed PMID: 37447150. https://pubmed.ncbi.nlm.nih.gov/37447150/</w:t>
      </w:r>
    </w:p>
    <w:p>
      <w:pPr>
        <w:spacing w:after="60"/>
        <w:ind w:left="283" w:hanging="283"/>
      </w:pPr>
      <w:r>
        <w:t>8. Scientific opinion on the tolerable upper intake level for vitamin B6. PubMed PMID: 37207271. https://pubmed.ncbi.nlm.nih.gov/37207271/</w:t>
      </w:r>
    </w:p>
    <w:p>
      <w:pPr>
        <w:spacing w:after="60"/>
        <w:ind w:left="283" w:hanging="283"/>
      </w:pPr>
      <w:r>
        <w:t>9. Association between neuropathy and B-vitamins: A systematic review and meta-analysis. PubMed PMID: 33619867. https://pubmed.ncbi.nlm.nih.gov/33619867/</w:t>
      </w:r>
    </w:p>
    <w:p>
      <w:pPr>
        <w:spacing w:after="60"/>
        <w:ind w:left="283" w:hanging="283"/>
      </w:pPr>
      <w:r>
        <w:t>10. Ferrous sulfate supplementation causes significant gastrointestinal side-effects in adults: a systematic review and meta-analysis. PubMed PMID: 25700159. https://pubmed.ncbi.nlm.nih.gov/25700159/</w:t>
      </w:r>
    </w:p>
    <w:p>
      <w:pPr>
        <w:spacing w:after="60"/>
        <w:ind w:left="283" w:hanging="283"/>
      </w:pPr>
      <w:r>
        <w:t>11. Tolerability of different oral iron supplements: a systematic review. PubMed PMID: 23252877. https://pubmed.ncbi.nlm.nih.gov/23252877/</w:t>
      </w:r>
    </w:p>
    <w:p>
      <w:pPr>
        <w:spacing w:after="60"/>
        <w:ind w:left="283" w:hanging="283"/>
      </w:pPr>
      <w:r>
        <w:t>12. A rapid, simple questionnaire to assess gastrointestinal symptoms after oral ferrous sulphate supplementation. PubMed PMID: 24899360. https://pubmed.ncbi.nlm.nih.gov/24899360/</w:t>
      </w:r>
    </w:p>
    <w:p>
      <w:pPr>
        <w:spacing w:after="60"/>
        <w:ind w:left="283" w:hanging="283"/>
      </w:pPr>
      <w:r>
        <w:t>13. A randomized controlled trial of thrice-weekly versus thrice-daily oral ferrous fumarate treatment in adult patients with iron-deficiency anemia. PubMed PMID: 37010569. https://pubmed.ncbi.nlm.nih.gov/37010569/</w:t>
      </w:r>
    </w:p>
    <w:p>
      <w:pPr>
        <w:spacing w:after="60"/>
        <w:ind w:left="283" w:hanging="283"/>
      </w:pPr>
      <w:r>
        <w:t>14. Risk factors for the development of hypermagnesemia in patients prescribed magnesium oxide: a retrospective cohort study. PubMed PMID: 30805197. https://pubmed.ncbi.nlm.nih.gov/30805197/</w:t>
      </w:r>
    </w:p>
    <w:p>
      <w:pPr>
        <w:spacing w:after="60"/>
        <w:ind w:left="283" w:hanging="283"/>
      </w:pPr>
      <w:r>
        <w:t>15. Severe hypermagnesemia induced by magnesium oxide ingestion: a case series. PubMed PMID: 30136128. https://pubmed.ncbi.nlm.nih.gov/30136128/</w:t>
      </w:r>
    </w:p>
    <w:p>
      <w:pPr>
        <w:spacing w:after="60"/>
        <w:ind w:left="283" w:hanging="283"/>
      </w:pPr>
      <w:r>
        <w:t>16. The characteristics of patients with hypermagnesemia who underwent emergency hemodialysis. PubMed PMID: 29988705. https://pubmed.ncbi.nlm.nih.gov/29988705/</w:t>
      </w:r>
    </w:p>
    <w:p>
      <w:pPr>
        <w:spacing w:after="60"/>
        <w:ind w:left="283" w:hanging="283"/>
      </w:pPr>
      <w:r>
        <w:t>17. Perspective: Call for Re-evaluation of the Tolerable Upper Intake Level for Magnesium Supplementation in Adults. PubMed PMID: 37487817. https://pubmed.ncbi.nlm.nih.gov/37487817/</w:t>
      </w:r>
    </w:p>
    <w:p>
      <w:pPr>
        <w:spacing w:after="60"/>
        <w:ind w:left="283" w:hanging="283"/>
      </w:pPr>
      <w:r>
        <w:t>18. [Risk Factors Analysis for Hypermagnesemia with Magnesium Oxide]. PubMed PMID: 39218658. https://pubmed.ncbi.nlm.nih.gov/39218658/</w:t>
      </w:r>
    </w:p>
    <w:p>
      <w:pPr>
        <w:spacing w:after="60"/>
        <w:ind w:left="283" w:hanging="283"/>
      </w:pPr>
      <w:r>
        <w:t>19. Zinc toxicity. PubMed PMID: 2407097. https://pubmed.ncbi.nlm.nih.gov/2407097/</w:t>
      </w:r>
    </w:p>
    <w:p>
      <w:pPr>
        <w:spacing w:after="60"/>
        <w:ind w:left="283" w:hanging="283"/>
      </w:pPr>
      <w:r>
        <w:t>20. Severe copper deficiency anemia caused by zinc supplement use. PubMed PMID: 37640593. https://pubmed.ncbi.nlm.nih.gov/37640593/</w:t>
      </w:r>
    </w:p>
    <w:p>
      <w:pPr>
        <w:spacing w:after="60"/>
        <w:ind w:left="283" w:hanging="283"/>
      </w:pPr>
      <w:r>
        <w:t>21. Zinc-Induced Copper Deficiency as a Rare Cause of Neurological Deficit and Anemia. PubMed PMID: 37736439. https://pubmed.ncbi.nlm.nih.gov/37736439/</w:t>
      </w:r>
    </w:p>
    <w:p>
      <w:pPr>
        <w:spacing w:after="60"/>
        <w:ind w:left="283" w:hanging="283"/>
      </w:pPr>
      <w:r>
        <w:t>22. Zinc-Containing Over-The-Counter Product Causing Sideroblastic Anemia and Neutropenia. PubMed PMID: 38846187. https://pubmed.ncbi.nlm.nih.gov/38846187/</w:t>
      </w:r>
    </w:p>
    <w:p>
      <w:pPr>
        <w:pStyle w:val="Heading1"/>
        <w:spacing w:before="240" w:after="120"/>
      </w:pPr>
      <w:r>
        <w:t>부록. 성분별 상담 확인 항목</w:t>
      </w:r>
    </w:p>
    <w:p>
      <w:pPr>
        <w:pStyle w:val="ListBullet"/>
      </w:pPr>
      <w:r>
        <w:t>비타민 D: 총 섭취량, 칼슘 병용, 결석 병력, 고칼슘혈증 관련 증상</w:t>
      </w:r>
    </w:p>
    <w:p>
      <w:pPr>
        <w:pStyle w:val="ListBullet"/>
      </w:pPr>
      <w:r>
        <w:t>비타민 B6: 복수 제품의 중복 섭취, 복용기간, 저림·감각저하·보행 이상</w:t>
      </w:r>
    </w:p>
    <w:p>
      <w:pPr>
        <w:pStyle w:val="ListBullet"/>
      </w:pPr>
      <w:r>
        <w:t>철분: 제제명, 1일 복용 횟수, 치료 목적, 오심·변비·설사·복통</w:t>
      </w:r>
    </w:p>
    <w:p>
      <w:pPr>
        <w:pStyle w:val="ListBullet"/>
      </w:pPr>
      <w:r>
        <w:t>마그네슘: 제제와 용량, 신기능, 설사, 저혈압·서맥·의식 변화</w:t>
      </w:r>
    </w:p>
    <w:p>
      <w:pPr>
        <w:pStyle w:val="ListBullet"/>
      </w:pPr>
      <w:r>
        <w:t>아연: 용량과 복용기간, 빈혈·호중구감소증, 감각 또는 보행 이상</w:t>
      </w:r>
    </w:p>
    <w:sectPr w:rsidR="00FC693F" w:rsidRPr="0006063C" w:rsidSect="00034616">
      <w:footerReference w:type="default" r:id="rId9"/>
      <w:pgSz w:w="11906" w:h="16838"/>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 </w:t>
    </w:r>
    <w:fldSimple w:instr="PAGE"/>
    <w: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algun Gothic" w:hAnsi="Malgun Gothic" w:eastAsia="맑은 고딕"/>
      <w:b/>
      <w:bCs/>
      <w:color w:val="192337"/>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algun Gothic" w:hAnsi="Malgun Gothic" w:eastAsia="맑은 고딕"/>
      <w:b/>
      <w:bCs/>
      <w:color w:val="19233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algun Gothic" w:hAnsi="Malgun Gothic" w:eastAsia="맑은 고딕"/>
      <w:color w:val="192337"/>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