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6"/>
        </w:rPr>
        <w:t>졸 업 논 문</w:t>
      </w:r>
    </w:p>
    <w:p/>
    <w:tbl>
      <w:tblPr>
        <w:tblStyle w:val="TableGrid"/>
        <w:tblW w:type="auto" w:w="0"/>
        <w:jc w:val="center"/>
        <w:tblLook w:firstColumn="1" w:firstRow="1" w:lastColumn="0" w:lastRow="0" w:noHBand="0" w:noVBand="1" w:val="04A0"/>
      </w:tblPr>
      <w:tblGrid>
        <w:gridCol w:w="4819"/>
        <w:gridCol w:w="4819"/>
      </w:tblGrid>
      <w:tr>
        <w:tc>
          <w:tcPr>
            <w:tcW w:type="dxa" w:w="4819"/>
            <w:vAlign w:val="center"/>
            <w:shd w:fill="E7E6E6"/>
          </w:tcPr>
          <w:p>
            <w:r/>
            <w:r>
              <w:rPr>
                <w:b/>
                <w:sz w:val="17"/>
              </w:rPr>
              <w:t>연구 주제명</w:t>
            </w:r>
          </w:p>
        </w:tc>
        <w:tc>
          <w:tcPr>
            <w:tcW w:type="dxa" w:w="4819"/>
            <w:vAlign w:val="center"/>
          </w:tcPr>
          <w:p>
            <w:r/>
            <w:r>
              <w:rPr>
                <w:b w:val="0"/>
                <w:sz w:val="17"/>
              </w:rPr>
              <w:t>국문: 고함량 영양성분의 안전성 근거 검토와 개인맞춤형 정보제공 도구의 개발</w:t>
              <w:br/>
              <w:t>영문: Safety Evidence Review of High-Dose Nutrients and Development of a Personalized Information Tool</w:t>
            </w:r>
          </w:p>
        </w:tc>
      </w:tr>
      <w:tr>
        <w:tc>
          <w:tcPr>
            <w:tcW w:type="dxa" w:w="4819"/>
            <w:vAlign w:val="center"/>
            <w:shd w:fill="E7E6E6"/>
          </w:tcPr>
          <w:p>
            <w:r/>
            <w:r>
              <w:rPr>
                <w:b/>
                <w:sz w:val="17"/>
              </w:rPr>
              <w:t>성 명</w:t>
            </w:r>
          </w:p>
        </w:tc>
        <w:tc>
          <w:tcPr>
            <w:tcW w:type="dxa" w:w="4819"/>
            <w:vAlign w:val="center"/>
          </w:tcPr>
          <w:p>
            <w:r/>
            <w:r>
              <w:rPr>
                <w:b w:val="0"/>
                <w:sz w:val="17"/>
              </w:rPr>
              <w:t>권혁찬</w:t>
            </w:r>
          </w:p>
        </w:tc>
      </w:tr>
      <w:tr>
        <w:tc>
          <w:tcPr>
            <w:tcW w:type="dxa" w:w="4819"/>
            <w:vAlign w:val="center"/>
            <w:shd w:fill="E7E6E6"/>
          </w:tcPr>
          <w:p>
            <w:r/>
            <w:r>
              <w:rPr>
                <w:b/>
                <w:sz w:val="17"/>
              </w:rPr>
              <w:t>학 번</w:t>
            </w:r>
          </w:p>
        </w:tc>
        <w:tc>
          <w:tcPr>
            <w:tcW w:type="dxa" w:w="4819"/>
            <w:vAlign w:val="center"/>
          </w:tcPr>
          <w:p>
            <w:r/>
            <w:r>
              <w:rPr>
                <w:b w:val="0"/>
                <w:sz w:val="17"/>
              </w:rPr>
              <w:t>2021194024</w:t>
            </w:r>
          </w:p>
        </w:tc>
      </w:tr>
      <w:tr>
        <w:tc>
          <w:tcPr>
            <w:tcW w:type="dxa" w:w="4819"/>
            <w:vAlign w:val="center"/>
            <w:shd w:fill="E7E6E6"/>
          </w:tcPr>
          <w:p>
            <w:r/>
            <w:r>
              <w:rPr>
                <w:b/>
                <w:sz w:val="17"/>
              </w:rPr>
              <w:t>실습기간</w:t>
            </w:r>
          </w:p>
        </w:tc>
        <w:tc>
          <w:tcPr>
            <w:tcW w:type="dxa" w:w="4819"/>
            <w:vAlign w:val="center"/>
          </w:tcPr>
          <w:p>
            <w:r/>
            <w:r>
              <w:rPr>
                <w:b w:val="0"/>
                <w:sz w:val="17"/>
              </w:rPr>
              <w:t>2026년 3월 3일 ~ 2026년 6월 19일</w:t>
            </w:r>
          </w:p>
        </w:tc>
      </w:tr>
      <w:tr>
        <w:tc>
          <w:tcPr>
            <w:tcW w:type="dxa" w:w="4819"/>
            <w:vAlign w:val="center"/>
            <w:shd w:fill="E7E6E6"/>
          </w:tcPr>
          <w:p>
            <w:r/>
            <w:r>
              <w:rPr>
                <w:b/>
                <w:sz w:val="17"/>
              </w:rPr>
              <w:t>실습장소</w:t>
            </w:r>
          </w:p>
        </w:tc>
        <w:tc>
          <w:tcPr>
            <w:tcW w:type="dxa" w:w="4819"/>
            <w:vAlign w:val="center"/>
          </w:tcPr>
          <w:p>
            <w:r/>
            <w:r>
              <w:rPr>
                <w:b w:val="0"/>
                <w:sz w:val="17"/>
              </w:rPr>
              <w:t>연세대학교 약학대학</w:t>
            </w:r>
          </w:p>
        </w:tc>
      </w:tr>
      <w:tr>
        <w:tc>
          <w:tcPr>
            <w:tcW w:type="dxa" w:w="4819"/>
            <w:vAlign w:val="center"/>
            <w:shd w:fill="E7E6E6"/>
          </w:tcPr>
          <w:p>
            <w:r/>
            <w:r>
              <w:rPr>
                <w:b/>
                <w:sz w:val="17"/>
              </w:rPr>
              <w:t>논문양식</w:t>
            </w:r>
          </w:p>
        </w:tc>
        <w:tc>
          <w:tcPr>
            <w:tcW w:type="dxa" w:w="4819"/>
            <w:vAlign w:val="center"/>
          </w:tcPr>
          <w:p>
            <w:r/>
            <w:r>
              <w:rPr>
                <w:b w:val="0"/>
                <w:sz w:val="17"/>
              </w:rPr>
              <w:t>종설논문</w:t>
            </w:r>
          </w:p>
        </w:tc>
      </w:tr>
      <w:tr>
        <w:tc>
          <w:tcPr>
            <w:tcW w:type="dxa" w:w="4819"/>
            <w:vAlign w:val="center"/>
            <w:shd w:fill="E7E6E6"/>
          </w:tcPr>
          <w:p>
            <w:r/>
            <w:r>
              <w:rPr>
                <w:b/>
                <w:sz w:val="17"/>
              </w:rPr>
              <w:t>담당교수</w:t>
            </w:r>
          </w:p>
        </w:tc>
        <w:tc>
          <w:tcPr>
            <w:tcW w:type="dxa" w:w="4819"/>
            <w:vAlign w:val="center"/>
          </w:tcPr>
          <w:p>
            <w:r/>
            <w:r>
              <w:rPr>
                <w:b w:val="0"/>
                <w:sz w:val="17"/>
              </w:rPr>
              <w:t>장민정 교수님  (서명)</w:t>
            </w:r>
          </w:p>
        </w:tc>
      </w:tr>
      <w:tr>
        <w:tc>
          <w:tcPr>
            <w:tcW w:type="dxa" w:w="4819"/>
            <w:vAlign w:val="center"/>
            <w:shd w:fill="E7E6E6"/>
          </w:tcPr>
          <w:p>
            <w:r/>
            <w:r>
              <w:rPr>
                <w:b/>
                <w:sz w:val="17"/>
              </w:rPr>
              <w:t>제출일</w:t>
            </w:r>
          </w:p>
        </w:tc>
        <w:tc>
          <w:tcPr>
            <w:tcW w:type="dxa" w:w="4819"/>
            <w:vAlign w:val="center"/>
          </w:tcPr>
          <w:p>
            <w:r/>
            <w:r>
              <w:rPr>
                <w:b w:val="0"/>
                <w:sz w:val="17"/>
              </w:rPr>
              <w:t>2026년 6월</w:t>
            </w:r>
          </w:p>
        </w:tc>
      </w:tr>
    </w:tbl>
    <w:p/>
    <w:p>
      <w:pPr>
        <w:jc w:val="center"/>
      </w:pPr>
      <w:r>
        <w:rPr>
          <w:b/>
          <w:sz w:val="24"/>
        </w:rPr>
        <w:t>연세대학교 약학대학 전공심화실습(1)</w:t>
      </w:r>
    </w:p>
    <w:p>
      <w:r>
        <w:br w:type="page"/>
      </w:r>
    </w:p>
    <w:p>
      <w:pPr>
        <w:pStyle w:val="Heading1"/>
        <w:spacing w:before="240" w:after="120"/>
      </w:pPr>
      <w:r>
        <w:t>국문초록</w:t>
      </w:r>
    </w:p>
    <w:p>
      <w:pPr>
        <w:spacing w:line="300" w:lineRule="auto" w:after="100"/>
        <w:ind w:firstLine="312"/>
      </w:pPr>
      <w:r>
        <w:t>본 연구는 일반의약품 및 건강기능식품으로 접하기 쉬운 비타민 D, 비타민 B6, 철분, 마그네슘 및 아연을 대상으로 안전성 근거를 검토하고, 복용자의 상태에 따라 확인해야 할 정보를 제시하는 조회 도구를 개발하고자 수행하였다. 문헌검색은 PubMed를 이용하였으며, 각 성분에서 임상적으로 문제가 될 수 있는 이상반응과 위험요인을 중심으로 검색식을 구성하였다.</w:t>
      </w:r>
    </w:p>
    <w:p>
      <w:pPr>
        <w:spacing w:line="300" w:lineRule="auto" w:after="100"/>
        <w:ind w:firstLine="312"/>
      </w:pPr>
      <w:r>
        <w:t>다섯 성분의 검색 결과는 모두 16,194건이었고, 성분 간 중복 문헌 304건을 제외한 뒤 15,890건을 분석 자료로 정리하였다. 검색식의 누락 여부를 확인하기 위해 미리 선정한 핵심문헌 22편의 회수 여부를 평가하였다. 최초 검색에서는 15편이 확인되었으나 누락 원인을 분석해 검색어를 보완한 뒤 22편을 모두 회수하였다.</w:t>
      </w:r>
    </w:p>
    <w:p>
      <w:pPr>
        <w:spacing w:line="300" w:lineRule="auto" w:after="100"/>
        <w:ind w:firstLine="312"/>
      </w:pPr>
      <w:r>
        <w:t>핵심문헌의 초록을 검토한 결과, 비타민 D에서는 고칼슘혈증·고칼슘뇨·요로결석, 비타민 B6에서는 감각신경병증, 철분에서는 위장관 이상반응, 마그네슘에서는 설사와 고마그네슘혈증, 아연에서는 구리결핍에 따른 혈액학적·신경학적 이상이 주요 안전성 문제로 확인되었다. 이를 바탕으로 성분별 복용량, 복용기간, 병용제품, 기저질환 및 증상을 확인하는 정보제공 문안을 작성하였다.</w:t>
      </w:r>
    </w:p>
    <w:p>
      <w:pPr>
        <w:spacing w:line="300" w:lineRule="auto" w:after="100"/>
        <w:ind w:firstLine="312"/>
      </w:pPr>
      <w:r>
        <w:t>본 연구는 안전성 문헌을 성분별 상담 질문과 연결했다는 점에서 의의가 있다. 다만 PubMed 이외의 데이터베이스 검색과 독립적인 전문 검토를 시행하지 않았으므로, 개발한 문안은 약사의 판단을 보조하는 연구용 자료로 사용되어야 한다.</w:t>
      </w:r>
    </w:p>
    <w:p>
      <w:pPr>
        <w:spacing w:line="300" w:lineRule="auto" w:after="100"/>
        <w:ind w:firstLine="312"/>
      </w:pPr>
      <w:r>
        <w:t>주요어: 일반의약품, 영양제, 안전성, PubMed, 비타민 D, 비타민 B6, 철분, 마그네슘, 아연</w:t>
      </w:r>
    </w:p>
    <w:p>
      <w:pPr>
        <w:pStyle w:val="Heading1"/>
        <w:spacing w:before="240" w:after="120"/>
      </w:pPr>
      <w:r>
        <w:t>영문초록</w:t>
      </w:r>
    </w:p>
    <w:p>
      <w:pPr>
        <w:spacing w:line="300" w:lineRule="auto" w:after="100"/>
        <w:ind w:firstLine="312"/>
      </w:pPr>
      <w:r>
        <w:t>This study reviewed safety evidence for vitamin D, vitamin B6, oral iron, magnesium, and zinc and developed a personalized information tool. Five PubMed searches identified 16,194 records in total, and 15,890 unique records remained after removal of 304 duplicates. Search terms were revised after an initial check retrieved 15 of 22 prespecified key articles; the revised searches retrieved all 22 articles. Major safety concerns were hypercalcemia and urinary stones for vitamin D, sensory neuropathy for vitamin B6, gastrointestinal adverse events for oral iron, diarrhea and hypermagnesemia for magnesium, and copper-deficiency-related hematologic and neurologic abnormalities for zinc. The resulting information statements prompt users to confirm dose, duration, concurrent products, underlying disease, and relevant symptoms. The tool is intended to support, not replace, professional judgment.</w:t>
      </w:r>
    </w:p>
    <w:p>
      <w:pPr>
        <w:spacing w:line="300" w:lineRule="auto" w:after="100"/>
        <w:ind w:firstLine="312"/>
      </w:pPr>
      <w:r>
        <w:t>Keywords: over-the-counter products, dietary supplements, safety, PubMed, evidence traceability</w:t>
      </w:r>
    </w:p>
    <w:p>
      <w:r>
        <w:br w:type="page"/>
      </w:r>
    </w:p>
    <w:p>
      <w:pPr>
        <w:pStyle w:val="Heading1"/>
        <w:spacing w:before="240" w:after="120"/>
      </w:pPr>
      <w:r>
        <w:t>목차</w:t>
      </w:r>
    </w:p>
    <w:p>
      <w:r>
        <w:t>국문초록</w:t>
      </w:r>
    </w:p>
    <w:p>
      <w:r>
        <w:t>영문초록</w:t>
      </w:r>
    </w:p>
    <w:p>
      <w:r>
        <w:t>1. 서론</w:t>
      </w:r>
    </w:p>
    <w:p>
      <w:r>
        <w:t>2. 연구 방법</w:t>
      </w:r>
    </w:p>
    <w:p>
      <w:r>
        <w:t xml:space="preserve">  2.1 연구설계와 범위</w:t>
      </w:r>
    </w:p>
    <w:p>
      <w:r>
        <w:t xml:space="preserve">  2.2 검색과 계보</w:t>
      </w:r>
    </w:p>
    <w:p>
      <w:r>
        <w:t xml:space="preserve">  2.3 중복 제거와 계산 선별</w:t>
      </w:r>
    </w:p>
    <w:p>
      <w:r>
        <w:t xml:space="preserve">  2.4 초록 근거와 규칙</w:t>
      </w:r>
    </w:p>
    <w:p>
      <w:r>
        <w:t xml:space="preserve">  2.5 연구질문의 구체화</w:t>
      </w:r>
    </w:p>
    <w:p>
      <w:r>
        <w:t xml:space="preserve">  2.6 검색전략 설계</w:t>
      </w:r>
    </w:p>
    <w:p>
      <w:r>
        <w:t xml:space="preserve">  2.7 핵심문헌 검증</w:t>
      </w:r>
    </w:p>
    <w:p>
      <w:r>
        <w:t xml:space="preserve">  2.8 자료 처리</w:t>
      </w:r>
    </w:p>
    <w:p>
      <w:r>
        <w:t xml:space="preserve">  2.9 근거 합성</w:t>
      </w:r>
    </w:p>
    <w:p>
      <w:r>
        <w:t xml:space="preserve">  2.10 도구 설계</w:t>
      </w:r>
    </w:p>
    <w:p>
      <w:r>
        <w:t xml:space="preserve">  2.11 평가변수</w:t>
      </w:r>
    </w:p>
    <w:p>
      <w:r>
        <w:t>3. 연구 결과</w:t>
      </w:r>
    </w:p>
    <w:p>
      <w:r>
        <w:t>4. 고찰</w:t>
      </w:r>
    </w:p>
    <w:p>
      <w:r>
        <w:t>5. 결론</w:t>
      </w:r>
    </w:p>
    <w:p>
      <w:r>
        <w:t>6. 참고문헌</w:t>
      </w:r>
    </w:p>
    <w:p>
      <w:r>
        <w:t>부록</w:t>
      </w:r>
    </w:p>
    <w:p>
      <w:r>
        <w:br w:type="page"/>
      </w:r>
    </w:p>
    <w:p>
      <w:pPr>
        <w:pStyle w:val="Heading1"/>
        <w:spacing w:before="240" w:after="120"/>
      </w:pPr>
      <w:r>
        <w:t>1. 서론</w:t>
      </w:r>
    </w:p>
    <w:p>
      <w:pPr>
        <w:spacing w:line="300" w:lineRule="auto" w:after="100"/>
        <w:ind w:firstLine="312"/>
      </w:pPr>
      <w:r>
        <w:t>비타민과 무기질 보충제는 처방전 없이 구입할 수 있어 비교적 안전한 제품으로 인식되기 쉽다. 그러나 같은 성분을 여러 제품으로 복용하거나 고함량 제품을 장기간 사용하는 경우에는 이상반응이 나타날 수 있다. 특히 신기능 저하, 결석 병력, 빈혈 또는 신경학적 증상이 있는 복용자에서는 제품명만으로 안전성을 판단하기 어렵다.</w:t>
      </w:r>
    </w:p>
    <w:p>
      <w:pPr>
        <w:spacing w:line="300" w:lineRule="auto" w:after="100"/>
        <w:ind w:firstLine="312"/>
      </w:pPr>
      <w:r>
        <w:t>영양성분의 안전성은 성분의 유무보다 실제 섭취량과 기간, 병용제품 및 복용자의 임상적 특성에 의해 달라진다. 비타민 D의 과량 섭취는 칼슘대사 이상과 결석 위험을, 비타민 B6의 장기 복용은 감각신경병증을 일으킬 수 있다. 철분은 위장관 이상반응이 흔하고, 마그네슘은 신기능이 저하된 환자에서 축적될 수 있으며, 아연의 과량 섭취는 구리 흡수를 방해할 수 있다.</w:t>
      </w:r>
    </w:p>
    <w:p>
      <w:pPr>
        <w:spacing w:line="300" w:lineRule="auto" w:after="100"/>
        <w:ind w:firstLine="312"/>
      </w:pPr>
      <w:r>
        <w:t>따라서 영양성분 상담에서는 단순히 복용 가능 여부를 답하기보다 제품별 함량을 합산하고, 복용기간과 위험요인을 확인하며, 판단의 근거가 되는 문헌을 함께 제시할 필요가 있다. 본 연구의 목적은 다섯 영양성분의 주요 안전성 근거를 정리하고, 이를 실제 상담에서 확인할 질문으로 전환한 개인맞춤형 정보제공 도구를 개발하는 것이다.</w:t>
      </w:r>
    </w:p>
    <w:p>
      <w:pPr>
        <w:pStyle w:val="Heading1"/>
        <w:spacing w:before="240" w:after="120"/>
      </w:pPr>
      <w:r>
        <w:t>2. 연구 방법</w:t>
      </w:r>
    </w:p>
    <w:p>
      <w:pPr>
        <w:pStyle w:val="Heading2"/>
        <w:spacing w:before="240" w:after="120"/>
      </w:pPr>
      <w:r>
        <w:t>2.1 연구설계와 범위</w:t>
      </w:r>
    </w:p>
    <w:p>
      <w:pPr>
        <w:spacing w:line="300" w:lineRule="auto" w:after="100"/>
        <w:ind w:firstLine="312"/>
      </w:pPr>
      <w:r>
        <w:t>본 연구는 문헌고찰과 정보제공 도구 개발을 결합한 탐색적 연구로 수행하였다. 연구대상 성분은 비타민 D, 비타민 B6, 철분, 마그네슘 및 아연으로 정하였다. 각 성분에서 용량 또는 장기 복용과 관련성이 알려진 안전성 결과를 별도의 연구주제로 설정하였다.</w:t>
      </w:r>
    </w:p>
    <w:p>
      <w:pPr>
        <w:pStyle w:val="Heading2"/>
        <w:spacing w:before="240" w:after="120"/>
      </w:pPr>
      <w:r>
        <w:t>2.2 검색과 계보</w:t>
      </w:r>
    </w:p>
    <w:p>
      <w:pPr>
        <w:spacing w:line="300" w:lineRule="auto" w:after="100"/>
        <w:ind w:firstLine="312"/>
      </w:pPr>
      <w:r>
        <w:t>각 노드 검색식은 MeSH와 제목·초록 자유어를 조합하고 언어·기간·연구설계 필터를 적용하지 않았다. NCBI E-utilities를 사용해 UID와 XML을 전량 저장했다. 각 원시 파일의 SHA-256, 쿼리 해시, hit·export·import 수를 manifest에 기록하고 세 수가 일치하지 않으면 실행을 실패시켰다.</w:t>
      </w:r>
    </w:p>
    <w:p>
      <w:pPr>
        <w:spacing w:line="300" w:lineRule="auto" w:after="100"/>
        <w:ind w:firstLine="312"/>
      </w:pPr>
      <w:r>
        <w:t>검색식의 민감도를 점검하기 위해 연구 시작 전에 성분별 핵심문헌 22편을 선정하였다. 최초 검색에서 확인되지 않은 7편은 제목, 초록 및 MeSH 용어를 다시 검토하였다. 그 결과 과량복용, 이상반응, 투여 및 일반 성분명을 나타내는 표현이 충분히 포함되지 않은 것으로 확인되어 검색어를 보완한 뒤 다시 검색하였다.</w:t>
      </w:r>
    </w:p>
    <w:p>
      <w:pPr>
        <w:pStyle w:val="Heading2"/>
        <w:spacing w:before="240" w:after="120"/>
      </w:pPr>
      <w:r>
        <w:t>2.3 중복 제거와 계산 선별</w:t>
      </w:r>
    </w:p>
    <w:p>
      <w:pPr>
        <w:spacing w:line="300" w:lineRule="auto" w:after="100"/>
        <w:ind w:firstLine="312"/>
      </w:pPr>
      <w:r>
        <w:t>검색 결과는 PMID를 기준으로 중복을 제거하였다. 제목과 초록에 동물실험, 시험관 연구 또는 소아 연구임이 명확하게 제시된 문헌은 우선순위를 낮추었고, 성인에서 경구로 섭취한 영양성분의 이상반응을 다룬 연구를 우선 검토 대상으로 분류하였다. 정보가 충분하지 않은 문헌은 임의로 제외하지 않았다.</w:t>
      </w:r>
    </w:p>
    <w:p>
      <w:pPr>
        <w:pStyle w:val="Heading2"/>
        <w:spacing w:before="240" w:after="120"/>
      </w:pPr>
      <w:r>
        <w:t>2.4 초록 근거와 규칙</w:t>
      </w:r>
    </w:p>
    <w:p>
      <w:pPr>
        <w:spacing w:line="300" w:lineRule="auto" w:after="100"/>
        <w:ind w:firstLine="312"/>
      </w:pPr>
      <w:r>
        <w:t>핵심문헌에서 연구설계, 대상 성분, 주요 안전성 결과와 근거 문장을 추출하였다. 추출한 내용은 PubMed PMID 및 원문 연결주소와 함께 저장하였다. 이후 성분별로 복용자에게 확인할 항목과 상담 시 설명할 내용을 작성하였다. 전문 확인이 끝나지 않은 내용은 확정적인 인과관계나 치료 권고로 표현하지 않았다.</w:t>
      </w:r>
    </w:p>
    <w:p>
      <w:pPr>
        <w:pStyle w:val="Heading2"/>
        <w:spacing w:before="240" w:after="120"/>
      </w:pPr>
      <w:r>
        <w:t>2.5 연구질문의 구체화 과정</w:t>
      </w:r>
    </w:p>
    <w:p>
      <w:pPr>
        <w:spacing w:line="300" w:lineRule="auto" w:after="100"/>
        <w:ind w:firstLine="312"/>
      </w:pPr>
      <w:r>
        <w:t>초기 연구주제는 고함량 영양성분 전반의 안전성을 다루는 것이었다. 그러나 영양성분마다 위해가 나타나는 기전과 임상결과가 달라 하나의 공통 기준으로 비교하면 실제 상담에 필요한 정보가 소실될 수 있었다. 이에 연구질문을 ‘어떤 성분이 위험한가’가 아니라 ‘각 성분에서 어떤 복용조건과 환자 특성을 확인해야 하는가’로 구체화하였다.</w:t>
      </w:r>
    </w:p>
    <w:p>
      <w:pPr>
        <w:spacing w:line="300" w:lineRule="auto" w:after="100"/>
        <w:ind w:firstLine="312"/>
      </w:pPr>
      <w:r>
        <w:t>성분별 연구질문은 노출, 위험상황 및 임상결과의 세 요소로 구성하였다. 노출에는 성분명, 제형, 용량과 복용기간을 포함하였다. 위험상황에는 칼슘 병용, 신기능 저하, 고령, 장기간 복용 및 여러 제품의 중복 섭취를 포함하였다. 임상결과는 실제 복약상담에서 확인할 수 있는 증상 또는 검사결과로 제한하였다. 이 구조를 사용한 이유는 문헌검색어와 조회 도구의 질문 항목이 동일한 임상 개념을 공유하도록 하기 위해서였다.</w:t>
      </w:r>
    </w:p>
    <w:tbl>
      <w:tblPr>
        <w:tblStyle w:val="TableGrid"/>
        <w:tblW w:type="auto" w:w="0"/>
        <w:jc w:val="center"/>
        <w:tblLook w:firstColumn="1" w:firstRow="1" w:lastColumn="0" w:lastRow="0" w:noHBand="0" w:noVBand="1" w:val="04A0"/>
      </w:tblPr>
      <w:tblGrid>
        <w:gridCol w:w="2409"/>
        <w:gridCol w:w="2409"/>
        <w:gridCol w:w="2409"/>
        <w:gridCol w:w="2409"/>
      </w:tblGrid>
      <w:tr>
        <w:tc>
          <w:tcPr>
            <w:tcW w:type="dxa" w:w="2409"/>
            <w:vAlign w:val="center"/>
            <w:shd w:fill="DCE6F1"/>
          </w:tcPr>
          <w:p>
            <w:r/>
            <w:r>
              <w:rPr>
                <w:b/>
                <w:sz w:val="17"/>
              </w:rPr>
              <w:t>성분</w:t>
            </w:r>
          </w:p>
        </w:tc>
        <w:tc>
          <w:tcPr>
            <w:tcW w:type="dxa" w:w="2409"/>
            <w:vAlign w:val="center"/>
            <w:shd w:fill="DCE6F1"/>
          </w:tcPr>
          <w:p>
            <w:r/>
            <w:r>
              <w:rPr>
                <w:b/>
                <w:sz w:val="17"/>
              </w:rPr>
              <w:t>선정한 안전성 문제</w:t>
            </w:r>
          </w:p>
        </w:tc>
        <w:tc>
          <w:tcPr>
            <w:tcW w:type="dxa" w:w="2409"/>
            <w:vAlign w:val="center"/>
            <w:shd w:fill="DCE6F1"/>
          </w:tcPr>
          <w:p>
            <w:r/>
            <w:r>
              <w:rPr>
                <w:b/>
                <w:sz w:val="17"/>
              </w:rPr>
              <w:t>선정 이유</w:t>
            </w:r>
          </w:p>
        </w:tc>
        <w:tc>
          <w:tcPr>
            <w:tcW w:type="dxa" w:w="2409"/>
            <w:vAlign w:val="center"/>
            <w:shd w:fill="DCE6F1"/>
          </w:tcPr>
          <w:p>
            <w:r/>
            <w:r>
              <w:rPr>
                <w:b/>
                <w:sz w:val="17"/>
              </w:rPr>
              <w:t>상담 시 확인 항목</w:t>
            </w:r>
          </w:p>
        </w:tc>
      </w:tr>
      <w:tr>
        <w:tc>
          <w:tcPr>
            <w:tcW w:type="dxa" w:w="2409"/>
            <w:vAlign w:val="center"/>
          </w:tcPr>
          <w:p>
            <w:r/>
            <w:r>
              <w:rPr>
                <w:b w:val="0"/>
                <w:sz w:val="17"/>
              </w:rPr>
              <w:t>비타민 D</w:t>
            </w:r>
          </w:p>
        </w:tc>
        <w:tc>
          <w:tcPr>
            <w:tcW w:type="dxa" w:w="2409"/>
            <w:vAlign w:val="center"/>
          </w:tcPr>
          <w:p>
            <w:r/>
            <w:r>
              <w:rPr>
                <w:b w:val="0"/>
                <w:sz w:val="17"/>
              </w:rPr>
              <w:t>고칼슘혈증·고칼슘뇨·요로결석</w:t>
            </w:r>
          </w:p>
        </w:tc>
        <w:tc>
          <w:tcPr>
            <w:tcW w:type="dxa" w:w="2409"/>
            <w:vAlign w:val="center"/>
          </w:tcPr>
          <w:p>
            <w:r/>
            <w:r>
              <w:rPr>
                <w:b w:val="0"/>
                <w:sz w:val="17"/>
              </w:rPr>
              <w:t>고용량과 칼슘 병용 시 칼슘대사 결과가 달라질 수 있음</w:t>
            </w:r>
          </w:p>
        </w:tc>
        <w:tc>
          <w:tcPr>
            <w:tcW w:type="dxa" w:w="2409"/>
            <w:vAlign w:val="center"/>
          </w:tcPr>
          <w:p>
            <w:r/>
            <w:r>
              <w:rPr>
                <w:b w:val="0"/>
                <w:sz w:val="17"/>
              </w:rPr>
              <w:t>총 섭취량, 칼슘 병용, 결석 병력</w:t>
            </w:r>
          </w:p>
        </w:tc>
      </w:tr>
      <w:tr>
        <w:tc>
          <w:tcPr>
            <w:tcW w:type="dxa" w:w="2409"/>
            <w:vAlign w:val="center"/>
          </w:tcPr>
          <w:p>
            <w:r/>
            <w:r>
              <w:rPr>
                <w:b w:val="0"/>
                <w:sz w:val="17"/>
              </w:rPr>
              <w:t>비타민 B6</w:t>
            </w:r>
          </w:p>
        </w:tc>
        <w:tc>
          <w:tcPr>
            <w:tcW w:type="dxa" w:w="2409"/>
            <w:vAlign w:val="center"/>
          </w:tcPr>
          <w:p>
            <w:r/>
            <w:r>
              <w:rPr>
                <w:b w:val="0"/>
                <w:sz w:val="17"/>
              </w:rPr>
              <w:t>감각신경병증</w:t>
            </w:r>
          </w:p>
        </w:tc>
        <w:tc>
          <w:tcPr>
            <w:tcW w:type="dxa" w:w="2409"/>
            <w:vAlign w:val="center"/>
          </w:tcPr>
          <w:p>
            <w:r/>
            <w:r>
              <w:rPr>
                <w:b w:val="0"/>
                <w:sz w:val="17"/>
              </w:rPr>
              <w:t>장기간 고용량 pyridoxine 노출과 관련된 대표적 위해</w:t>
            </w:r>
          </w:p>
        </w:tc>
        <w:tc>
          <w:tcPr>
            <w:tcW w:type="dxa" w:w="2409"/>
            <w:vAlign w:val="center"/>
          </w:tcPr>
          <w:p>
            <w:r/>
            <w:r>
              <w:rPr>
                <w:b w:val="0"/>
                <w:sz w:val="17"/>
              </w:rPr>
              <w:t>중복제품, 복용기간, 감각·보행 이상</w:t>
            </w:r>
          </w:p>
        </w:tc>
      </w:tr>
      <w:tr>
        <w:tc>
          <w:tcPr>
            <w:tcW w:type="dxa" w:w="2409"/>
            <w:vAlign w:val="center"/>
          </w:tcPr>
          <w:p>
            <w:r/>
            <w:r>
              <w:rPr>
                <w:b w:val="0"/>
                <w:sz w:val="17"/>
              </w:rPr>
              <w:t>철분</w:t>
            </w:r>
          </w:p>
        </w:tc>
        <w:tc>
          <w:tcPr>
            <w:tcW w:type="dxa" w:w="2409"/>
            <w:vAlign w:val="center"/>
          </w:tcPr>
          <w:p>
            <w:r/>
            <w:r>
              <w:rPr>
                <w:b w:val="0"/>
                <w:sz w:val="17"/>
              </w:rPr>
              <w:t>위장관 이상반응</w:t>
            </w:r>
          </w:p>
        </w:tc>
        <w:tc>
          <w:tcPr>
            <w:tcW w:type="dxa" w:w="2409"/>
            <w:vAlign w:val="center"/>
          </w:tcPr>
          <w:p>
            <w:r/>
            <w:r>
              <w:rPr>
                <w:b w:val="0"/>
                <w:sz w:val="17"/>
              </w:rPr>
              <w:t>복약순응도와 치료지속에 직접 영향을 주는 흔한 이상반응</w:t>
            </w:r>
          </w:p>
        </w:tc>
        <w:tc>
          <w:tcPr>
            <w:tcW w:type="dxa" w:w="2409"/>
            <w:vAlign w:val="center"/>
          </w:tcPr>
          <w:p>
            <w:r/>
            <w:r>
              <w:rPr>
                <w:b w:val="0"/>
                <w:sz w:val="17"/>
              </w:rPr>
              <w:t>제제, 원소철 함량, 횟수, 위장관 증상</w:t>
            </w:r>
          </w:p>
        </w:tc>
      </w:tr>
      <w:tr>
        <w:tc>
          <w:tcPr>
            <w:tcW w:type="dxa" w:w="2409"/>
            <w:vAlign w:val="center"/>
          </w:tcPr>
          <w:p>
            <w:r/>
            <w:r>
              <w:rPr>
                <w:b w:val="0"/>
                <w:sz w:val="17"/>
              </w:rPr>
              <w:t>마그네슘</w:t>
            </w:r>
          </w:p>
        </w:tc>
        <w:tc>
          <w:tcPr>
            <w:tcW w:type="dxa" w:w="2409"/>
            <w:vAlign w:val="center"/>
          </w:tcPr>
          <w:p>
            <w:r/>
            <w:r>
              <w:rPr>
                <w:b w:val="0"/>
                <w:sz w:val="17"/>
              </w:rPr>
              <w:t>설사·고마그네슘혈증</w:t>
            </w:r>
          </w:p>
        </w:tc>
        <w:tc>
          <w:tcPr>
            <w:tcW w:type="dxa" w:w="2409"/>
            <w:vAlign w:val="center"/>
          </w:tcPr>
          <w:p>
            <w:r/>
            <w:r>
              <w:rPr>
                <w:b w:val="0"/>
                <w:sz w:val="17"/>
              </w:rPr>
              <w:t>일반적 이상반응과 신기능 저하 환자의 중증 위해를 함께 고려해야 함</w:t>
            </w:r>
          </w:p>
        </w:tc>
        <w:tc>
          <w:tcPr>
            <w:tcW w:type="dxa" w:w="2409"/>
            <w:vAlign w:val="center"/>
          </w:tcPr>
          <w:p>
            <w:r/>
            <w:r>
              <w:rPr>
                <w:b w:val="0"/>
                <w:sz w:val="17"/>
              </w:rPr>
              <w:t>제제, 용량, 기간, 신기능, 의식·혈압 변화</w:t>
            </w:r>
          </w:p>
        </w:tc>
      </w:tr>
      <w:tr>
        <w:tc>
          <w:tcPr>
            <w:tcW w:type="dxa" w:w="2409"/>
            <w:vAlign w:val="center"/>
          </w:tcPr>
          <w:p>
            <w:r/>
            <w:r>
              <w:rPr>
                <w:b w:val="0"/>
                <w:sz w:val="17"/>
              </w:rPr>
              <w:t>아연</w:t>
            </w:r>
          </w:p>
        </w:tc>
        <w:tc>
          <w:tcPr>
            <w:tcW w:type="dxa" w:w="2409"/>
            <w:vAlign w:val="center"/>
          </w:tcPr>
          <w:p>
            <w:r/>
            <w:r>
              <w:rPr>
                <w:b w:val="0"/>
                <w:sz w:val="17"/>
              </w:rPr>
              <w:t>구리결핍·혈액학적/신경학적 이상</w:t>
            </w:r>
          </w:p>
        </w:tc>
        <w:tc>
          <w:tcPr>
            <w:tcW w:type="dxa" w:w="2409"/>
            <w:vAlign w:val="center"/>
          </w:tcPr>
          <w:p>
            <w:r/>
            <w:r>
              <w:rPr>
                <w:b w:val="0"/>
                <w:sz w:val="17"/>
              </w:rPr>
              <w:t>만성 과량복용 후 늦게 발견되고 일부 후유증이 남을 수 있음</w:t>
            </w:r>
          </w:p>
        </w:tc>
        <w:tc>
          <w:tcPr>
            <w:tcW w:type="dxa" w:w="2409"/>
            <w:vAlign w:val="center"/>
          </w:tcPr>
          <w:p>
            <w:r/>
            <w:r>
              <w:rPr>
                <w:b w:val="0"/>
                <w:sz w:val="17"/>
              </w:rPr>
              <w:t>용량, 기간, 빈혈, 감각·보행 이상</w:t>
            </w:r>
          </w:p>
        </w:tc>
      </w:tr>
    </w:tbl>
    <w:p/>
    <w:p>
      <w:pPr>
        <w:pStyle w:val="Heading2"/>
        <w:spacing w:before="240" w:after="120"/>
      </w:pPr>
      <w:r>
        <w:t>2.6 검색전략의 설계와 선택 이유</w:t>
      </w:r>
    </w:p>
    <w:p>
      <w:pPr>
        <w:spacing w:line="300" w:lineRule="auto" w:after="100"/>
        <w:ind w:firstLine="312"/>
      </w:pPr>
      <w:r>
        <w:t>검색전략은 PRISMA-S의 재현 가능한 검색 보고 원칙을 참고하여 데이터베이스, 전체 검색식, 검색일, 검색 건수 및 원시 반입 건수를 기록하도록 설계하였다. 각 검색식은 성분 개념, 경구 복용 또는 보충제 노출 개념, 안전성 결과 개념을 AND로 결합하였다. 각 개념 안에서는 MeSH와 제목·초록 자유어를 OR로 연결하였다. MeSH만 사용하면 최근에 색인되지 않은 문헌이 누락될 수 있고, 자유어만 사용하면 과거 문헌의 표현 차이를 놓칠 수 있어 두 방식을 병용하였다.</w:t>
      </w:r>
    </w:p>
    <w:p>
      <w:pPr>
        <w:spacing w:line="300" w:lineRule="auto" w:after="100"/>
        <w:ind w:firstLine="312"/>
      </w:pPr>
      <w:r>
        <w:t>언어, 출판연도 및 연구설계 필터는 적용하지 않았다. 안전성 문헌은 무작위시험뿐 아니라 증례보고, 코호트 연구와 규제기관 의견서에 분산되어 있고, 고전적 독성 증례가 현재의 상담 기준을 형성한 경우가 있기 때문이다. 검색 결과가 많다는 이유로 관련도 상위 일부만 반입하면 검색엔진 순위에 따른 선택편향이 생길 수 있으므로 모든 PMID와 원문 XML을 반입하였다.</w:t>
      </w:r>
    </w:p>
    <w:p>
      <w:pPr>
        <w:spacing w:line="300" w:lineRule="auto" w:after="100"/>
        <w:ind w:firstLine="312"/>
      </w:pPr>
      <w:r>
        <w:t>PRESS 지침에서 제시하는 연구질문의 검색개념 변환, Boolean 연산자, 자유어, 주제명, 제한조건 및 데이터베이스별 변환 항목을 자체 점검에 사용하였다. 다만 정보전문가의 독립 PRESS 검토를 받은 것은 아니므로 이를 완료된 동료검토로 기술하지 않았다.</w:t>
      </w:r>
    </w:p>
    <w:p>
      <w:pPr>
        <w:pStyle w:val="Heading2"/>
        <w:spacing w:before="240" w:after="120"/>
      </w:pPr>
      <w:r>
        <w:t>2.7 핵심문헌을 이용한 검색식 검증</w:t>
      </w:r>
    </w:p>
    <w:p>
      <w:pPr>
        <w:spacing w:line="300" w:lineRule="auto" w:after="100"/>
        <w:ind w:firstLine="312"/>
      </w:pPr>
      <w:r>
        <w:t>검색 건수만으로 검색식의 민감도를 판단할 수 없기 때문에 성분별로 임상적 관련성이 높은 핵심문헌을 미리 선정하였다. 핵심문헌은 직접적인 성분 노출과 안전성 결과를 다루고 PMID로 확인 가능한 연구로 한정하였다. 비타민 D 5편, 비타민 B6 4편, 철분 4편, 마그네슘 5편, 아연 4편으로 총 22편이었다.</w:t>
      </w:r>
    </w:p>
    <w:p>
      <w:pPr>
        <w:spacing w:line="300" w:lineRule="auto" w:after="100"/>
        <w:ind w:firstLine="312"/>
      </w:pPr>
      <w:r>
        <w:t>검색식 검증의 1차 지표는 핵심문헌 회수율로 정의하였다. 분자는 해당 검색식으로 회수된 핵심문헌 수, 분모는 사전 선정 핵심문헌 수로 계산하였다. 최초 검색에서 누락된 문헌은 단순히 목록에 추가하지 않고 어느 검색개념에서 실패했는지 확인하였다. 이후 누락 원인을 설명할 수 있는 동의어만 추가하고 검색식을 새 버전으로 저장한 뒤 전체 검색을 다시 수행하였다. 이 절차는 결과를 알고 검색어를 무제한으로 늘리는 것을 피하면서도 명백한 표현 누락을 교정하기 위해 선택하였다.</w:t>
      </w:r>
    </w:p>
    <w:p>
      <w:r>
        <w:br w:type="page"/>
      </w:r>
    </w:p>
    <w:p>
      <w:pPr>
        <w:pStyle w:val="Heading2"/>
        <w:spacing w:before="240" w:after="120"/>
      </w:pPr>
      <w:r>
        <w:t>2.8 자료 처리와 문헌 우선순위 분류</w:t>
      </w:r>
    </w:p>
    <w:p>
      <w:pPr>
        <w:spacing w:line="300" w:lineRule="auto" w:after="100"/>
        <w:ind w:firstLine="312"/>
      </w:pPr>
      <w:r>
        <w:t>각 검색 결과는 검색 실행 단위를 보존한 상태로 저장한 뒤 PMID를 기준으로 성분 간 중복을 확인하였다. 같은 문헌이 둘 이상의 성분 검색에서 확인된 경우 문헌 자체는 하나로 유지하되 해당 성분 정보를 모두 연결하였다. 검색 건수, 반출 PMID 수 및 정규화된 문헌 수가 일치하지 않으면 분석을 중단하도록 하여 자료 누락을 확인하였다.</w:t>
      </w:r>
    </w:p>
    <w:p>
      <w:pPr>
        <w:spacing w:line="300" w:lineRule="auto" w:after="100"/>
        <w:ind w:firstLine="312"/>
      </w:pPr>
      <w:r>
        <w:t>15,000편이 넘는 문헌을 동일한 깊이로 검토하기 어려워 제목과 초록을 이용한 우선순위 분류를 적용하였다. 이 단계의 목적은 최종 포함 여부를 자동으로 결정하는 것이 아니라 사람이 먼저 읽을 문헌을 정하는 것이었다. 성인, 경구 노출, 용량 또는 기간, 이상반응과 사람 연구설계가 함께 나타난 문헌은 우선 검토 대상으로 분류하였다. 동물·시험관·소아 연구임이 명확한 경우에는 연구범위 외 후보로 분류하였고, 정보가 부족한 경우에는 제외하지 않고 추가 확인 대상으로 남겼다.</w:t>
      </w:r>
    </w:p>
    <w:p>
      <w:pPr>
        <w:spacing w:line="300" w:lineRule="auto" w:after="100"/>
        <w:ind w:firstLine="312"/>
      </w:pPr>
      <w:r>
        <w:t>자동화 분류 결과를 최종 문헌선정 결과로 사용하지 않은 이유는 초록에 노출 형태나 안전성 결과가 생략될 수 있기 때문이다. 따라서 결과표의 ‘우선 검토 문헌’은 포함 연구 수가 아니라 검토 순서를 나타내며, 전문 확인을 마친 최종 근거집합과 구분하였다.</w:t>
      </w:r>
    </w:p>
    <w:p>
      <w:pPr>
        <w:pStyle w:val="Heading2"/>
        <w:spacing w:before="240" w:after="120"/>
      </w:pPr>
      <w:r>
        <w:t>2.9 자료추출과 근거 합성</w:t>
      </w:r>
    </w:p>
    <w:p>
      <w:pPr>
        <w:spacing w:line="300" w:lineRule="auto" w:after="100"/>
        <w:ind w:firstLine="312"/>
      </w:pPr>
      <w:r>
        <w:t>핵심문헌에서는 저자, 연도, 연구설계, 대상자, 성분과 제형, 투여량, 복용기간, 비교군, 안전성 결과, 효과크기 및 95% 신뢰구간을 추출하도록 항목을 정하였다. 초록에서 확인되지 않는 값은 추정하지 않고 미확인으로 기록하였다. 같은 결과라도 연구마다 정의가 다른 경우에는 원문의 정의를 유지하였다.</w:t>
      </w:r>
    </w:p>
    <w:p>
      <w:pPr>
        <w:spacing w:line="300" w:lineRule="auto" w:after="100"/>
        <w:ind w:firstLine="312"/>
      </w:pPr>
      <w:r>
        <w:t>정량적 메타분석은 시행하지 않았다. 성분별 문헌의 설계가 무작위시험, 코호트, 증례군, 증례보고와 과학적 의견서로 이질적이었고, 노출량과 결과 정의도 달랐기 때문이다. 서로 다른 결과를 하나의 효과크기로 결합하면 임상적 의미가 왜곡될 수 있어 SWiM 지침의 원칙에 따라 연구를 성분과 안전성 결과별로 묶고, 각 연구의 방향과 구체적 수치를 표로 제시하는 서술적 합성을 선택하였다.</w:t>
      </w:r>
    </w:p>
    <w:p>
      <w:pPr>
        <w:pStyle w:val="Heading2"/>
        <w:spacing w:before="240" w:after="120"/>
      </w:pPr>
      <w:r>
        <w:t>2.10 정보제공 도구의 설계</w:t>
      </w:r>
    </w:p>
    <w:p>
      <w:pPr>
        <w:spacing w:line="300" w:lineRule="auto" w:after="100"/>
        <w:ind w:firstLine="312"/>
      </w:pPr>
      <w:r>
        <w:t>정보제공 도구는 위험도를 하나의 점수로 계산하는 방식 대신 단계별 확인 질문을 제시하도록 설계하였다. 첫 단계에서는 성분과 제품별 함량을 확인하고, 두 번째 단계에서는 하루 총량과 복용기간을 계산하며, 세 번째 단계에서는 기저질환과 병용제품을 확인하고, 마지막 단계에서는 현재 증상과 의료진 상담 필요성을 제시한다.</w:t>
      </w:r>
    </w:p>
    <w:p>
      <w:pPr>
        <w:spacing w:line="300" w:lineRule="auto" w:after="100"/>
        <w:ind w:firstLine="312"/>
      </w:pPr>
      <w:r>
        <w:t>단일 점수를 사용하지 않은 이유는 같은 섭취량이라도 신기능, 결석 병력 또는 병용제품에 따라 의미가 달라지기 때문이다. 또한 문헌에서 직접 확인되지 않은 용량 기준을 새로 만들지 않고, 각 문안에 근거가 된 PMID를 연결하였다. 결과가 불확실한 경우에는 ‘안전하다’ 또는 ‘위험하다’고 단정하지 않고 추가로 확인해야 할 정보와 상담 필요성을 제시하였다.</w:t>
      </w:r>
    </w:p>
    <w:tbl>
      <w:tblPr>
        <w:tblStyle w:val="TableGrid"/>
        <w:tblW w:type="auto" w:w="0"/>
        <w:jc w:val="center"/>
        <w:tblLook w:firstColumn="1" w:firstRow="1" w:lastColumn="0" w:lastRow="0" w:noHBand="0" w:noVBand="1" w:val="04A0"/>
      </w:tblPr>
      <w:tblGrid>
        <w:gridCol w:w="1928"/>
        <w:gridCol w:w="1928"/>
        <w:gridCol w:w="1928"/>
        <w:gridCol w:w="1928"/>
        <w:gridCol w:w="1928"/>
      </w:tblGrid>
      <w:tr>
        <w:tc>
          <w:tcPr>
            <w:tcW w:type="dxa" w:w="1928"/>
            <w:vAlign w:val="center"/>
            <w:shd w:fill="DCE6F1"/>
          </w:tcPr>
          <w:p>
            <w:r/>
            <w:r>
              <w:rPr>
                <w:b/>
                <w:sz w:val="17"/>
              </w:rPr>
              <w:t>① 제품 확인</w:t>
            </w:r>
          </w:p>
        </w:tc>
        <w:tc>
          <w:tcPr>
            <w:tcW w:type="dxa" w:w="1928"/>
            <w:vAlign w:val="center"/>
            <w:shd w:fill="DCE6F1"/>
          </w:tcPr>
          <w:p>
            <w:r/>
            <w:r>
              <w:rPr>
                <w:b/>
                <w:sz w:val="17"/>
              </w:rPr>
              <w:t>② 총량·기간</w:t>
            </w:r>
          </w:p>
        </w:tc>
        <w:tc>
          <w:tcPr>
            <w:tcW w:type="dxa" w:w="1928"/>
            <w:vAlign w:val="center"/>
            <w:shd w:fill="DCE6F1"/>
          </w:tcPr>
          <w:p>
            <w:r/>
            <w:r>
              <w:rPr>
                <w:b/>
                <w:sz w:val="17"/>
              </w:rPr>
              <w:t>③ 위험요인</w:t>
            </w:r>
          </w:p>
        </w:tc>
        <w:tc>
          <w:tcPr>
            <w:tcW w:type="dxa" w:w="1928"/>
            <w:vAlign w:val="center"/>
            <w:shd w:fill="DCE6F1"/>
          </w:tcPr>
          <w:p>
            <w:r/>
            <w:r>
              <w:rPr>
                <w:b/>
                <w:sz w:val="17"/>
              </w:rPr>
              <w:t>④ 증상</w:t>
            </w:r>
          </w:p>
        </w:tc>
        <w:tc>
          <w:tcPr>
            <w:tcW w:type="dxa" w:w="1928"/>
            <w:vAlign w:val="center"/>
            <w:shd w:fill="DCE6F1"/>
          </w:tcPr>
          <w:p>
            <w:r/>
            <w:r>
              <w:rPr>
                <w:b/>
                <w:sz w:val="17"/>
              </w:rPr>
              <w:t>⑤ 근거·행동</w:t>
            </w:r>
          </w:p>
        </w:tc>
      </w:tr>
      <w:tr>
        <w:tc>
          <w:tcPr>
            <w:tcW w:type="dxa" w:w="1928"/>
            <w:vAlign w:val="center"/>
          </w:tcPr>
          <w:p>
            <w:r/>
            <w:r>
              <w:rPr>
                <w:b w:val="0"/>
                <w:sz w:val="17"/>
              </w:rPr>
              <w:t>성분·제형·표시량</w:t>
            </w:r>
          </w:p>
        </w:tc>
        <w:tc>
          <w:tcPr>
            <w:tcW w:type="dxa" w:w="1928"/>
            <w:vAlign w:val="center"/>
          </w:tcPr>
          <w:p>
            <w:r/>
            <w:r>
              <w:rPr>
                <w:b w:val="0"/>
                <w:sz w:val="17"/>
              </w:rPr>
              <w:t>제품 간 합산</w:t>
            </w:r>
          </w:p>
        </w:tc>
        <w:tc>
          <w:tcPr>
            <w:tcW w:type="dxa" w:w="1928"/>
            <w:vAlign w:val="center"/>
          </w:tcPr>
          <w:p>
            <w:r/>
            <w:r>
              <w:rPr>
                <w:b w:val="0"/>
                <w:sz w:val="17"/>
              </w:rPr>
              <w:t>신기능·병력·병용</w:t>
            </w:r>
          </w:p>
        </w:tc>
        <w:tc>
          <w:tcPr>
            <w:tcW w:type="dxa" w:w="1928"/>
            <w:vAlign w:val="center"/>
          </w:tcPr>
          <w:p>
            <w:r/>
            <w:r>
              <w:rPr>
                <w:b w:val="0"/>
                <w:sz w:val="17"/>
              </w:rPr>
              <w:t>이상반응 징후</w:t>
            </w:r>
          </w:p>
        </w:tc>
        <w:tc>
          <w:tcPr>
            <w:tcW w:type="dxa" w:w="1928"/>
            <w:vAlign w:val="center"/>
          </w:tcPr>
          <w:p>
            <w:r/>
            <w:r>
              <w:rPr>
                <w:b w:val="0"/>
                <w:sz w:val="17"/>
              </w:rPr>
              <w:t>PMID와 상담 권고</w:t>
            </w:r>
          </w:p>
        </w:tc>
      </w:tr>
    </w:tbl>
    <w:p/>
    <w:p>
      <w:pPr>
        <w:pStyle w:val="Heading2"/>
        <w:spacing w:before="240" w:after="120"/>
      </w:pPr>
      <w:r>
        <w:t>2.11 평가변수와 해석 원칙</w:t>
      </w:r>
    </w:p>
    <w:p>
      <w:pPr>
        <w:spacing w:line="300" w:lineRule="auto" w:after="100"/>
        <w:ind w:firstLine="312"/>
      </w:pPr>
      <w:r>
        <w:t>본 연구의 기술적 평가변수는 전체 검색 건수, 중복 제거 후 고유 문헌 수, 핵심문헌 회수율, 검색 건수와 반입 건수의 일치 여부 및 근거문헌 연결 여부였다. 핵심문헌 회수율은 검색식 검증 지표이며 자동분류의 민감도로 해석하지 않았다. 자동분류 성능을 평가하려면 독립된 사람이 모든 문헌의 정답을 판정한 자료가 필요하기 때문이다.</w:t>
      </w:r>
    </w:p>
    <w:p>
      <w:pPr>
        <w:spacing w:line="300" w:lineRule="auto" w:after="100"/>
        <w:ind w:firstLine="312"/>
      </w:pPr>
      <w:r>
        <w:t>임상적 민감도, 특이도, 양성예측도, F1 점수 및 치명적 위해 누락률은 독립 사례와 전문가 정답이 없어 계산하지 않았다. 평가되지 않은 지표를 0 또는 100%로 표시하지 않았으며, 개발된 문안도 임상 검증을 마친 규칙으로 표현하지 않았다. 사람 대상 자료를 수집하지 않았고 공개 문헌만 사용하였으므로 본 단계에서는 환자 개인정보를 처리하지 않았다.</w:t>
      </w:r>
    </w:p>
    <w:p>
      <w:pPr>
        <w:pStyle w:val="Heading1"/>
        <w:spacing w:before="240" w:after="120"/>
      </w:pPr>
      <w:r>
        <w:t>3. 연구 결과</w:t>
      </w:r>
    </w:p>
    <w:p>
      <w:pPr>
        <w:pStyle w:val="Heading2"/>
        <w:spacing w:before="240" w:after="120"/>
      </w:pPr>
      <w:r>
        <w:t>3.1 검색과 선별</w:t>
      </w:r>
    </w:p>
    <w:tbl>
      <w:tblPr>
        <w:tblStyle w:val="TableGrid"/>
        <w:tblW w:type="auto" w:w="0"/>
        <w:jc w:val="center"/>
        <w:tblLook w:firstColumn="1" w:firstRow="1" w:lastColumn="0" w:lastRow="0" w:noHBand="0" w:noVBand="1" w:val="04A0"/>
      </w:tblPr>
      <w:tblGrid>
        <w:gridCol w:w="1928"/>
        <w:gridCol w:w="1928"/>
        <w:gridCol w:w="1928"/>
        <w:gridCol w:w="1928"/>
        <w:gridCol w:w="1928"/>
      </w:tblGrid>
      <w:tr>
        <w:tc>
          <w:tcPr>
            <w:tcW w:type="dxa" w:w="1928"/>
            <w:vAlign w:val="center"/>
            <w:shd w:fill="DCE6F1"/>
          </w:tcPr>
          <w:p>
            <w:r/>
            <w:r>
              <w:rPr>
                <w:b/>
                <w:sz w:val="17"/>
              </w:rPr>
              <w:t>성분</w:t>
            </w:r>
          </w:p>
        </w:tc>
        <w:tc>
          <w:tcPr>
            <w:tcW w:type="dxa" w:w="1928"/>
            <w:vAlign w:val="center"/>
            <w:shd w:fill="DCE6F1"/>
          </w:tcPr>
          <w:p>
            <w:r/>
            <w:r>
              <w:rPr>
                <w:b/>
                <w:sz w:val="17"/>
              </w:rPr>
              <w:t>검색 문헌 수</w:t>
            </w:r>
          </w:p>
        </w:tc>
        <w:tc>
          <w:tcPr>
            <w:tcW w:type="dxa" w:w="1928"/>
            <w:vAlign w:val="center"/>
            <w:shd w:fill="DCE6F1"/>
          </w:tcPr>
          <w:p>
            <w:r/>
            <w:r>
              <w:rPr>
                <w:b/>
                <w:sz w:val="17"/>
              </w:rPr>
              <w:t>핵심문헌</w:t>
            </w:r>
          </w:p>
        </w:tc>
        <w:tc>
          <w:tcPr>
            <w:tcW w:type="dxa" w:w="1928"/>
            <w:vAlign w:val="center"/>
            <w:shd w:fill="DCE6F1"/>
          </w:tcPr>
          <w:p>
            <w:r/>
            <w:r>
              <w:rPr>
                <w:b/>
                <w:sz w:val="17"/>
              </w:rPr>
              <w:t>우선 검토 문헌</w:t>
            </w:r>
          </w:p>
        </w:tc>
        <w:tc>
          <w:tcPr>
            <w:tcW w:type="dxa" w:w="1928"/>
            <w:vAlign w:val="center"/>
            <w:shd w:fill="DCE6F1"/>
          </w:tcPr>
          <w:p>
            <w:r/>
            <w:r>
              <w:rPr>
                <w:b/>
                <w:sz w:val="17"/>
              </w:rPr>
              <w:t>전문 검토</w:t>
            </w:r>
          </w:p>
        </w:tc>
      </w:tr>
      <w:tr>
        <w:tc>
          <w:tcPr>
            <w:tcW w:type="dxa" w:w="1928"/>
            <w:vAlign w:val="center"/>
          </w:tcPr>
          <w:p>
            <w:r/>
            <w:r>
              <w:rPr>
                <w:b w:val="0"/>
                <w:sz w:val="17"/>
              </w:rPr>
              <w:t>비타민 D</w:t>
            </w:r>
          </w:p>
        </w:tc>
        <w:tc>
          <w:tcPr>
            <w:tcW w:type="dxa" w:w="1928"/>
            <w:vAlign w:val="center"/>
          </w:tcPr>
          <w:p>
            <w:r/>
            <w:r>
              <w:rPr>
                <w:b w:val="0"/>
                <w:sz w:val="17"/>
              </w:rPr>
              <w:t>5,697</w:t>
            </w:r>
          </w:p>
        </w:tc>
        <w:tc>
          <w:tcPr>
            <w:tcW w:type="dxa" w:w="1928"/>
            <w:vAlign w:val="center"/>
          </w:tcPr>
          <w:p>
            <w:r/>
            <w:r>
              <w:rPr>
                <w:b w:val="0"/>
                <w:sz w:val="17"/>
              </w:rPr>
              <w:t>5</w:t>
            </w:r>
          </w:p>
        </w:tc>
        <w:tc>
          <w:tcPr>
            <w:tcW w:type="dxa" w:w="1928"/>
            <w:vAlign w:val="center"/>
          </w:tcPr>
          <w:p>
            <w:r/>
            <w:r>
              <w:rPr>
                <w:b w:val="0"/>
                <w:sz w:val="17"/>
              </w:rPr>
              <w:t>25</w:t>
            </w:r>
          </w:p>
        </w:tc>
        <w:tc>
          <w:tcPr>
            <w:tcW w:type="dxa" w:w="1928"/>
            <w:vAlign w:val="center"/>
          </w:tcPr>
          <w:p>
            <w:r/>
            <w:r>
              <w:rPr>
                <w:b w:val="0"/>
                <w:sz w:val="17"/>
              </w:rPr>
              <w:t>미시행</w:t>
            </w:r>
          </w:p>
        </w:tc>
      </w:tr>
      <w:tr>
        <w:tc>
          <w:tcPr>
            <w:tcW w:type="dxa" w:w="1928"/>
            <w:vAlign w:val="center"/>
          </w:tcPr>
          <w:p>
            <w:r/>
            <w:r>
              <w:rPr>
                <w:b w:val="0"/>
                <w:sz w:val="17"/>
              </w:rPr>
              <w:t>비타민 B6</w:t>
            </w:r>
          </w:p>
        </w:tc>
        <w:tc>
          <w:tcPr>
            <w:tcW w:type="dxa" w:w="1928"/>
            <w:vAlign w:val="center"/>
          </w:tcPr>
          <w:p>
            <w:r/>
            <w:r>
              <w:rPr>
                <w:b w:val="0"/>
                <w:sz w:val="17"/>
              </w:rPr>
              <w:t>402</w:t>
            </w:r>
          </w:p>
        </w:tc>
        <w:tc>
          <w:tcPr>
            <w:tcW w:type="dxa" w:w="1928"/>
            <w:vAlign w:val="center"/>
          </w:tcPr>
          <w:p>
            <w:r/>
            <w:r>
              <w:rPr>
                <w:b w:val="0"/>
                <w:sz w:val="17"/>
              </w:rPr>
              <w:t>4</w:t>
            </w:r>
          </w:p>
        </w:tc>
        <w:tc>
          <w:tcPr>
            <w:tcW w:type="dxa" w:w="1928"/>
            <w:vAlign w:val="center"/>
          </w:tcPr>
          <w:p>
            <w:r/>
            <w:r>
              <w:rPr>
                <w:b w:val="0"/>
                <w:sz w:val="17"/>
              </w:rPr>
              <w:t>22</w:t>
            </w:r>
          </w:p>
        </w:tc>
        <w:tc>
          <w:tcPr>
            <w:tcW w:type="dxa" w:w="1928"/>
            <w:vAlign w:val="center"/>
          </w:tcPr>
          <w:p>
            <w:r/>
            <w:r>
              <w:rPr>
                <w:b w:val="0"/>
                <w:sz w:val="17"/>
              </w:rPr>
              <w:t>미시행</w:t>
            </w:r>
          </w:p>
        </w:tc>
      </w:tr>
      <w:tr>
        <w:tc>
          <w:tcPr>
            <w:tcW w:type="dxa" w:w="1928"/>
            <w:vAlign w:val="center"/>
          </w:tcPr>
          <w:p>
            <w:r/>
            <w:r>
              <w:rPr>
                <w:b w:val="0"/>
                <w:sz w:val="17"/>
              </w:rPr>
              <w:t>철분</w:t>
            </w:r>
          </w:p>
        </w:tc>
        <w:tc>
          <w:tcPr>
            <w:tcW w:type="dxa" w:w="1928"/>
            <w:vAlign w:val="center"/>
          </w:tcPr>
          <w:p>
            <w:r/>
            <w:r>
              <w:rPr>
                <w:b w:val="0"/>
                <w:sz w:val="17"/>
              </w:rPr>
              <w:t>3,105</w:t>
            </w:r>
          </w:p>
        </w:tc>
        <w:tc>
          <w:tcPr>
            <w:tcW w:type="dxa" w:w="1928"/>
            <w:vAlign w:val="center"/>
          </w:tcPr>
          <w:p>
            <w:r/>
            <w:r>
              <w:rPr>
                <w:b w:val="0"/>
                <w:sz w:val="17"/>
              </w:rPr>
              <w:t>4</w:t>
            </w:r>
          </w:p>
        </w:tc>
        <w:tc>
          <w:tcPr>
            <w:tcW w:type="dxa" w:w="1928"/>
            <w:vAlign w:val="center"/>
          </w:tcPr>
          <w:p>
            <w:r/>
            <w:r>
              <w:rPr>
                <w:b w:val="0"/>
                <w:sz w:val="17"/>
              </w:rPr>
              <w:t>24</w:t>
            </w:r>
          </w:p>
        </w:tc>
        <w:tc>
          <w:tcPr>
            <w:tcW w:type="dxa" w:w="1928"/>
            <w:vAlign w:val="center"/>
          </w:tcPr>
          <w:p>
            <w:r/>
            <w:r>
              <w:rPr>
                <w:b w:val="0"/>
                <w:sz w:val="17"/>
              </w:rPr>
              <w:t>미시행</w:t>
            </w:r>
          </w:p>
        </w:tc>
      </w:tr>
      <w:tr>
        <w:tc>
          <w:tcPr>
            <w:tcW w:type="dxa" w:w="1928"/>
            <w:vAlign w:val="center"/>
          </w:tcPr>
          <w:p>
            <w:r/>
            <w:r>
              <w:rPr>
                <w:b w:val="0"/>
                <w:sz w:val="17"/>
              </w:rPr>
              <w:t>마그네슘</w:t>
            </w:r>
          </w:p>
        </w:tc>
        <w:tc>
          <w:tcPr>
            <w:tcW w:type="dxa" w:w="1928"/>
            <w:vAlign w:val="center"/>
          </w:tcPr>
          <w:p>
            <w:r/>
            <w:r>
              <w:rPr>
                <w:b w:val="0"/>
                <w:sz w:val="17"/>
              </w:rPr>
              <w:t>3,742</w:t>
            </w:r>
          </w:p>
        </w:tc>
        <w:tc>
          <w:tcPr>
            <w:tcW w:type="dxa" w:w="1928"/>
            <w:vAlign w:val="center"/>
          </w:tcPr>
          <w:p>
            <w:r/>
            <w:r>
              <w:rPr>
                <w:b w:val="0"/>
                <w:sz w:val="17"/>
              </w:rPr>
              <w:t>5</w:t>
            </w:r>
          </w:p>
        </w:tc>
        <w:tc>
          <w:tcPr>
            <w:tcW w:type="dxa" w:w="1928"/>
            <w:vAlign w:val="center"/>
          </w:tcPr>
          <w:p>
            <w:r/>
            <w:r>
              <w:rPr>
                <w:b w:val="0"/>
                <w:sz w:val="17"/>
              </w:rPr>
              <w:t>23</w:t>
            </w:r>
          </w:p>
        </w:tc>
        <w:tc>
          <w:tcPr>
            <w:tcW w:type="dxa" w:w="1928"/>
            <w:vAlign w:val="center"/>
          </w:tcPr>
          <w:p>
            <w:r/>
            <w:r>
              <w:rPr>
                <w:b w:val="0"/>
                <w:sz w:val="17"/>
              </w:rPr>
              <w:t>미시행</w:t>
            </w:r>
          </w:p>
        </w:tc>
      </w:tr>
      <w:tr>
        <w:tc>
          <w:tcPr>
            <w:tcW w:type="dxa" w:w="1928"/>
            <w:vAlign w:val="center"/>
          </w:tcPr>
          <w:p>
            <w:r/>
            <w:r>
              <w:rPr>
                <w:b w:val="0"/>
                <w:sz w:val="17"/>
              </w:rPr>
              <w:t>아연</w:t>
            </w:r>
          </w:p>
        </w:tc>
        <w:tc>
          <w:tcPr>
            <w:tcW w:type="dxa" w:w="1928"/>
            <w:vAlign w:val="center"/>
          </w:tcPr>
          <w:p>
            <w:r/>
            <w:r>
              <w:rPr>
                <w:b w:val="0"/>
                <w:sz w:val="17"/>
              </w:rPr>
              <w:t>3,248</w:t>
            </w:r>
          </w:p>
        </w:tc>
        <w:tc>
          <w:tcPr>
            <w:tcW w:type="dxa" w:w="1928"/>
            <w:vAlign w:val="center"/>
          </w:tcPr>
          <w:p>
            <w:r/>
            <w:r>
              <w:rPr>
                <w:b w:val="0"/>
                <w:sz w:val="17"/>
              </w:rPr>
              <w:t>4</w:t>
            </w:r>
          </w:p>
        </w:tc>
        <w:tc>
          <w:tcPr>
            <w:tcW w:type="dxa" w:w="1928"/>
            <w:vAlign w:val="center"/>
          </w:tcPr>
          <w:p>
            <w:r/>
            <w:r>
              <w:rPr>
                <w:b w:val="0"/>
                <w:sz w:val="17"/>
              </w:rPr>
              <w:t>24</w:t>
            </w:r>
          </w:p>
        </w:tc>
        <w:tc>
          <w:tcPr>
            <w:tcW w:type="dxa" w:w="1928"/>
            <w:vAlign w:val="center"/>
          </w:tcPr>
          <w:p>
            <w:r/>
            <w:r>
              <w:rPr>
                <w:b w:val="0"/>
                <w:sz w:val="17"/>
              </w:rPr>
              <w:t>미시행</w:t>
            </w:r>
          </w:p>
        </w:tc>
      </w:tr>
    </w:tbl>
    <w:p>
      <w:pPr>
        <w:spacing w:line="300" w:lineRule="auto" w:after="100"/>
        <w:ind w:firstLine="312"/>
      </w:pPr>
      <w:r>
        <w:t>다섯 성분의 검색 건수는 모두 16,194건이었다. 성분 간 PMID 중복 304건을 제외한 고유 문헌은 15,890건이었다. 제목과 초록을 이용한 우선순위 분류에서 6,106건을 우선 검토 대상으로, 9,504건을 추가 확인 대상으로 분류하였다. 연구범위에서 명백히 벗어난 것으로 판단된 문헌은 280건이었다.</w:t>
      </w:r>
    </w:p>
    <w:p>
      <w:pPr>
        <w:pStyle w:val="Heading2"/>
        <w:spacing w:before="240" w:after="120"/>
      </w:pPr>
      <w:r>
        <w:t>3.2 핵심문헌 회수율</w:t>
      </w:r>
    </w:p>
    <w:p>
      <w:pPr>
        <w:spacing w:line="300" w:lineRule="auto" w:after="100"/>
        <w:ind w:firstLine="312"/>
      </w:pPr>
      <w:r>
        <w:t>최초 검색에서는 핵심문헌 22편 중 15편이 확인되어 회수율은 68.2%였다. 비타민 B6와 철분에서 각각 1편, 마그네슘에서 3편, 아연에서 2편이 누락되었다. 누락 문헌에 사용된 표현을 반영해 검색식을 수정한 결과 22편이 모두 검색되어 최종 회수율은 100%였다.</w:t>
      </w:r>
    </w:p>
    <w:p>
      <w:r>
        <w:br w:type="page"/>
      </w:r>
    </w:p>
    <w:p>
      <w:pPr>
        <w:pStyle w:val="Heading2"/>
        <w:spacing w:before="240" w:after="120"/>
      </w:pPr>
      <w:r>
        <w:t>3.3 성분별 안전성 근거</w:t>
      </w:r>
    </w:p>
    <w:tbl>
      <w:tblPr>
        <w:tblStyle w:val="TableGrid"/>
        <w:tblW w:type="auto" w:w="0"/>
        <w:jc w:val="center"/>
        <w:tblLook w:firstColumn="1" w:firstRow="1" w:lastColumn="0" w:lastRow="0" w:noHBand="0" w:noVBand="1" w:val="04A0"/>
      </w:tblPr>
      <w:tblGrid>
        <w:gridCol w:w="1928"/>
        <w:gridCol w:w="1928"/>
        <w:gridCol w:w="1928"/>
        <w:gridCol w:w="1928"/>
        <w:gridCol w:w="1928"/>
      </w:tblGrid>
      <w:tr>
        <w:tc>
          <w:tcPr>
            <w:tcW w:type="dxa" w:w="1928"/>
            <w:vAlign w:val="center"/>
            <w:shd w:fill="DCE6F1"/>
          </w:tcPr>
          <w:p>
            <w:r/>
            <w:r>
              <w:rPr>
                <w:b/>
                <w:sz w:val="17"/>
              </w:rPr>
              <w:t>성분</w:t>
            </w:r>
          </w:p>
        </w:tc>
        <w:tc>
          <w:tcPr>
            <w:tcW w:type="dxa" w:w="1928"/>
            <w:vAlign w:val="center"/>
            <w:shd w:fill="DCE6F1"/>
          </w:tcPr>
          <w:p>
            <w:r/>
            <w:r>
              <w:rPr>
                <w:b/>
                <w:sz w:val="17"/>
              </w:rPr>
              <w:t>확인 문헌</w:t>
            </w:r>
          </w:p>
        </w:tc>
        <w:tc>
          <w:tcPr>
            <w:tcW w:type="dxa" w:w="1928"/>
            <w:vAlign w:val="center"/>
            <w:shd w:fill="DCE6F1"/>
          </w:tcPr>
          <w:p>
            <w:r/>
            <w:r>
              <w:rPr>
                <w:b/>
                <w:sz w:val="17"/>
              </w:rPr>
              <w:t>주요 연구설계</w:t>
            </w:r>
          </w:p>
        </w:tc>
        <w:tc>
          <w:tcPr>
            <w:tcW w:type="dxa" w:w="1928"/>
            <w:vAlign w:val="center"/>
            <w:shd w:fill="DCE6F1"/>
          </w:tcPr>
          <w:p>
            <w:r/>
            <w:r>
              <w:rPr>
                <w:b/>
                <w:sz w:val="17"/>
              </w:rPr>
              <w:t>전문 확인</w:t>
            </w:r>
          </w:p>
        </w:tc>
        <w:tc>
          <w:tcPr>
            <w:tcW w:type="dxa" w:w="1928"/>
            <w:vAlign w:val="center"/>
            <w:shd w:fill="DCE6F1"/>
          </w:tcPr>
          <w:p>
            <w:r/>
            <w:r>
              <w:rPr>
                <w:b/>
                <w:sz w:val="17"/>
              </w:rPr>
              <w:t>근거 정리 방식</w:t>
            </w:r>
          </w:p>
        </w:tc>
      </w:tr>
      <w:tr>
        <w:tc>
          <w:tcPr>
            <w:tcW w:type="dxa" w:w="1928"/>
            <w:vAlign w:val="center"/>
          </w:tcPr>
          <w:p>
            <w:r/>
            <w:r>
              <w:rPr>
                <w:b w:val="0"/>
                <w:sz w:val="17"/>
              </w:rPr>
              <w:t>비타민 D</w:t>
            </w:r>
          </w:p>
        </w:tc>
        <w:tc>
          <w:tcPr>
            <w:tcW w:type="dxa" w:w="1928"/>
            <w:vAlign w:val="center"/>
          </w:tcPr>
          <w:p>
            <w:r/>
            <w:r>
              <w:rPr>
                <w:b w:val="0"/>
                <w:sz w:val="17"/>
              </w:rPr>
              <w:t>5</w:t>
            </w:r>
          </w:p>
        </w:tc>
        <w:tc>
          <w:tcPr>
            <w:tcW w:type="dxa" w:w="1928"/>
            <w:vAlign w:val="center"/>
          </w:tcPr>
          <w:p>
            <w:r/>
            <w:r>
              <w:rPr>
                <w:b w:val="0"/>
                <w:sz w:val="17"/>
              </w:rPr>
              <w:t>임상시험 1편, 무작위배정시험 4편</w:t>
            </w:r>
          </w:p>
        </w:tc>
        <w:tc>
          <w:tcPr>
            <w:tcW w:type="dxa" w:w="1928"/>
            <w:vAlign w:val="center"/>
          </w:tcPr>
          <w:p>
            <w:r/>
            <w:r>
              <w:rPr>
                <w:b w:val="0"/>
                <w:sz w:val="17"/>
              </w:rPr>
              <w:t>미시행</w:t>
            </w:r>
          </w:p>
        </w:tc>
        <w:tc>
          <w:tcPr>
            <w:tcW w:type="dxa" w:w="1928"/>
            <w:vAlign w:val="center"/>
          </w:tcPr>
          <w:p>
            <w:r/>
            <w:r>
              <w:rPr>
                <w:b w:val="0"/>
                <w:sz w:val="17"/>
              </w:rPr>
              <w:t>서술적 정리</w:t>
            </w:r>
          </w:p>
        </w:tc>
      </w:tr>
      <w:tr>
        <w:tc>
          <w:tcPr>
            <w:tcW w:type="dxa" w:w="1928"/>
            <w:vAlign w:val="center"/>
          </w:tcPr>
          <w:p>
            <w:r/>
            <w:r>
              <w:rPr>
                <w:b w:val="0"/>
                <w:sz w:val="17"/>
              </w:rPr>
              <w:t>비타민 B6</w:t>
            </w:r>
          </w:p>
        </w:tc>
        <w:tc>
          <w:tcPr>
            <w:tcW w:type="dxa" w:w="1928"/>
            <w:vAlign w:val="center"/>
          </w:tcPr>
          <w:p>
            <w:r/>
            <w:r>
              <w:rPr>
                <w:b w:val="0"/>
                <w:sz w:val="17"/>
              </w:rPr>
              <w:t>4</w:t>
            </w:r>
          </w:p>
        </w:tc>
        <w:tc>
          <w:tcPr>
            <w:tcW w:type="dxa" w:w="1928"/>
            <w:vAlign w:val="center"/>
          </w:tcPr>
          <w:p>
            <w:r/>
            <w:r>
              <w:rPr>
                <w:b w:val="0"/>
                <w:sz w:val="17"/>
              </w:rPr>
              <w:t>증례군 1편, 과학적 의견서 1편, 체계적 문헌고찰 2편</w:t>
            </w:r>
          </w:p>
        </w:tc>
        <w:tc>
          <w:tcPr>
            <w:tcW w:type="dxa" w:w="1928"/>
            <w:vAlign w:val="center"/>
          </w:tcPr>
          <w:p>
            <w:r/>
            <w:r>
              <w:rPr>
                <w:b w:val="0"/>
                <w:sz w:val="17"/>
              </w:rPr>
              <w:t>미시행</w:t>
            </w:r>
          </w:p>
        </w:tc>
        <w:tc>
          <w:tcPr>
            <w:tcW w:type="dxa" w:w="1928"/>
            <w:vAlign w:val="center"/>
          </w:tcPr>
          <w:p>
            <w:r/>
            <w:r>
              <w:rPr>
                <w:b w:val="0"/>
                <w:sz w:val="17"/>
              </w:rPr>
              <w:t>서술적 정리</w:t>
            </w:r>
          </w:p>
        </w:tc>
      </w:tr>
      <w:tr>
        <w:tc>
          <w:tcPr>
            <w:tcW w:type="dxa" w:w="1928"/>
            <w:vAlign w:val="center"/>
          </w:tcPr>
          <w:p>
            <w:r/>
            <w:r>
              <w:rPr>
                <w:b w:val="0"/>
                <w:sz w:val="17"/>
              </w:rPr>
              <w:t>철분</w:t>
            </w:r>
          </w:p>
        </w:tc>
        <w:tc>
          <w:tcPr>
            <w:tcW w:type="dxa" w:w="1928"/>
            <w:vAlign w:val="center"/>
          </w:tcPr>
          <w:p>
            <w:r/>
            <w:r>
              <w:rPr>
                <w:b w:val="0"/>
                <w:sz w:val="17"/>
              </w:rPr>
              <w:t>4</w:t>
            </w:r>
          </w:p>
        </w:tc>
        <w:tc>
          <w:tcPr>
            <w:tcW w:type="dxa" w:w="1928"/>
            <w:vAlign w:val="center"/>
          </w:tcPr>
          <w:p>
            <w:r/>
            <w:r>
              <w:rPr>
                <w:b w:val="0"/>
                <w:sz w:val="17"/>
              </w:rPr>
              <w:t>무작위배정시험 2편, 체계적 문헌고찰 1편, 체계적 문헌고찰·메타분석 1편</w:t>
            </w:r>
          </w:p>
        </w:tc>
        <w:tc>
          <w:tcPr>
            <w:tcW w:type="dxa" w:w="1928"/>
            <w:vAlign w:val="center"/>
          </w:tcPr>
          <w:p>
            <w:r/>
            <w:r>
              <w:rPr>
                <w:b w:val="0"/>
                <w:sz w:val="17"/>
              </w:rPr>
              <w:t>미시행</w:t>
            </w:r>
          </w:p>
        </w:tc>
        <w:tc>
          <w:tcPr>
            <w:tcW w:type="dxa" w:w="1928"/>
            <w:vAlign w:val="center"/>
          </w:tcPr>
          <w:p>
            <w:r/>
            <w:r>
              <w:rPr>
                <w:b w:val="0"/>
                <w:sz w:val="17"/>
              </w:rPr>
              <w:t>서술적 정리</w:t>
            </w:r>
          </w:p>
        </w:tc>
      </w:tr>
      <w:tr>
        <w:tc>
          <w:tcPr>
            <w:tcW w:type="dxa" w:w="1928"/>
            <w:vAlign w:val="center"/>
          </w:tcPr>
          <w:p>
            <w:r/>
            <w:r>
              <w:rPr>
                <w:b w:val="0"/>
                <w:sz w:val="17"/>
              </w:rPr>
              <w:t>마그네슘</w:t>
            </w:r>
          </w:p>
        </w:tc>
        <w:tc>
          <w:tcPr>
            <w:tcW w:type="dxa" w:w="1928"/>
            <w:vAlign w:val="center"/>
          </w:tcPr>
          <w:p>
            <w:r/>
            <w:r>
              <w:rPr>
                <w:b w:val="0"/>
                <w:sz w:val="17"/>
              </w:rPr>
              <w:t>5</w:t>
            </w:r>
          </w:p>
        </w:tc>
        <w:tc>
          <w:tcPr>
            <w:tcW w:type="dxa" w:w="1928"/>
            <w:vAlign w:val="center"/>
          </w:tcPr>
          <w:p>
            <w:r/>
            <w:r>
              <w:rPr>
                <w:b w:val="0"/>
                <w:sz w:val="17"/>
              </w:rPr>
              <w:t>증례군 2편, 코호트 연구 2편, 서술적 고찰 1편</w:t>
            </w:r>
          </w:p>
        </w:tc>
        <w:tc>
          <w:tcPr>
            <w:tcW w:type="dxa" w:w="1928"/>
            <w:vAlign w:val="center"/>
          </w:tcPr>
          <w:p>
            <w:r/>
            <w:r>
              <w:rPr>
                <w:b w:val="0"/>
                <w:sz w:val="17"/>
              </w:rPr>
              <w:t>미시행</w:t>
            </w:r>
          </w:p>
        </w:tc>
        <w:tc>
          <w:tcPr>
            <w:tcW w:type="dxa" w:w="1928"/>
            <w:vAlign w:val="center"/>
          </w:tcPr>
          <w:p>
            <w:r/>
            <w:r>
              <w:rPr>
                <w:b w:val="0"/>
                <w:sz w:val="17"/>
              </w:rPr>
              <w:t>서술적 정리</w:t>
            </w:r>
          </w:p>
        </w:tc>
      </w:tr>
      <w:tr>
        <w:tc>
          <w:tcPr>
            <w:tcW w:type="dxa" w:w="1928"/>
            <w:vAlign w:val="center"/>
          </w:tcPr>
          <w:p>
            <w:r/>
            <w:r>
              <w:rPr>
                <w:b w:val="0"/>
                <w:sz w:val="17"/>
              </w:rPr>
              <w:t>아연</w:t>
            </w:r>
          </w:p>
        </w:tc>
        <w:tc>
          <w:tcPr>
            <w:tcW w:type="dxa" w:w="1928"/>
            <w:vAlign w:val="center"/>
          </w:tcPr>
          <w:p>
            <w:r/>
            <w:r>
              <w:rPr>
                <w:b w:val="0"/>
                <w:sz w:val="17"/>
              </w:rPr>
              <w:t>4</w:t>
            </w:r>
          </w:p>
        </w:tc>
        <w:tc>
          <w:tcPr>
            <w:tcW w:type="dxa" w:w="1928"/>
            <w:vAlign w:val="center"/>
          </w:tcPr>
          <w:p>
            <w:r/>
            <w:r>
              <w:rPr>
                <w:b w:val="0"/>
                <w:sz w:val="17"/>
              </w:rPr>
              <w:t>증례보고 3편, 종설 1편</w:t>
            </w:r>
          </w:p>
        </w:tc>
        <w:tc>
          <w:tcPr>
            <w:tcW w:type="dxa" w:w="1928"/>
            <w:vAlign w:val="center"/>
          </w:tcPr>
          <w:p>
            <w:r/>
            <w:r>
              <w:rPr>
                <w:b w:val="0"/>
                <w:sz w:val="17"/>
              </w:rPr>
              <w:t>미시행</w:t>
            </w:r>
          </w:p>
        </w:tc>
        <w:tc>
          <w:tcPr>
            <w:tcW w:type="dxa" w:w="1928"/>
            <w:vAlign w:val="center"/>
          </w:tcPr>
          <w:p>
            <w:r/>
            <w:r>
              <w:rPr>
                <w:b w:val="0"/>
                <w:sz w:val="17"/>
              </w:rPr>
              <w:t>서술적 정리</w:t>
            </w:r>
          </w:p>
        </w:tc>
      </w:tr>
    </w:tbl>
    <w:p>
      <w:pPr>
        <w:spacing w:line="300" w:lineRule="auto" w:after="100"/>
        <w:ind w:firstLine="312"/>
      </w:pPr>
      <w:r>
        <w:t>K1은 임상시험 중심, K2는 사례군·검토·과학적 의견, K3는 무작위시험과 체계적 문헌고찰, K4는 사례군·코호트·관점 논문, K5는 사례보고와 검토로 구성됐다. 설계와 결과 정의가 달라 메타분석은 수행하지 않았다.</w:t>
      </w:r>
    </w:p>
    <w:p>
      <w:pPr>
        <w:pStyle w:val="Heading2"/>
        <w:spacing w:before="240" w:after="120"/>
      </w:pPr>
      <w:r>
        <w:t>3.3.1 비타민 D</w:t>
      </w:r>
    </w:p>
    <w:p>
      <w:pPr>
        <w:spacing w:line="300" w:lineRule="auto" w:after="100"/>
        <w:ind w:firstLine="312"/>
      </w:pPr>
      <w:r>
        <w:t>비타민 D 관련 핵심문헌은 무작위배정시험 4편과 임상시험 1편이었다. 연구들은 고용량 비타민 D가 결석이나 고칼슘혈증을 일관되게 증가시키는지, 칼슘을 함께 복용할 때 고칼슘뇨가 증가하는지를 평가하였다. 연구대상과 투여법이 서로 달라 결과를 단일 위험도로 합치지는 않았다.</w:t>
      </w:r>
    </w:p>
    <w:tbl>
      <w:tblPr>
        <w:tblStyle w:val="TableGrid"/>
        <w:tblW w:type="auto" w:w="0"/>
        <w:jc w:val="center"/>
        <w:tblLayout w:type="fixed"/>
        <w:tblLook w:firstColumn="1" w:firstRow="1" w:lastColumn="0" w:lastRow="0" w:noHBand="0" w:noVBand="1" w:val="04A0"/>
      </w:tblPr>
      <w:tblGrid>
        <w:gridCol w:w="2409"/>
        <w:gridCol w:w="2409"/>
        <w:gridCol w:w="2409"/>
        <w:gridCol w:w="2409"/>
      </w:tblGrid>
      <w:tr>
        <w:tc>
          <w:tcPr>
            <w:tcW w:type="dxa" w:w="2409"/>
            <w:vAlign w:val="center"/>
            <w:shd w:fill="DCE6F1"/>
          </w:tcPr>
          <w:p>
            <w:r/>
            <w:r>
              <w:rPr>
                <w:b/>
                <w:sz w:val="17"/>
              </w:rPr>
              <w:t>연구</w:t>
            </w:r>
          </w:p>
        </w:tc>
        <w:tc>
          <w:tcPr>
            <w:tcW w:type="dxa" w:w="2409"/>
            <w:vAlign w:val="center"/>
            <w:shd w:fill="DCE6F1"/>
          </w:tcPr>
          <w:p>
            <w:r/>
            <w:r>
              <w:rPr>
                <w:b/>
                <w:sz w:val="17"/>
              </w:rPr>
              <w:t>설계</w:t>
            </w:r>
          </w:p>
        </w:tc>
        <w:tc>
          <w:tcPr>
            <w:tcW w:type="dxa" w:w="2409"/>
            <w:vAlign w:val="center"/>
            <w:shd w:fill="DCE6F1"/>
          </w:tcPr>
          <w:p>
            <w:r/>
            <w:r>
              <w:rPr>
                <w:b/>
                <w:sz w:val="17"/>
              </w:rPr>
              <w:t>노출</w:t>
            </w:r>
          </w:p>
        </w:tc>
        <w:tc>
          <w:tcPr>
            <w:tcW w:type="dxa" w:w="2409"/>
            <w:vAlign w:val="center"/>
            <w:shd w:fill="DCE6F1"/>
          </w:tcPr>
          <w:p>
            <w:r/>
            <w:r>
              <w:rPr>
                <w:b/>
                <w:sz w:val="17"/>
              </w:rPr>
              <w:t>주요 결과</w:t>
            </w:r>
          </w:p>
        </w:tc>
      </w:tr>
      <w:tr>
        <w:tc>
          <w:tcPr>
            <w:tcW w:type="dxa" w:w="1701"/>
            <w:vAlign w:val="center"/>
          </w:tcPr>
          <w:p>
            <w:r/>
            <w:r>
              <w:rPr>
                <w:b w:val="0"/>
                <w:sz w:val="17"/>
              </w:rPr>
              <w:t>Malihi 등, 2019</w:t>
              <w:br/>
              <w:t>PMID 31005969</w:t>
            </w:r>
          </w:p>
        </w:tc>
        <w:tc>
          <w:tcPr>
            <w:tcW w:type="dxa" w:w="1417"/>
            <w:vAlign w:val="center"/>
          </w:tcPr>
          <w:p>
            <w:r/>
            <w:r>
              <w:rPr>
                <w:b w:val="0"/>
                <w:sz w:val="17"/>
              </w:rPr>
              <w:t>무작위배정시험</w:t>
            </w:r>
          </w:p>
        </w:tc>
        <w:tc>
          <w:tcPr>
            <w:tcW w:type="dxa" w:w="1814"/>
            <w:vAlign w:val="center"/>
          </w:tcPr>
          <w:p>
            <w:r/>
            <w:r>
              <w:rPr>
                <w:b w:val="0"/>
                <w:sz w:val="17"/>
              </w:rPr>
              <w:t>비타민 D3 100,000 IU/월; 중앙 추적기간 3.3년</w:t>
            </w:r>
          </w:p>
        </w:tc>
        <w:tc>
          <w:tcPr>
            <w:tcW w:type="dxa" w:w="4535"/>
            <w:vAlign w:val="center"/>
          </w:tcPr>
          <w:p>
            <w:r/>
            <w:r>
              <w:rPr>
                <w:b w:val="0"/>
                <w:sz w:val="17"/>
              </w:rPr>
              <w:t>결석 158건(비타민 D 76건, 위약 82건). 첫 결석 발생 HR 0.90(95% CI 0.66-1.23). 비타민 D군 고칼슘혈증은 없었다.</w:t>
            </w:r>
          </w:p>
        </w:tc>
      </w:tr>
      <w:tr>
        <w:tc>
          <w:tcPr>
            <w:tcW w:type="dxa" w:w="1701"/>
            <w:vAlign w:val="center"/>
          </w:tcPr>
          <w:p>
            <w:r/>
            <w:r>
              <w:rPr>
                <w:b w:val="0"/>
                <w:sz w:val="17"/>
              </w:rPr>
              <w:t>Billington 등, 2018</w:t>
              <w:br/>
              <w:t>PMID 30180273</w:t>
            </w:r>
          </w:p>
        </w:tc>
        <w:tc>
          <w:tcPr>
            <w:tcW w:type="dxa" w:w="1417"/>
            <w:vAlign w:val="center"/>
          </w:tcPr>
          <w:p>
            <w:r/>
            <w:r>
              <w:rPr>
                <w:b w:val="0"/>
                <w:sz w:val="17"/>
              </w:rPr>
              <w:t>무작위배정시험</w:t>
            </w:r>
          </w:p>
        </w:tc>
        <w:tc>
          <w:tcPr>
            <w:tcW w:type="dxa" w:w="1814"/>
            <w:vAlign w:val="center"/>
          </w:tcPr>
          <w:p>
            <w:r/>
            <w:r>
              <w:rPr>
                <w:b w:val="0"/>
                <w:sz w:val="17"/>
              </w:rPr>
              <w:t>고용량 비타민 D와 칼슘 병용</w:t>
            </w:r>
          </w:p>
        </w:tc>
        <w:tc>
          <w:tcPr>
            <w:tcW w:type="dxa" w:w="4535"/>
            <w:vAlign w:val="center"/>
          </w:tcPr>
          <w:p>
            <w:r/>
            <w:r>
              <w:rPr>
                <w:b w:val="0"/>
                <w:sz w:val="17"/>
              </w:rPr>
              <w:t>고용량군 48명 중 19명에서 고칼슘뇨가 발생하였다. 고칼슘뇨 OR 3.6(95% CI 1.39-9.3); 고칼슘혈증 차이는 없었다.</w:t>
            </w:r>
          </w:p>
        </w:tc>
      </w:tr>
      <w:tr>
        <w:tc>
          <w:tcPr>
            <w:tcW w:type="dxa" w:w="1701"/>
            <w:vAlign w:val="center"/>
          </w:tcPr>
          <w:p>
            <w:r/>
            <w:r>
              <w:rPr>
                <w:b w:val="0"/>
                <w:sz w:val="17"/>
              </w:rPr>
              <w:t>Ferroni 등, 2017</w:t>
              <w:br/>
              <w:t>PMID 27765695</w:t>
            </w:r>
          </w:p>
        </w:tc>
        <w:tc>
          <w:tcPr>
            <w:tcW w:type="dxa" w:w="1417"/>
            <w:vAlign w:val="center"/>
          </w:tcPr>
          <w:p>
            <w:r/>
            <w:r>
              <w:rPr>
                <w:b w:val="0"/>
                <w:sz w:val="17"/>
              </w:rPr>
              <w:t>무작위배정시험</w:t>
            </w:r>
          </w:p>
        </w:tc>
        <w:tc>
          <w:tcPr>
            <w:tcW w:type="dxa" w:w="1814"/>
            <w:vAlign w:val="center"/>
          </w:tcPr>
          <w:p>
            <w:r/>
            <w:r>
              <w:rPr>
                <w:b w:val="0"/>
                <w:sz w:val="17"/>
              </w:rPr>
              <w:t>1,000 IU/일 대 50,000 IU/주</w:t>
            </w:r>
          </w:p>
        </w:tc>
        <w:tc>
          <w:tcPr>
            <w:tcW w:type="dxa" w:w="4535"/>
            <w:vAlign w:val="center"/>
          </w:tcPr>
          <w:p>
            <w:r/>
            <w:r>
              <w:rPr>
                <w:b w:val="0"/>
                <w:sz w:val="17"/>
              </w:rPr>
              <w:t>두 군 모두 24시간 요중 칼슘과 calcium oxalate/phosphate 과포화도에 유의한 변화가 없었다.</w:t>
            </w:r>
          </w:p>
        </w:tc>
      </w:tr>
      <w:tr>
        <w:tc>
          <w:tcPr>
            <w:tcW w:type="dxa" w:w="1701"/>
            <w:vAlign w:val="center"/>
          </w:tcPr>
          <w:p>
            <w:r/>
            <w:r>
              <w:rPr>
                <w:b w:val="0"/>
                <w:sz w:val="17"/>
              </w:rPr>
              <w:t>Leaf 등, 2012</w:t>
              <w:br/>
              <w:t>PMID 22422535</w:t>
            </w:r>
          </w:p>
        </w:tc>
        <w:tc>
          <w:tcPr>
            <w:tcW w:type="dxa" w:w="1417"/>
            <w:vAlign w:val="center"/>
          </w:tcPr>
          <w:p>
            <w:r/>
            <w:r>
              <w:rPr>
                <w:b w:val="0"/>
                <w:sz w:val="17"/>
              </w:rPr>
              <w:t>임상시험</w:t>
            </w:r>
          </w:p>
        </w:tc>
        <w:tc>
          <w:tcPr>
            <w:tcW w:type="dxa" w:w="1814"/>
            <w:vAlign w:val="center"/>
          </w:tcPr>
          <w:p>
            <w:r/>
            <w:r>
              <w:rPr>
                <w:b w:val="0"/>
                <w:sz w:val="17"/>
              </w:rPr>
              <w:t>결석 환자의 비타민 D 보충</w:t>
            </w:r>
          </w:p>
        </w:tc>
        <w:tc>
          <w:tcPr>
            <w:tcW w:type="dxa" w:w="4535"/>
            <w:vAlign w:val="center"/>
          </w:tcPr>
          <w:p>
            <w:r/>
            <w:r>
              <w:rPr>
                <w:b w:val="0"/>
                <w:sz w:val="17"/>
              </w:rPr>
              <w:t>평균 요중 칼슘은 257에서 255 mg/day로 변화하지 않았다(p=0.91). 일부 환자에서는 증가해 보충 후 모니터링 필요성을 제시하였다.</w:t>
            </w:r>
          </w:p>
        </w:tc>
      </w:tr>
      <w:tr>
        <w:tc>
          <w:tcPr>
            <w:tcW w:type="dxa" w:w="1701"/>
            <w:vAlign w:val="center"/>
          </w:tcPr>
          <w:p>
            <w:r/>
            <w:r>
              <w:rPr>
                <w:b w:val="0"/>
                <w:sz w:val="17"/>
              </w:rPr>
              <w:t>Gallagher 등, 2014</w:t>
              <w:br/>
              <w:t>PMID 24937025</w:t>
            </w:r>
          </w:p>
        </w:tc>
        <w:tc>
          <w:tcPr>
            <w:tcW w:type="dxa" w:w="1417"/>
            <w:vAlign w:val="center"/>
          </w:tcPr>
          <w:p>
            <w:r/>
            <w:r>
              <w:rPr>
                <w:b w:val="0"/>
                <w:sz w:val="17"/>
              </w:rPr>
              <w:t>무작위배정시험</w:t>
            </w:r>
          </w:p>
        </w:tc>
        <w:tc>
          <w:tcPr>
            <w:tcW w:type="dxa" w:w="1814"/>
            <w:vAlign w:val="center"/>
          </w:tcPr>
          <w:p>
            <w:r/>
            <w:r>
              <w:rPr>
                <w:b w:val="0"/>
                <w:sz w:val="17"/>
              </w:rPr>
              <w:t>칼슘 1,200 mg/일과 비타민 D</w:t>
            </w:r>
          </w:p>
        </w:tc>
        <w:tc>
          <w:tcPr>
            <w:tcW w:type="dxa" w:w="4535"/>
            <w:vAlign w:val="center"/>
          </w:tcPr>
          <w:p>
            <w:r/>
            <w:r>
              <w:rPr>
                <w:b w:val="0"/>
                <w:sz w:val="17"/>
              </w:rPr>
              <w:t>고칼슘뇨와 고칼슘혈증이 관찰되었으나 비타민 D 용량과 뚜렷한 관계는 확인되지 않았다.</w:t>
            </w:r>
          </w:p>
        </w:tc>
      </w:tr>
    </w:tbl>
    <w:p/>
    <w:p>
      <w:pPr>
        <w:spacing w:line="300" w:lineRule="auto" w:after="100"/>
        <w:ind w:firstLine="312"/>
      </w:pPr>
      <w:r>
        <w:t>비타민 D 결과는 고용량 투여 자체가 모든 대상자에서 결석을 증가시키는 것은 아니라는 점을 보여준다. 그러나 칼슘 병용군에서 고칼슘뇨가 빈번했고 결석 환자 일부에서 요중 칼슘이 증가했으므로, 상담 시 총 비타민 D 섭취량뿐 아니라 칼슘 병용, 결석 병력 및 검사 결과를 함께 확인해야 한다.</w:t>
      </w:r>
    </w:p>
    <w:p>
      <w:pPr>
        <w:pStyle w:val="Heading2"/>
        <w:spacing w:before="240" w:after="120"/>
      </w:pPr>
      <w:r>
        <w:t>3.3.2 비타민 B6</w:t>
      </w:r>
    </w:p>
    <w:p>
      <w:pPr>
        <w:spacing w:line="300" w:lineRule="auto" w:after="100"/>
        <w:ind w:firstLine="312"/>
      </w:pPr>
      <w:r>
        <w:t>비타민 B6의 핵심 안전성 결과는 장기간 고용량 pyridoxine 섭취와 감각신경병증의 관련성이었다. 고전적 증례군은 과량복용 후 운동실조와 중증 감각기능 장애를 보인 성인 7명을 보고했으며, 복용 중단 후 호전되는 경과를 기술하였다.</w:t>
      </w:r>
    </w:p>
    <w:tbl>
      <w:tblPr>
        <w:tblStyle w:val="TableGrid"/>
        <w:tblW w:type="auto" w:w="0"/>
        <w:jc w:val="center"/>
        <w:tblLayout w:type="fixed"/>
        <w:tblLook w:firstColumn="1" w:firstRow="1" w:lastColumn="0" w:lastRow="0" w:noHBand="0" w:noVBand="1" w:val="04A0"/>
      </w:tblPr>
      <w:tblGrid>
        <w:gridCol w:w="2409"/>
        <w:gridCol w:w="2409"/>
        <w:gridCol w:w="2409"/>
        <w:gridCol w:w="2409"/>
      </w:tblGrid>
      <w:tr>
        <w:tc>
          <w:tcPr>
            <w:tcW w:type="dxa" w:w="2409"/>
            <w:vAlign w:val="center"/>
            <w:shd w:fill="DCE6F1"/>
          </w:tcPr>
          <w:p>
            <w:r/>
            <w:r>
              <w:rPr>
                <w:b/>
                <w:sz w:val="17"/>
              </w:rPr>
              <w:t>연구</w:t>
            </w:r>
          </w:p>
        </w:tc>
        <w:tc>
          <w:tcPr>
            <w:tcW w:type="dxa" w:w="2409"/>
            <w:vAlign w:val="center"/>
            <w:shd w:fill="DCE6F1"/>
          </w:tcPr>
          <w:p>
            <w:r/>
            <w:r>
              <w:rPr>
                <w:b/>
                <w:sz w:val="17"/>
              </w:rPr>
              <w:t>설계</w:t>
            </w:r>
          </w:p>
        </w:tc>
        <w:tc>
          <w:tcPr>
            <w:tcW w:type="dxa" w:w="2409"/>
            <w:vAlign w:val="center"/>
            <w:shd w:fill="DCE6F1"/>
          </w:tcPr>
          <w:p>
            <w:r/>
            <w:r>
              <w:rPr>
                <w:b/>
                <w:sz w:val="17"/>
              </w:rPr>
              <w:t>노출</w:t>
            </w:r>
          </w:p>
        </w:tc>
        <w:tc>
          <w:tcPr>
            <w:tcW w:type="dxa" w:w="2409"/>
            <w:vAlign w:val="center"/>
            <w:shd w:fill="DCE6F1"/>
          </w:tcPr>
          <w:p>
            <w:r/>
            <w:r>
              <w:rPr>
                <w:b/>
                <w:sz w:val="17"/>
              </w:rPr>
              <w:t>주요 결과</w:t>
            </w:r>
          </w:p>
        </w:tc>
      </w:tr>
      <w:tr>
        <w:tc>
          <w:tcPr>
            <w:tcW w:type="dxa" w:w="1701"/>
            <w:vAlign w:val="center"/>
          </w:tcPr>
          <w:p>
            <w:r/>
            <w:r>
              <w:rPr>
                <w:b w:val="0"/>
                <w:sz w:val="17"/>
              </w:rPr>
              <w:t>Schaumburg 등, 1983</w:t>
              <w:br/>
              <w:t>PMID 6308447</w:t>
            </w:r>
          </w:p>
        </w:tc>
        <w:tc>
          <w:tcPr>
            <w:tcW w:type="dxa" w:w="1417"/>
            <w:vAlign w:val="center"/>
          </w:tcPr>
          <w:p>
            <w:r/>
            <w:r>
              <w:rPr>
                <w:b w:val="0"/>
                <w:sz w:val="17"/>
              </w:rPr>
              <w:t>증례군</w:t>
            </w:r>
          </w:p>
        </w:tc>
        <w:tc>
          <w:tcPr>
            <w:tcW w:type="dxa" w:w="1814"/>
            <w:vAlign w:val="center"/>
          </w:tcPr>
          <w:p>
            <w:r/>
            <w:r>
              <w:rPr>
                <w:b w:val="0"/>
                <w:sz w:val="17"/>
              </w:rPr>
              <w:t>고용량 pyridoxine의 일일 복용</w:t>
            </w:r>
          </w:p>
        </w:tc>
        <w:tc>
          <w:tcPr>
            <w:tcW w:type="dxa" w:w="4535"/>
            <w:vAlign w:val="center"/>
          </w:tcPr>
          <w:p>
            <w:r/>
            <w:r>
              <w:rPr>
                <w:b w:val="0"/>
                <w:sz w:val="17"/>
              </w:rPr>
              <w:t>성인 7명에서 운동실조와 중증 감각신경계 장애가 발생했으며 복용 중단 후 호전되었다.</w:t>
            </w:r>
          </w:p>
        </w:tc>
      </w:tr>
      <w:tr>
        <w:tc>
          <w:tcPr>
            <w:tcW w:type="dxa" w:w="1701"/>
            <w:vAlign w:val="center"/>
          </w:tcPr>
          <w:p>
            <w:r/>
            <w:r>
              <w:rPr>
                <w:b w:val="0"/>
                <w:sz w:val="17"/>
              </w:rPr>
              <w:t>Muhamad 등, 2023</w:t>
              <w:br/>
              <w:t>PMID 37447150</w:t>
            </w:r>
          </w:p>
        </w:tc>
        <w:tc>
          <w:tcPr>
            <w:tcW w:type="dxa" w:w="1417"/>
            <w:vAlign w:val="center"/>
          </w:tcPr>
          <w:p>
            <w:r/>
            <w:r>
              <w:rPr>
                <w:b w:val="0"/>
                <w:sz w:val="17"/>
              </w:rPr>
              <w:t>체계적 문헌고찰</w:t>
            </w:r>
          </w:p>
        </w:tc>
        <w:tc>
          <w:tcPr>
            <w:tcW w:type="dxa" w:w="1814"/>
            <w:vAlign w:val="center"/>
          </w:tcPr>
          <w:p>
            <w:r/>
            <w:r>
              <w:rPr>
                <w:b w:val="0"/>
                <w:sz w:val="17"/>
              </w:rPr>
              <w:t>비타민 B6와 말초신경병증</w:t>
            </w:r>
          </w:p>
        </w:tc>
        <w:tc>
          <w:tcPr>
            <w:tcW w:type="dxa" w:w="4535"/>
            <w:vAlign w:val="center"/>
          </w:tcPr>
          <w:p>
            <w:r/>
            <w:r>
              <w:rPr>
                <w:b w:val="0"/>
                <w:sz w:val="17"/>
              </w:rPr>
              <w:t>고용량 B6 노출 환자에서 감각성 신경병증이 보고되었고 중단 후 주관적 증상 호전이 관찰되었다. 허용량 범위의 위해 근거는 제한적이었다.</w:t>
            </w:r>
          </w:p>
        </w:tc>
      </w:tr>
      <w:tr>
        <w:tc>
          <w:tcPr>
            <w:tcW w:type="dxa" w:w="1701"/>
            <w:vAlign w:val="center"/>
          </w:tcPr>
          <w:p>
            <w:r/>
            <w:r>
              <w:rPr>
                <w:b w:val="0"/>
                <w:sz w:val="17"/>
              </w:rPr>
              <w:t>EFSA Panel, 2023</w:t>
              <w:br/>
              <w:t>PMID 37207271</w:t>
            </w:r>
          </w:p>
        </w:tc>
        <w:tc>
          <w:tcPr>
            <w:tcW w:type="dxa" w:w="1417"/>
            <w:vAlign w:val="center"/>
          </w:tcPr>
          <w:p>
            <w:r/>
            <w:r>
              <w:rPr>
                <w:b w:val="0"/>
                <w:sz w:val="17"/>
              </w:rPr>
              <w:t>과학적 의견서</w:t>
            </w:r>
          </w:p>
        </w:tc>
        <w:tc>
          <w:tcPr>
            <w:tcW w:type="dxa" w:w="1814"/>
            <w:vAlign w:val="center"/>
          </w:tcPr>
          <w:p>
            <w:r/>
            <w:r>
              <w:rPr>
                <w:b w:val="0"/>
                <w:sz w:val="17"/>
              </w:rPr>
              <w:t>성인 비타민 B6 섭취</w:t>
            </w:r>
          </w:p>
        </w:tc>
        <w:tc>
          <w:tcPr>
            <w:tcW w:type="dxa" w:w="4535"/>
            <w:vAlign w:val="center"/>
          </w:tcPr>
          <w:p>
            <w:r/>
            <w:r>
              <w:rPr>
                <w:b w:val="0"/>
                <w:sz w:val="17"/>
              </w:rPr>
              <w:t>말초신경병증을 결정적 결과로 사용해 성인 상한섭취량을 12 mg/day로 설정하였다.</w:t>
            </w:r>
          </w:p>
        </w:tc>
      </w:tr>
      <w:tr>
        <w:tc>
          <w:tcPr>
            <w:tcW w:type="dxa" w:w="1701"/>
            <w:vAlign w:val="center"/>
          </w:tcPr>
          <w:p>
            <w:r/>
            <w:r>
              <w:rPr>
                <w:b w:val="0"/>
                <w:sz w:val="17"/>
              </w:rPr>
              <w:t>Stein 등, 2021</w:t>
              <w:br/>
              <w:t>PMID 33619867</w:t>
            </w:r>
          </w:p>
        </w:tc>
        <w:tc>
          <w:tcPr>
            <w:tcW w:type="dxa" w:w="1417"/>
            <w:vAlign w:val="center"/>
          </w:tcPr>
          <w:p>
            <w:r/>
            <w:r>
              <w:rPr>
                <w:b w:val="0"/>
                <w:sz w:val="17"/>
              </w:rPr>
              <w:t>체계적 문헌고찰·메타분석</w:t>
            </w:r>
          </w:p>
        </w:tc>
        <w:tc>
          <w:tcPr>
            <w:tcW w:type="dxa" w:w="1814"/>
            <w:vAlign w:val="center"/>
          </w:tcPr>
          <w:p>
            <w:r/>
            <w:r>
              <w:rPr>
                <w:b w:val="0"/>
                <w:sz w:val="17"/>
              </w:rPr>
              <w:t>B군 비타민과 말초신경병증</w:t>
            </w:r>
          </w:p>
        </w:tc>
        <w:tc>
          <w:tcPr>
            <w:tcW w:type="dxa" w:w="4535"/>
            <w:vAlign w:val="center"/>
          </w:tcPr>
          <w:p>
            <w:r/>
            <w:r>
              <w:rPr>
                <w:b w:val="0"/>
                <w:sz w:val="17"/>
              </w:rPr>
              <w:t>B군 비타민 치료의 증상 개선은 연구 간 이질성이 컸고, B6 단독의 치료효과를 확정하기 어려웠다.</w:t>
            </w:r>
          </w:p>
        </w:tc>
      </w:tr>
    </w:tbl>
    <w:p/>
    <w:p>
      <w:pPr>
        <w:spacing w:line="300" w:lineRule="auto" w:after="100"/>
        <w:ind w:firstLine="312"/>
      </w:pPr>
      <w:r>
        <w:t>비타민 B6는 결핍 치료와 과량복용 위해를 구분해야 한다. 제품 한 개의 표시량만 확인하면 복합비타민, 에너지 제품 및 신경비타민제의 중복 섭취를 놓칠 수 있다. 따라서 하루 총량과 복용기간을 합산하고 저림, 감각저하, 균형장애 또는 보행 이상이 있는지 확인하도록 도구를 구성하였다.</w:t>
      </w:r>
    </w:p>
    <w:p>
      <w:r>
        <w:br w:type="page"/>
      </w:r>
    </w:p>
    <w:p>
      <w:pPr>
        <w:pStyle w:val="Heading2"/>
        <w:spacing w:before="240" w:after="120"/>
      </w:pPr>
      <w:r>
        <w:t>3.3.3 경구 철분</w:t>
      </w:r>
    </w:p>
    <w:p>
      <w:pPr>
        <w:spacing w:line="300" w:lineRule="auto" w:after="100"/>
        <w:ind w:firstLine="312"/>
      </w:pPr>
      <w:r>
        <w:t>철분 문헌에서는 위장관 이상반응의 빈도와 제제·복용 일정에 따른 차이가 주요 결과였다. 황산철 메타분석은 위약 또는 정맥 철분보다 위장관 부작용이 증가함을 보였고, 여러 경구 제제를 비교한 종설에서는 제제별 이상반응 빈도에 큰 차이가 보고되었다.</w:t>
      </w:r>
    </w:p>
    <w:tbl>
      <w:tblPr>
        <w:tblStyle w:val="TableGrid"/>
        <w:tblW w:type="auto" w:w="0"/>
        <w:jc w:val="center"/>
        <w:tblLayout w:type="fixed"/>
        <w:tblLook w:firstColumn="1" w:firstRow="1" w:lastColumn="0" w:lastRow="0" w:noHBand="0" w:noVBand="1" w:val="04A0"/>
      </w:tblPr>
      <w:tblGrid>
        <w:gridCol w:w="2409"/>
        <w:gridCol w:w="2409"/>
        <w:gridCol w:w="2409"/>
        <w:gridCol w:w="2409"/>
      </w:tblGrid>
      <w:tr>
        <w:tc>
          <w:tcPr>
            <w:tcW w:type="dxa" w:w="2409"/>
            <w:vAlign w:val="center"/>
            <w:shd w:fill="DCE6F1"/>
          </w:tcPr>
          <w:p>
            <w:r/>
            <w:r>
              <w:rPr>
                <w:b/>
                <w:sz w:val="17"/>
              </w:rPr>
              <w:t>연구</w:t>
            </w:r>
          </w:p>
        </w:tc>
        <w:tc>
          <w:tcPr>
            <w:tcW w:type="dxa" w:w="2409"/>
            <w:vAlign w:val="center"/>
            <w:shd w:fill="DCE6F1"/>
          </w:tcPr>
          <w:p>
            <w:r/>
            <w:r>
              <w:rPr>
                <w:b/>
                <w:sz w:val="17"/>
              </w:rPr>
              <w:t>설계</w:t>
            </w:r>
          </w:p>
        </w:tc>
        <w:tc>
          <w:tcPr>
            <w:tcW w:type="dxa" w:w="2409"/>
            <w:vAlign w:val="center"/>
            <w:shd w:fill="DCE6F1"/>
          </w:tcPr>
          <w:p>
            <w:r/>
            <w:r>
              <w:rPr>
                <w:b/>
                <w:sz w:val="17"/>
              </w:rPr>
              <w:t>노출</w:t>
            </w:r>
          </w:p>
        </w:tc>
        <w:tc>
          <w:tcPr>
            <w:tcW w:type="dxa" w:w="2409"/>
            <w:vAlign w:val="center"/>
            <w:shd w:fill="DCE6F1"/>
          </w:tcPr>
          <w:p>
            <w:r/>
            <w:r>
              <w:rPr>
                <w:b/>
                <w:sz w:val="17"/>
              </w:rPr>
              <w:t>주요 결과</w:t>
            </w:r>
          </w:p>
        </w:tc>
      </w:tr>
      <w:tr>
        <w:tc>
          <w:tcPr>
            <w:tcW w:type="dxa" w:w="1701"/>
            <w:vAlign w:val="center"/>
          </w:tcPr>
          <w:p>
            <w:r/>
            <w:r>
              <w:rPr>
                <w:b w:val="0"/>
                <w:sz w:val="17"/>
              </w:rPr>
              <w:t>Tolkien 등, 2015</w:t>
              <w:br/>
              <w:t>PMID 25700159</w:t>
            </w:r>
          </w:p>
        </w:tc>
        <w:tc>
          <w:tcPr>
            <w:tcW w:type="dxa" w:w="1417"/>
            <w:vAlign w:val="center"/>
          </w:tcPr>
          <w:p>
            <w:r/>
            <w:r>
              <w:rPr>
                <w:b w:val="0"/>
                <w:sz w:val="17"/>
              </w:rPr>
              <w:t>체계적 문헌고찰·메타분석</w:t>
            </w:r>
          </w:p>
        </w:tc>
        <w:tc>
          <w:tcPr>
            <w:tcW w:type="dxa" w:w="1814"/>
            <w:vAlign w:val="center"/>
          </w:tcPr>
          <w:p>
            <w:r/>
            <w:r>
              <w:rPr>
                <w:b w:val="0"/>
                <w:sz w:val="17"/>
              </w:rPr>
              <w:t>경구 황산철</w:t>
            </w:r>
          </w:p>
        </w:tc>
        <w:tc>
          <w:tcPr>
            <w:tcW w:type="dxa" w:w="4535"/>
            <w:vAlign w:val="center"/>
          </w:tcPr>
          <w:p>
            <w:r/>
            <w:r>
              <w:rPr>
                <w:b w:val="0"/>
                <w:sz w:val="17"/>
              </w:rPr>
              <w:t>위약 대비 위장관 이상반응 OR 2.32(95% CI 1.74-3.08). 임신부 하위군 OR 3.33(95% CI 1.19-9.28). 용량과 OR의 유의한 관련성은 없었다.</w:t>
            </w:r>
          </w:p>
        </w:tc>
      </w:tr>
      <w:tr>
        <w:tc>
          <w:tcPr>
            <w:tcW w:type="dxa" w:w="1701"/>
            <w:vAlign w:val="center"/>
          </w:tcPr>
          <w:p>
            <w:r/>
            <w:r>
              <w:rPr>
                <w:b w:val="0"/>
                <w:sz w:val="17"/>
              </w:rPr>
              <w:t>Cancelo-Hidalgo 등, 2013</w:t>
              <w:br/>
              <w:t>PMID 23252877</w:t>
            </w:r>
          </w:p>
        </w:tc>
        <w:tc>
          <w:tcPr>
            <w:tcW w:type="dxa" w:w="1417"/>
            <w:vAlign w:val="center"/>
          </w:tcPr>
          <w:p>
            <w:r/>
            <w:r>
              <w:rPr>
                <w:b w:val="0"/>
                <w:sz w:val="17"/>
              </w:rPr>
              <w:t>체계적 문헌고찰</w:t>
            </w:r>
          </w:p>
        </w:tc>
        <w:tc>
          <w:tcPr>
            <w:tcW w:type="dxa" w:w="1814"/>
            <w:vAlign w:val="center"/>
          </w:tcPr>
          <w:p>
            <w:r/>
            <w:r>
              <w:rPr>
                <w:b w:val="0"/>
                <w:sz w:val="17"/>
              </w:rPr>
              <w:t>경구 철분 제제 111개 연구, 10,695명</w:t>
            </w:r>
          </w:p>
        </w:tc>
        <w:tc>
          <w:tcPr>
            <w:tcW w:type="dxa" w:w="4535"/>
            <w:vAlign w:val="center"/>
          </w:tcPr>
          <w:p>
            <w:r/>
            <w:r>
              <w:rPr>
                <w:b w:val="0"/>
                <w:sz w:val="17"/>
              </w:rPr>
              <w:t>전체 이상반응은 제제에 따라 4.1-47.0%, 위장관 이상반응은 3.7-43.4%였다.</w:t>
            </w:r>
          </w:p>
        </w:tc>
      </w:tr>
      <w:tr>
        <w:tc>
          <w:tcPr>
            <w:tcW w:type="dxa" w:w="1701"/>
            <w:vAlign w:val="center"/>
          </w:tcPr>
          <w:p>
            <w:r/>
            <w:r>
              <w:rPr>
                <w:b w:val="0"/>
                <w:sz w:val="17"/>
              </w:rPr>
              <w:t>Pereira 등, 2014</w:t>
              <w:br/>
              <w:t>PMID 24899360</w:t>
            </w:r>
          </w:p>
        </w:tc>
        <w:tc>
          <w:tcPr>
            <w:tcW w:type="dxa" w:w="1417"/>
            <w:vAlign w:val="center"/>
          </w:tcPr>
          <w:p>
            <w:r/>
            <w:r>
              <w:rPr>
                <w:b w:val="0"/>
                <w:sz w:val="17"/>
              </w:rPr>
              <w:t>무작위배정시험</w:t>
            </w:r>
          </w:p>
        </w:tc>
        <w:tc>
          <w:tcPr>
            <w:tcW w:type="dxa" w:w="1814"/>
            <w:vAlign w:val="center"/>
          </w:tcPr>
          <w:p>
            <w:r/>
            <w:r>
              <w:rPr>
                <w:b w:val="0"/>
                <w:sz w:val="17"/>
              </w:rPr>
              <w:t>황산철 65 mg elemental iron, 1일 2회</w:t>
            </w:r>
          </w:p>
        </w:tc>
        <w:tc>
          <w:tcPr>
            <w:tcW w:type="dxa" w:w="4535"/>
            <w:vAlign w:val="center"/>
          </w:tcPr>
          <w:p>
            <w:r/>
            <w:r>
              <w:rPr>
                <w:b w:val="0"/>
                <w:sz w:val="17"/>
              </w:rPr>
              <w:t>첫 주 증상 보고자의 75%가 황산철군이었다. 증상 수는 황산철군 6.7±1.7, 위약군 1.2±0.5(p=0.01)였다.</w:t>
            </w:r>
          </w:p>
        </w:tc>
      </w:tr>
      <w:tr>
        <w:tc>
          <w:tcPr>
            <w:tcW w:type="dxa" w:w="1701"/>
            <w:vAlign w:val="center"/>
          </w:tcPr>
          <w:p>
            <w:r/>
            <w:r>
              <w:rPr>
                <w:b w:val="0"/>
                <w:sz w:val="17"/>
              </w:rPr>
              <w:t>Kampuang 등, 2023</w:t>
              <w:br/>
              <w:t>PMID 37010569</w:t>
            </w:r>
          </w:p>
        </w:tc>
        <w:tc>
          <w:tcPr>
            <w:tcW w:type="dxa" w:w="1417"/>
            <w:vAlign w:val="center"/>
          </w:tcPr>
          <w:p>
            <w:r/>
            <w:r>
              <w:rPr>
                <w:b w:val="0"/>
                <w:sz w:val="17"/>
              </w:rPr>
              <w:t>무작위배정시험</w:t>
            </w:r>
          </w:p>
        </w:tc>
        <w:tc>
          <w:tcPr>
            <w:tcW w:type="dxa" w:w="1814"/>
            <w:vAlign w:val="center"/>
          </w:tcPr>
          <w:p>
            <w:r/>
            <w:r>
              <w:rPr>
                <w:b w:val="0"/>
                <w:sz w:val="17"/>
              </w:rPr>
              <w:t>ferrous fumarate 주 3회 대 1일 3회</w:t>
            </w:r>
          </w:p>
        </w:tc>
        <w:tc>
          <w:tcPr>
            <w:tcW w:type="dxa" w:w="4535"/>
            <w:vAlign w:val="center"/>
          </w:tcPr>
          <w:p>
            <w:r/>
            <w:r>
              <w:rPr>
                <w:b w:val="0"/>
                <w:sz w:val="17"/>
              </w:rPr>
              <w:t>64명에서 12주 혈액학적 반응은 유사했으며 주 3회군에서 위장관 이상반응과 비용이 적었다.</w:t>
            </w:r>
          </w:p>
        </w:tc>
      </w:tr>
    </w:tbl>
    <w:p/>
    <w:p>
      <w:pPr>
        <w:spacing w:line="300" w:lineRule="auto" w:after="100"/>
        <w:ind w:firstLine="312"/>
      </w:pPr>
      <w:r>
        <w:t>이 결과는 철분 상담에서 ‘복용 가능 여부’보다 제제명, 1회 원소철 함량, 하루 복용 횟수 및 증상을 확인하는 것이 중요함을 보여준다. 오심, 구토, 속쓰림, 복통, 설사 및 변비가 지속되면 임의 중단만 권하기보다 복용 일정과 제제 변경 가능성을 전문가와 상의하도록 안내해야 한다.</w:t>
      </w:r>
    </w:p>
    <w:p>
      <w:r>
        <w:br w:type="page"/>
      </w:r>
    </w:p>
    <w:p>
      <w:pPr>
        <w:pStyle w:val="Heading2"/>
        <w:spacing w:before="240" w:after="120"/>
      </w:pPr>
      <w:r>
        <w:t>3.3.4 마그네슘</w:t>
      </w:r>
    </w:p>
    <w:p>
      <w:pPr>
        <w:spacing w:line="300" w:lineRule="auto" w:after="100"/>
        <w:ind w:firstLine="312"/>
      </w:pPr>
      <w:r>
        <w:t>마그네슘은 보충제의 설사와 magnesium oxide 복용자의 고마그네슘혈증이라는 두 가지 안전성 문제가 확인되었다. 특히 고령, 신기능 저하, 고용량 및 장기 복용이 함께 존재할 때 중증 위험이 증가하였다.</w:t>
      </w:r>
    </w:p>
    <w:tbl>
      <w:tblPr>
        <w:tblStyle w:val="TableGrid"/>
        <w:tblW w:type="auto" w:w="0"/>
        <w:jc w:val="center"/>
        <w:tblLayout w:type="fixed"/>
        <w:tblLook w:firstColumn="1" w:firstRow="1" w:lastColumn="0" w:lastRow="0" w:noHBand="0" w:noVBand="1" w:val="04A0"/>
      </w:tblPr>
      <w:tblGrid>
        <w:gridCol w:w="2409"/>
        <w:gridCol w:w="2409"/>
        <w:gridCol w:w="2409"/>
        <w:gridCol w:w="2409"/>
      </w:tblGrid>
      <w:tr>
        <w:tc>
          <w:tcPr>
            <w:tcW w:type="dxa" w:w="2409"/>
            <w:vAlign w:val="center"/>
            <w:shd w:fill="DCE6F1"/>
          </w:tcPr>
          <w:p>
            <w:r/>
            <w:r>
              <w:rPr>
                <w:b/>
                <w:sz w:val="17"/>
              </w:rPr>
              <w:t>연구</w:t>
            </w:r>
          </w:p>
        </w:tc>
        <w:tc>
          <w:tcPr>
            <w:tcW w:type="dxa" w:w="2409"/>
            <w:vAlign w:val="center"/>
            <w:shd w:fill="DCE6F1"/>
          </w:tcPr>
          <w:p>
            <w:r/>
            <w:r>
              <w:rPr>
                <w:b/>
                <w:sz w:val="17"/>
              </w:rPr>
              <w:t>설계</w:t>
            </w:r>
          </w:p>
        </w:tc>
        <w:tc>
          <w:tcPr>
            <w:tcW w:type="dxa" w:w="2409"/>
            <w:vAlign w:val="center"/>
            <w:shd w:fill="DCE6F1"/>
          </w:tcPr>
          <w:p>
            <w:r/>
            <w:r>
              <w:rPr>
                <w:b/>
                <w:sz w:val="17"/>
              </w:rPr>
              <w:t>노출</w:t>
            </w:r>
          </w:p>
        </w:tc>
        <w:tc>
          <w:tcPr>
            <w:tcW w:type="dxa" w:w="2409"/>
            <w:vAlign w:val="center"/>
            <w:shd w:fill="DCE6F1"/>
          </w:tcPr>
          <w:p>
            <w:r/>
            <w:r>
              <w:rPr>
                <w:b/>
                <w:sz w:val="17"/>
              </w:rPr>
              <w:t>주요 결과</w:t>
            </w:r>
          </w:p>
        </w:tc>
      </w:tr>
      <w:tr>
        <w:tc>
          <w:tcPr>
            <w:tcW w:type="dxa" w:w="1701"/>
            <w:vAlign w:val="center"/>
          </w:tcPr>
          <w:p>
            <w:r/>
            <w:r>
              <w:rPr>
                <w:b w:val="0"/>
                <w:sz w:val="17"/>
              </w:rPr>
              <w:t>Wakai 등, 2019</w:t>
              <w:br/>
              <w:t>PMID 30805197</w:t>
            </w:r>
          </w:p>
        </w:tc>
        <w:tc>
          <w:tcPr>
            <w:tcW w:type="dxa" w:w="1417"/>
            <w:vAlign w:val="center"/>
          </w:tcPr>
          <w:p>
            <w:r/>
            <w:r>
              <w:rPr>
                <w:b w:val="0"/>
                <w:sz w:val="17"/>
              </w:rPr>
              <w:t>후향적 코호트</w:t>
            </w:r>
          </w:p>
        </w:tc>
        <w:tc>
          <w:tcPr>
            <w:tcW w:type="dxa" w:w="1814"/>
            <w:vAlign w:val="center"/>
          </w:tcPr>
          <w:p>
            <w:r/>
            <w:r>
              <w:rPr>
                <w:b w:val="0"/>
                <w:sz w:val="17"/>
              </w:rPr>
              <w:t>MgO 처방 환자 320명</w:t>
            </w:r>
          </w:p>
        </w:tc>
        <w:tc>
          <w:tcPr>
            <w:tcW w:type="dxa" w:w="4535"/>
            <w:vAlign w:val="center"/>
          </w:tcPr>
          <w:p>
            <w:r/>
            <w:r>
              <w:rPr>
                <w:b w:val="0"/>
                <w:sz w:val="17"/>
              </w:rPr>
              <w:t>75명(23%)에서 고마그네슘혈증. eGFR ≤55.4(OR 3.105), BUN ≥22.4(OR 3.490), MgO ≥1,650 mg/day(OR 1.914), ≥36일 복용(OR 2.198)이 독립 위험요인이었다.</w:t>
            </w:r>
          </w:p>
        </w:tc>
      </w:tr>
      <w:tr>
        <w:tc>
          <w:tcPr>
            <w:tcW w:type="dxa" w:w="1701"/>
            <w:vAlign w:val="center"/>
          </w:tcPr>
          <w:p>
            <w:r/>
            <w:r>
              <w:rPr>
                <w:b w:val="0"/>
                <w:sz w:val="17"/>
              </w:rPr>
              <w:t>Yamaguchi 등, 2019</w:t>
              <w:br/>
              <w:t>PMID 30136128</w:t>
            </w:r>
          </w:p>
        </w:tc>
        <w:tc>
          <w:tcPr>
            <w:tcW w:type="dxa" w:w="1417"/>
            <w:vAlign w:val="center"/>
          </w:tcPr>
          <w:p>
            <w:r/>
            <w:r>
              <w:rPr>
                <w:b w:val="0"/>
                <w:sz w:val="17"/>
              </w:rPr>
              <w:t>증례군</w:t>
            </w:r>
          </w:p>
        </w:tc>
        <w:tc>
          <w:tcPr>
            <w:tcW w:type="dxa" w:w="1814"/>
            <w:vAlign w:val="center"/>
          </w:tcPr>
          <w:p>
            <w:r/>
            <w:r>
              <w:rPr>
                <w:b w:val="0"/>
                <w:sz w:val="17"/>
              </w:rPr>
              <w:t>MgO 복용 고령자</w:t>
            </w:r>
          </w:p>
        </w:tc>
        <w:tc>
          <w:tcPr>
            <w:tcW w:type="dxa" w:w="4535"/>
            <w:vAlign w:val="center"/>
          </w:tcPr>
          <w:p>
            <w:r/>
            <w:r>
              <w:rPr>
                <w:b w:val="0"/>
                <w:sz w:val="17"/>
              </w:rPr>
              <w:t>65세 이상 신기능 저하 환자 4명에서 증상성 중증 고마그네슘혈증이 발생했고 1명은 사망하였다.</w:t>
            </w:r>
          </w:p>
        </w:tc>
      </w:tr>
      <w:tr>
        <w:tc>
          <w:tcPr>
            <w:tcW w:type="dxa" w:w="1701"/>
            <w:vAlign w:val="center"/>
          </w:tcPr>
          <w:p>
            <w:r/>
            <w:r>
              <w:rPr>
                <w:b w:val="0"/>
                <w:sz w:val="17"/>
              </w:rPr>
              <w:t>Nishikawa 등, 2018</w:t>
              <w:br/>
              <w:t>PMID 29988705</w:t>
            </w:r>
          </w:p>
        </w:tc>
        <w:tc>
          <w:tcPr>
            <w:tcW w:type="dxa" w:w="1417"/>
            <w:vAlign w:val="center"/>
          </w:tcPr>
          <w:p>
            <w:r/>
            <w:r>
              <w:rPr>
                <w:b w:val="0"/>
                <w:sz w:val="17"/>
              </w:rPr>
              <w:t>증례군</w:t>
            </w:r>
          </w:p>
        </w:tc>
        <w:tc>
          <w:tcPr>
            <w:tcW w:type="dxa" w:w="1814"/>
            <w:vAlign w:val="center"/>
          </w:tcPr>
          <w:p>
            <w:r/>
            <w:r>
              <w:rPr>
                <w:b w:val="0"/>
                <w:sz w:val="17"/>
              </w:rPr>
              <w:t>응급 혈액투석 환자 15명</w:t>
            </w:r>
          </w:p>
        </w:tc>
        <w:tc>
          <w:tcPr>
            <w:tcW w:type="dxa" w:w="4535"/>
            <w:vAlign w:val="center"/>
          </w:tcPr>
          <w:p>
            <w:r/>
            <w:r>
              <w:rPr>
                <w:b w:val="0"/>
                <w:sz w:val="17"/>
              </w:rPr>
              <w:t>모두 MgO를 복용했고 14명이 65세 이상이었다. 투석 전 Mg 중앙값 6.0 mg/dL; 9명에서 급성신손상이 동반되었다.</w:t>
            </w:r>
          </w:p>
        </w:tc>
      </w:tr>
      <w:tr>
        <w:tc>
          <w:tcPr>
            <w:tcW w:type="dxa" w:w="1701"/>
            <w:vAlign w:val="center"/>
          </w:tcPr>
          <w:p>
            <w:r/>
            <w:r>
              <w:rPr>
                <w:b w:val="0"/>
                <w:sz w:val="17"/>
              </w:rPr>
              <w:t>Costello 등, 2023</w:t>
              <w:br/>
              <w:t>PMID 37487817</w:t>
            </w:r>
          </w:p>
        </w:tc>
        <w:tc>
          <w:tcPr>
            <w:tcW w:type="dxa" w:w="1417"/>
            <w:vAlign w:val="center"/>
          </w:tcPr>
          <w:p>
            <w:r/>
            <w:r>
              <w:rPr>
                <w:b w:val="0"/>
                <w:sz w:val="17"/>
              </w:rPr>
              <w:t>서술적 고찰</w:t>
            </w:r>
          </w:p>
        </w:tc>
        <w:tc>
          <w:tcPr>
            <w:tcW w:type="dxa" w:w="1814"/>
            <w:vAlign w:val="center"/>
          </w:tcPr>
          <w:p>
            <w:r/>
            <w:r>
              <w:rPr>
                <w:b w:val="0"/>
                <w:sz w:val="17"/>
              </w:rPr>
              <w:t>보충 마그네슘 128-1,200 mg/day</w:t>
            </w:r>
          </w:p>
        </w:tc>
        <w:tc>
          <w:tcPr>
            <w:tcW w:type="dxa" w:w="4535"/>
            <w:vAlign w:val="center"/>
          </w:tcPr>
          <w:p>
            <w:r/>
            <w:r>
              <w:rPr>
                <w:b w:val="0"/>
                <w:sz w:val="17"/>
              </w:rPr>
              <w:t>다수 중재연구에서 대조군 대비 설사 차이가 없었으나 일부 연구에서는 설사로 중도탈락이 보고되었다.</w:t>
            </w:r>
          </w:p>
        </w:tc>
      </w:tr>
      <w:tr>
        <w:tc>
          <w:tcPr>
            <w:tcW w:type="dxa" w:w="1701"/>
            <w:vAlign w:val="center"/>
          </w:tcPr>
          <w:p>
            <w:r/>
            <w:r>
              <w:rPr>
                <w:b w:val="0"/>
                <w:sz w:val="17"/>
              </w:rPr>
              <w:t>Kawano 등, 2024</w:t>
              <w:br/>
              <w:t>PMID 39218658</w:t>
            </w:r>
          </w:p>
        </w:tc>
        <w:tc>
          <w:tcPr>
            <w:tcW w:type="dxa" w:w="1417"/>
            <w:vAlign w:val="center"/>
          </w:tcPr>
          <w:p>
            <w:r/>
            <w:r>
              <w:rPr>
                <w:b w:val="0"/>
                <w:sz w:val="17"/>
              </w:rPr>
              <w:t>코호트 연구</w:t>
            </w:r>
          </w:p>
        </w:tc>
        <w:tc>
          <w:tcPr>
            <w:tcW w:type="dxa" w:w="1814"/>
            <w:vAlign w:val="center"/>
          </w:tcPr>
          <w:p>
            <w:r/>
            <w:r>
              <w:rPr>
                <w:b w:val="0"/>
                <w:sz w:val="17"/>
              </w:rPr>
              <w:t>MgO 입원환자 256명</w:t>
            </w:r>
          </w:p>
        </w:tc>
        <w:tc>
          <w:tcPr>
            <w:tcW w:type="dxa" w:w="4535"/>
            <w:vAlign w:val="center"/>
          </w:tcPr>
          <w:p>
            <w:r/>
            <w:r>
              <w:rPr>
                <w:b w:val="0"/>
                <w:sz w:val="17"/>
              </w:rPr>
              <w:t>BUN, eGFR, MgO 용량과 낮은 BMI가 고마그네슘혈증 위험과 관련되어 혈중 Mg 모니터링 필요성을 제시하였다.</w:t>
            </w:r>
          </w:p>
        </w:tc>
      </w:tr>
    </w:tbl>
    <w:p/>
    <w:p>
      <w:pPr>
        <w:spacing w:line="300" w:lineRule="auto" w:after="100"/>
        <w:ind w:firstLine="312"/>
      </w:pPr>
      <w:r>
        <w:t>마그네슘 도구에는 제품과 1일 용량 외에도 신기능과 복용기간을 필수 항목으로 포함하였다. 의식저하, 저혈압, 서맥 또는 호흡곤란은 단순한 위장관 부작용과 구분해야 하며, 권장량 이내 복용이라도 고령자나 급성신손상 환자에서는 혈중 마그네슘 확인이 필요할 수 있다.</w:t>
      </w:r>
    </w:p>
    <w:p>
      <w:r>
        <w:br w:type="page"/>
      </w:r>
    </w:p>
    <w:p>
      <w:pPr>
        <w:pStyle w:val="Heading2"/>
        <w:spacing w:before="240" w:after="120"/>
      </w:pPr>
      <w:r>
        <w:t>3.3.5 아연</w:t>
      </w:r>
    </w:p>
    <w:p>
      <w:pPr>
        <w:spacing w:line="300" w:lineRule="auto" w:after="100"/>
        <w:ind w:firstLine="312"/>
      </w:pPr>
      <w:r>
        <w:t>아연의 주요 장기 위해는 구리 흡수 저하에 따른 빈혈, 호중구감소증 및 신경학적 이상이었다. 최근 증례들은 일반의약품 또는 보충제 형태의 아연을 장기간 복용한 고령자에서 중증 구리결핍이 뒤늦게 발견될 수 있음을 보여준다.</w:t>
      </w:r>
    </w:p>
    <w:tbl>
      <w:tblPr>
        <w:tblStyle w:val="TableGrid"/>
        <w:tblW w:type="auto" w:w="0"/>
        <w:jc w:val="center"/>
        <w:tblLayout w:type="fixed"/>
        <w:tblLook w:firstColumn="1" w:firstRow="1" w:lastColumn="0" w:lastRow="0" w:noHBand="0" w:noVBand="1" w:val="04A0"/>
      </w:tblPr>
      <w:tblGrid>
        <w:gridCol w:w="2409"/>
        <w:gridCol w:w="2409"/>
        <w:gridCol w:w="2409"/>
        <w:gridCol w:w="2409"/>
      </w:tblGrid>
      <w:tr>
        <w:tc>
          <w:tcPr>
            <w:tcW w:type="dxa" w:w="2409"/>
            <w:vAlign w:val="center"/>
            <w:shd w:fill="DCE6F1"/>
          </w:tcPr>
          <w:p>
            <w:r/>
            <w:r>
              <w:rPr>
                <w:b/>
                <w:sz w:val="17"/>
              </w:rPr>
              <w:t>연구</w:t>
            </w:r>
          </w:p>
        </w:tc>
        <w:tc>
          <w:tcPr>
            <w:tcW w:type="dxa" w:w="2409"/>
            <w:vAlign w:val="center"/>
            <w:shd w:fill="DCE6F1"/>
          </w:tcPr>
          <w:p>
            <w:r/>
            <w:r>
              <w:rPr>
                <w:b/>
                <w:sz w:val="17"/>
              </w:rPr>
              <w:t>설계</w:t>
            </w:r>
          </w:p>
        </w:tc>
        <w:tc>
          <w:tcPr>
            <w:tcW w:type="dxa" w:w="2409"/>
            <w:vAlign w:val="center"/>
            <w:shd w:fill="DCE6F1"/>
          </w:tcPr>
          <w:p>
            <w:r/>
            <w:r>
              <w:rPr>
                <w:b/>
                <w:sz w:val="17"/>
              </w:rPr>
              <w:t>노출</w:t>
            </w:r>
          </w:p>
        </w:tc>
        <w:tc>
          <w:tcPr>
            <w:tcW w:type="dxa" w:w="2409"/>
            <w:vAlign w:val="center"/>
            <w:shd w:fill="DCE6F1"/>
          </w:tcPr>
          <w:p>
            <w:r/>
            <w:r>
              <w:rPr>
                <w:b/>
                <w:sz w:val="17"/>
              </w:rPr>
              <w:t>주요 결과</w:t>
            </w:r>
          </w:p>
        </w:tc>
      </w:tr>
      <w:tr>
        <w:tc>
          <w:tcPr>
            <w:tcW w:type="dxa" w:w="1701"/>
            <w:vAlign w:val="center"/>
          </w:tcPr>
          <w:p>
            <w:r/>
            <w:r>
              <w:rPr>
                <w:b w:val="0"/>
                <w:sz w:val="17"/>
              </w:rPr>
              <w:t>Fosmire, 1990</w:t>
              <w:br/>
              <w:t>PMID 2407097</w:t>
            </w:r>
          </w:p>
        </w:tc>
        <w:tc>
          <w:tcPr>
            <w:tcW w:type="dxa" w:w="1417"/>
            <w:vAlign w:val="center"/>
          </w:tcPr>
          <w:p>
            <w:r/>
            <w:r>
              <w:rPr>
                <w:b w:val="0"/>
                <w:sz w:val="17"/>
              </w:rPr>
              <w:t>종설</w:t>
            </w:r>
          </w:p>
        </w:tc>
        <w:tc>
          <w:tcPr>
            <w:tcW w:type="dxa" w:w="1814"/>
            <w:vAlign w:val="center"/>
          </w:tcPr>
          <w:p>
            <w:r/>
            <w:r>
              <w:rPr>
                <w:b w:val="0"/>
                <w:sz w:val="17"/>
              </w:rPr>
              <w:t>과량 아연 섭취</w:t>
            </w:r>
          </w:p>
        </w:tc>
        <w:tc>
          <w:tcPr>
            <w:tcW w:type="dxa" w:w="4535"/>
            <w:vAlign w:val="center"/>
          </w:tcPr>
          <w:p>
            <w:r/>
            <w:r>
              <w:rPr>
                <w:b w:val="0"/>
                <w:sz w:val="17"/>
              </w:rPr>
              <w:t>만성 과량 섭취에서 구리결핍, 빈혈 및 면역·지질대사 변화 가능성을 정리하였다.</w:t>
            </w:r>
          </w:p>
        </w:tc>
      </w:tr>
      <w:tr>
        <w:tc>
          <w:tcPr>
            <w:tcW w:type="dxa" w:w="1701"/>
            <w:vAlign w:val="center"/>
          </w:tcPr>
          <w:p>
            <w:r/>
            <w:r>
              <w:rPr>
                <w:b w:val="0"/>
                <w:sz w:val="17"/>
              </w:rPr>
              <w:t>Wahab 등, 2023</w:t>
              <w:br/>
              <w:t>PMID 37640593</w:t>
            </w:r>
          </w:p>
        </w:tc>
        <w:tc>
          <w:tcPr>
            <w:tcW w:type="dxa" w:w="1417"/>
            <w:vAlign w:val="center"/>
          </w:tcPr>
          <w:p>
            <w:r/>
            <w:r>
              <w:rPr>
                <w:b w:val="0"/>
                <w:sz w:val="17"/>
              </w:rPr>
              <w:t>증례보고</w:t>
            </w:r>
          </w:p>
        </w:tc>
        <w:tc>
          <w:tcPr>
            <w:tcW w:type="dxa" w:w="1814"/>
            <w:vAlign w:val="center"/>
          </w:tcPr>
          <w:p>
            <w:r/>
            <w:r>
              <w:rPr>
                <w:b w:val="0"/>
                <w:sz w:val="17"/>
              </w:rPr>
              <w:t>아연 보충제</w:t>
            </w:r>
          </w:p>
        </w:tc>
        <w:tc>
          <w:tcPr>
            <w:tcW w:type="dxa" w:w="4535"/>
            <w:vAlign w:val="center"/>
          </w:tcPr>
          <w:p>
            <w:r/>
            <w:r>
              <w:rPr>
                <w:b w:val="0"/>
                <w:sz w:val="17"/>
              </w:rPr>
              <w:t>아연 보충제 사용으로 인한 중증 구리결핍 빈혈 사례를 보고하였다.</w:t>
            </w:r>
          </w:p>
        </w:tc>
      </w:tr>
      <w:tr>
        <w:tc>
          <w:tcPr>
            <w:tcW w:type="dxa" w:w="1701"/>
            <w:vAlign w:val="center"/>
          </w:tcPr>
          <w:p>
            <w:r/>
            <w:r>
              <w:rPr>
                <w:b w:val="0"/>
                <w:sz w:val="17"/>
              </w:rPr>
              <w:t>Gupta 등, 2023</w:t>
              <w:br/>
              <w:t>PMID 37736439</w:t>
            </w:r>
          </w:p>
        </w:tc>
        <w:tc>
          <w:tcPr>
            <w:tcW w:type="dxa" w:w="1417"/>
            <w:vAlign w:val="center"/>
          </w:tcPr>
          <w:p>
            <w:r/>
            <w:r>
              <w:rPr>
                <w:b w:val="0"/>
                <w:sz w:val="17"/>
              </w:rPr>
              <w:t>증례보고</w:t>
            </w:r>
          </w:p>
        </w:tc>
        <w:tc>
          <w:tcPr>
            <w:tcW w:type="dxa" w:w="1814"/>
            <w:vAlign w:val="center"/>
          </w:tcPr>
          <w:p>
            <w:r/>
            <w:r>
              <w:rPr>
                <w:b w:val="0"/>
                <w:sz w:val="17"/>
              </w:rPr>
              <w:t>76세 여성의 아연 보충</w:t>
            </w:r>
          </w:p>
        </w:tc>
        <w:tc>
          <w:tcPr>
            <w:tcW w:type="dxa" w:w="4535"/>
            <w:vAlign w:val="center"/>
          </w:tcPr>
          <w:p>
            <w:r/>
            <w:r>
              <w:rPr>
                <w:b w:val="0"/>
                <w:sz w:val="17"/>
              </w:rPr>
              <w:t>저구리혈증, 중증 범혈구감소증, 빈혈 및 보행장애가 발생하였다. 아연 중단과 구리 투여 후 혈액학적 이상은 회복되었으나 신경학적 장애는 남았다.</w:t>
            </w:r>
          </w:p>
        </w:tc>
      </w:tr>
      <w:tr>
        <w:tc>
          <w:tcPr>
            <w:tcW w:type="dxa" w:w="1701"/>
            <w:vAlign w:val="center"/>
          </w:tcPr>
          <w:p>
            <w:r/>
            <w:r>
              <w:rPr>
                <w:b w:val="0"/>
                <w:sz w:val="17"/>
              </w:rPr>
              <w:t>Hooten 등, 2024</w:t>
              <w:br/>
              <w:t>PMID 38846187</w:t>
            </w:r>
          </w:p>
        </w:tc>
        <w:tc>
          <w:tcPr>
            <w:tcW w:type="dxa" w:w="1417"/>
            <w:vAlign w:val="center"/>
          </w:tcPr>
          <w:p>
            <w:r/>
            <w:r>
              <w:rPr>
                <w:b w:val="0"/>
                <w:sz w:val="17"/>
              </w:rPr>
              <w:t>증례보고</w:t>
            </w:r>
          </w:p>
        </w:tc>
        <w:tc>
          <w:tcPr>
            <w:tcW w:type="dxa" w:w="1814"/>
            <w:vAlign w:val="center"/>
          </w:tcPr>
          <w:p>
            <w:r/>
            <w:r>
              <w:rPr>
                <w:b w:val="0"/>
                <w:sz w:val="17"/>
              </w:rPr>
              <w:t>OTC 비타민·무기질 제품</w:t>
            </w:r>
          </w:p>
        </w:tc>
        <w:tc>
          <w:tcPr>
            <w:tcW w:type="dxa" w:w="4535"/>
            <w:vAlign w:val="center"/>
          </w:tcPr>
          <w:p>
            <w:r/>
            <w:r>
              <w:rPr>
                <w:b w:val="0"/>
                <w:sz w:val="17"/>
              </w:rPr>
              <w:t>74세 여성에서 높은 아연, 낮은 구리와 ceruloplasmin, 환상철적모구 및 호중구감소증이 확인되었다. 제품 중단과 구리 투여 후 호전되었다.</w:t>
            </w:r>
          </w:p>
        </w:tc>
      </w:tr>
    </w:tbl>
    <w:p/>
    <w:p>
      <w:pPr>
        <w:spacing w:line="300" w:lineRule="auto" w:after="100"/>
        <w:ind w:firstLine="312"/>
      </w:pPr>
      <w:r>
        <w:t>아연 관련 증례는 혈액학적 이상이 회복되어도 신경학적 후유증이 남을 수 있음을 보여준다. 따라서 장기 복용자에게서는 아연 용량과 기간을 확인하고, 설명되지 않는 빈혈·백혈구감소·감각 이상 또는 보행장애가 있을 때 혈중 아연과 구리 검사를 의료진과 상의하도록 안내하였다.</w:t>
      </w:r>
    </w:p>
    <w:p>
      <w:pPr>
        <w:pStyle w:val="Heading2"/>
        <w:spacing w:before="240" w:after="120"/>
      </w:pPr>
      <w:r>
        <w:t>3.4 정보제공 도구의 구성</w:t>
      </w:r>
    </w:p>
    <w:p>
      <w:pPr>
        <w:spacing w:line="300" w:lineRule="auto" w:after="100"/>
        <w:ind w:firstLine="312"/>
      </w:pPr>
      <w:r>
        <w:t>조회 도구는 성분별로 복용량, 복용기간, 병용제품, 기저질환 및 현재 증상을 확인하도록 구성하였다. 비타민 D에서는 칼슘 병용과 결석 병력, 비타민 B6에서는 여러 제품의 중복 섭취와 감각 이상, 철분에서는 제제와 복용 횟수 및 위장관 증상, 마그네슘에서는 신기능과 설사·저혈압·의식 변화, 아연에서는 장기 복용과 빈혈·보행 이상을 주요 확인 항목으로 제시하였다. 모든 문안에는 근거가 된 PubMed 문헌을 연결하였다.</w:t>
      </w:r>
    </w:p>
    <w:p>
      <w:r>
        <w:br w:type="page"/>
      </w:r>
    </w:p>
    <w:p>
      <w:pPr>
        <w:pStyle w:val="Heading1"/>
        <w:spacing w:before="240" w:after="120"/>
      </w:pPr>
      <w:r>
        <w:t>4. 고찰</w:t>
      </w:r>
    </w:p>
    <w:p>
      <w:pPr>
        <w:spacing w:line="300" w:lineRule="auto" w:after="100"/>
        <w:ind w:firstLine="312"/>
      </w:pPr>
      <w:r>
        <w:t>본 연구에서는 고함량 영양성분의 안전성 문제를 성분별로 구분하고, 문헌에서 확인된 위해를 실제 상담 질문으로 연결하였다. 검색식 보완 전에는 오래된 증례보고나 최근에 색인된 문헌이 누락되었으나, 누락 문헌의 표현을 직접 확인하여 검색어를 수정함으로써 사전에 선정한 핵심문헌을 모두 회수할 수 있었다.</w:t>
      </w:r>
    </w:p>
    <w:p>
      <w:pPr>
        <w:spacing w:line="300" w:lineRule="auto" w:after="100"/>
        <w:ind w:firstLine="312"/>
      </w:pPr>
      <w:r>
        <w:t>마그네슘과 아연 검색에서는 구체적인 제형명뿐 아니라 일반 성분명을 포함한 뒤 검색량이 증가하였다. 이는 관련 문헌을 놓칠 가능성을 줄이는 대신 검토해야 할 비관련 문헌도 늘어날 수 있음을 의미한다. 본 연구에서는 검색 결과의 일부만 선택하지 않고 전체 결과를 보존한 뒤, 연구대상과 노출 및 안전성 결과가 명확한 문헌부터 검토하였다.</w:t>
      </w:r>
    </w:p>
    <w:p>
      <w:pPr>
        <w:spacing w:line="300" w:lineRule="auto" w:after="100"/>
        <w:ind w:firstLine="312"/>
      </w:pPr>
      <w:r>
        <w:t>초록 근거 지도는 각 노드에 안전성 신호가 존재함을 보여 주지만, 발생률이나 인과 크기를 확정하지 않는다. 특히 사례보고가 많은 K5는 드문 위해를 발견하는 데 유용하지만 분모가 없어 위험률을 제시할 수 없다. K1과 K3의 임상시험도 용량, 대상자, 추적기간과 결과 정의가 달라 초록만으로 통합할 수 없다.</w:t>
      </w:r>
    </w:p>
    <w:p>
      <w:pPr>
        <w:spacing w:line="300" w:lineRule="auto" w:after="100"/>
        <w:ind w:firstLine="312"/>
      </w:pPr>
      <w:r>
        <w:t>조회 도구의 장점은 안전성 문안을 근거문헌과 직접 연결하고, 새로운 문헌이 추가될 때 출처를 다시 확인할 수 있다는 점이다. 그러나 출처가 연결되어 있다는 사실만으로 문안의 임상적 타당성이 보장되는 것은 아니다. 실제 상담에 적용하려면 전문 검토와 약사 평가를 거쳐 표현의 정확성과 위해 누락 여부를 확인해야 한다.</w:t>
      </w:r>
    </w:p>
    <w:p>
      <w:pPr>
        <w:pStyle w:val="Heading2"/>
        <w:spacing w:before="240" w:after="120"/>
      </w:pPr>
      <w:r>
        <w:t>4.1 한계</w:t>
      </w:r>
    </w:p>
    <w:p>
      <w:pPr>
        <w:spacing w:line="300" w:lineRule="auto" w:after="100"/>
        <w:ind w:firstLine="312"/>
      </w:pPr>
      <w:r>
        <w:t>첫째, PubMed 이외의 Embase, CENTRAL, Scopus 등은 검색하지 않았다. 둘째, 사람의 이중 선별과 전문 판정이 없다. 셋째, 초록 정보는 용량·기간·분모·결과 정의가 불완전할 수 있다. 넷째, 검색식 검토자가 독립된 정보전문가가 아니다. 다섯째, 성능 평가용 human gold set과 전문가 시나리오가 없어 임상 성능을 주장할 수 없다.</w:t>
      </w:r>
    </w:p>
    <w:p>
      <w:pPr>
        <w:pStyle w:val="Heading1"/>
        <w:spacing w:before="240" w:after="120"/>
      </w:pPr>
      <w:r>
        <w:t>5. 결론</w:t>
      </w:r>
    </w:p>
    <w:p>
      <w:pPr>
        <w:spacing w:line="300" w:lineRule="auto" w:after="100"/>
        <w:ind w:firstLine="312"/>
      </w:pPr>
      <w:r>
        <w:t>본 연구는 비타민 D, 비타민 B6, 철분, 마그네슘 및 아연의 주요 안전성 문제를 문헌에 근거하여 정리하고, 복용량과 기간, 병용제품, 기저질환 및 증상을 확인하는 개인맞춤형 정보제공 도구를 개발하였다. 수정한 검색식은 사전에 선정한 핵심문헌 22편을 모두 회수하였으며, 각 안전성 문안은 근거문헌과 연결되었다. 향후 전문 검토와 독립적인 사례 평가를 통해 문안의 정확성과 상담 활용성을 확인할 필요가 있다.</w:t>
      </w:r>
    </w:p>
    <w:p>
      <w:r>
        <w:br w:type="page"/>
      </w:r>
    </w:p>
    <w:p>
      <w:pPr>
        <w:pStyle w:val="Heading1"/>
        <w:spacing w:before="240" w:after="120"/>
      </w:pPr>
      <w:r>
        <w:t>6. 참고문헌</w:t>
      </w:r>
    </w:p>
    <w:p>
      <w:pPr>
        <w:spacing w:after="60"/>
        <w:ind w:left="283" w:hanging="283"/>
      </w:pPr>
      <w:r>
        <w:t>1. Monthly high-dose vitamin D supplementation does not increase kidney stone risk or serum calcium: results from a randomized controlled trial. PubMed PMID: 31005969. https://pubmed.ncbi.nlm.nih.gov/31005969/</w:t>
      </w:r>
    </w:p>
    <w:p>
      <w:pPr>
        <w:spacing w:after="60"/>
        <w:ind w:left="283" w:hanging="283"/>
      </w:pPr>
      <w:r>
        <w:t>2. Safety of calcium and vitamin D supplements, a randomized controlled trial. PubMed PMID: 30180273. https://pubmed.ncbi.nlm.nih.gov/30180273/</w:t>
      </w:r>
    </w:p>
    <w:p>
      <w:pPr>
        <w:spacing w:after="60"/>
        <w:ind w:left="283" w:hanging="283"/>
      </w:pPr>
      <w:r>
        <w:t>3. Vitamin D Repletion in Kidney Stone Formers: A Randomized Controlled Trial. PubMed PMID: 27765695. https://pubmed.ncbi.nlm.nih.gov/27765695/</w:t>
      </w:r>
    </w:p>
    <w:p>
      <w:pPr>
        <w:spacing w:after="60"/>
        <w:ind w:left="283" w:hanging="283"/>
      </w:pPr>
      <w:r>
        <w:t>4. Effect of vitamin D repletion on urinary calcium excretion among kidney stone formers. PubMed PMID: 22422535. https://pubmed.ncbi.nlm.nih.gov/22422535/</w:t>
      </w:r>
    </w:p>
    <w:p>
      <w:pPr>
        <w:spacing w:after="60"/>
        <w:ind w:left="283" w:hanging="283"/>
      </w:pPr>
      <w:r>
        <w:t>5. Incidence of hypercalciuria and hypercalcemia during vitamin D and calcium supplementation in older women. PubMed PMID: 24937025. https://pubmed.ncbi.nlm.nih.gov/24937025/</w:t>
      </w:r>
    </w:p>
    <w:p>
      <w:pPr>
        <w:spacing w:after="60"/>
        <w:ind w:left="283" w:hanging="283"/>
      </w:pPr>
      <w:r>
        <w:t>6. Sensory neuropathy from pyridoxine abuse. A new megavitamin syndrome. PubMed PMID: 6308447. https://pubmed.ncbi.nlm.nih.gov/6308447/</w:t>
      </w:r>
    </w:p>
    <w:p>
      <w:pPr>
        <w:spacing w:after="60"/>
        <w:ind w:left="283" w:hanging="283"/>
      </w:pPr>
      <w:r>
        <w:t>7. The Role of Vitamin B6 in Peripheral Neuropathy: A Systematic Review. PubMed PMID: 37447150. https://pubmed.ncbi.nlm.nih.gov/37447150/</w:t>
      </w:r>
    </w:p>
    <w:p>
      <w:pPr>
        <w:spacing w:after="60"/>
        <w:ind w:left="283" w:hanging="283"/>
      </w:pPr>
      <w:r>
        <w:t>8. Scientific opinion on the tolerable upper intake level for vitamin B6. PubMed PMID: 37207271. https://pubmed.ncbi.nlm.nih.gov/37207271/</w:t>
      </w:r>
    </w:p>
    <w:p>
      <w:pPr>
        <w:spacing w:after="60"/>
        <w:ind w:left="283" w:hanging="283"/>
      </w:pPr>
      <w:r>
        <w:t>9. Association between neuropathy and B-vitamins: A systematic review and meta-analysis. PubMed PMID: 33619867. https://pubmed.ncbi.nlm.nih.gov/33619867/</w:t>
      </w:r>
    </w:p>
    <w:p>
      <w:pPr>
        <w:spacing w:after="60"/>
        <w:ind w:left="283" w:hanging="283"/>
      </w:pPr>
      <w:r>
        <w:t>10. Ferrous sulfate supplementation causes significant gastrointestinal side-effects in adults: a systematic review and meta-analysis. PubMed PMID: 25700159. https://pubmed.ncbi.nlm.nih.gov/25700159/</w:t>
      </w:r>
    </w:p>
    <w:p>
      <w:pPr>
        <w:spacing w:after="60"/>
        <w:ind w:left="283" w:hanging="283"/>
      </w:pPr>
      <w:r>
        <w:t>11. Tolerability of different oral iron supplements: a systematic review. PubMed PMID: 23252877. https://pubmed.ncbi.nlm.nih.gov/23252877/</w:t>
      </w:r>
    </w:p>
    <w:p>
      <w:pPr>
        <w:spacing w:after="60"/>
        <w:ind w:left="283" w:hanging="283"/>
      </w:pPr>
      <w:r>
        <w:t>12. A rapid, simple questionnaire to assess gastrointestinal symptoms after oral ferrous sulphate supplementation. PubMed PMID: 24899360. https://pubmed.ncbi.nlm.nih.gov/24899360/</w:t>
      </w:r>
    </w:p>
    <w:p>
      <w:pPr>
        <w:spacing w:after="60"/>
        <w:ind w:left="283" w:hanging="283"/>
      </w:pPr>
      <w:r>
        <w:t>13. A randomized controlled trial of thrice-weekly versus thrice-daily oral ferrous fumarate treatment in adult patients with iron-deficiency anemia. PubMed PMID: 37010569. https://pubmed.ncbi.nlm.nih.gov/37010569/</w:t>
      </w:r>
    </w:p>
    <w:p>
      <w:pPr>
        <w:spacing w:after="60"/>
        <w:ind w:left="283" w:hanging="283"/>
      </w:pPr>
      <w:r>
        <w:t>14. Risk factors for the development of hypermagnesemia in patients prescribed magnesium oxide: a retrospective cohort study. PubMed PMID: 30805197. https://pubmed.ncbi.nlm.nih.gov/30805197/</w:t>
      </w:r>
    </w:p>
    <w:p>
      <w:pPr>
        <w:spacing w:after="60"/>
        <w:ind w:left="283" w:hanging="283"/>
      </w:pPr>
      <w:r>
        <w:t>15. Severe hypermagnesemia induced by magnesium oxide ingestion: a case series. PubMed PMID: 30136128. https://pubmed.ncbi.nlm.nih.gov/30136128/</w:t>
      </w:r>
    </w:p>
    <w:p>
      <w:pPr>
        <w:spacing w:after="60"/>
        <w:ind w:left="283" w:hanging="283"/>
      </w:pPr>
      <w:r>
        <w:t>16. The characteristics of patients with hypermagnesemia who underwent emergency hemodialysis. PubMed PMID: 29988705. https://pubmed.ncbi.nlm.nih.gov/29988705/</w:t>
      </w:r>
    </w:p>
    <w:p>
      <w:pPr>
        <w:spacing w:after="60"/>
        <w:ind w:left="283" w:hanging="283"/>
      </w:pPr>
      <w:r>
        <w:t>17. Perspective: Call for Re-evaluation of the Tolerable Upper Intake Level for Magnesium Supplementation in Adults. PubMed PMID: 37487817. https://pubmed.ncbi.nlm.nih.gov/37487817/</w:t>
      </w:r>
    </w:p>
    <w:p>
      <w:pPr>
        <w:spacing w:after="60"/>
        <w:ind w:left="283" w:hanging="283"/>
      </w:pPr>
      <w:r>
        <w:t>18. [Risk Factors Analysis for Hypermagnesemia with Magnesium Oxide]. PubMed PMID: 39218658. https://pubmed.ncbi.nlm.nih.gov/39218658/</w:t>
      </w:r>
    </w:p>
    <w:p>
      <w:pPr>
        <w:spacing w:after="60"/>
        <w:ind w:left="283" w:hanging="283"/>
      </w:pPr>
      <w:r>
        <w:t>19. Zinc toxicity. PubMed PMID: 2407097. https://pubmed.ncbi.nlm.nih.gov/2407097/</w:t>
      </w:r>
    </w:p>
    <w:p>
      <w:pPr>
        <w:spacing w:after="60"/>
        <w:ind w:left="283" w:hanging="283"/>
      </w:pPr>
      <w:r>
        <w:t>20. Severe copper deficiency anemia caused by zinc supplement use. PubMed PMID: 37640593. https://pubmed.ncbi.nlm.nih.gov/37640593/</w:t>
      </w:r>
    </w:p>
    <w:p>
      <w:pPr>
        <w:spacing w:after="60"/>
        <w:ind w:left="283" w:hanging="283"/>
      </w:pPr>
      <w:r>
        <w:t>21. Zinc-Induced Copper Deficiency as a Rare Cause of Neurological Deficit and Anemia. PubMed PMID: 37736439. https://pubmed.ncbi.nlm.nih.gov/37736439/</w:t>
      </w:r>
    </w:p>
    <w:p>
      <w:pPr>
        <w:spacing w:after="60"/>
        <w:ind w:left="283" w:hanging="283"/>
      </w:pPr>
      <w:r>
        <w:t>22. Zinc-Containing Over-The-Counter Product Causing Sideroblastic Anemia and Neutropenia. PubMed PMID: 38846187. https://pubmed.ncbi.nlm.nih.gov/38846187/</w:t>
      </w:r>
    </w:p>
    <w:p>
      <w:pPr>
        <w:spacing w:after="60"/>
        <w:ind w:left="283" w:hanging="283"/>
      </w:pPr>
      <w:r>
        <w:t>23. Rethlefsen ML, Kirtley S, Waffenschmidt S, et al. PRISMA-S: an extension to the PRISMA Statement for Reporting Literature Searches in Systematic Reviews. Systematic Reviews. 2021;10:39.</w:t>
      </w:r>
    </w:p>
    <w:p>
      <w:pPr>
        <w:spacing w:after="60"/>
        <w:ind w:left="283" w:hanging="283"/>
      </w:pPr>
      <w:r>
        <w:t>24. McGowan J, Sampson M, Salzwedel DM, et al. PRESS Peer Review of Electronic Search Strategies: 2015 Guideline Statement. Journal of Clinical Epidemiology. 2016;75:40-46.</w:t>
      </w:r>
    </w:p>
    <w:p>
      <w:pPr>
        <w:spacing w:after="60"/>
        <w:ind w:left="283" w:hanging="283"/>
      </w:pPr>
      <w:r>
        <w:t>25. Campbell M, McKenzie JE, Sowden A, et al. Synthesis without meta-analysis (SWiM) in systematic reviews: reporting guideline. BMJ. 2020;368:l6890.</w:t>
      </w:r>
    </w:p>
    <w:p>
      <w:pPr>
        <w:pStyle w:val="Heading1"/>
        <w:spacing w:before="240" w:after="120"/>
      </w:pPr>
      <w:r>
        <w:t>부록. 성분별 상담 확인 항목</w:t>
      </w:r>
    </w:p>
    <w:p>
      <w:pPr>
        <w:pStyle w:val="ListBullet"/>
      </w:pPr>
      <w:r>
        <w:t>비타민 D: 총 섭취량, 칼슘 병용, 결석 병력, 고칼슘혈증 관련 증상</w:t>
      </w:r>
    </w:p>
    <w:p>
      <w:pPr>
        <w:pStyle w:val="ListBullet"/>
      </w:pPr>
      <w:r>
        <w:t>비타민 B6: 복수 제품의 중복 섭취, 복용기간, 저림·감각저하·보행 이상</w:t>
      </w:r>
    </w:p>
    <w:p>
      <w:pPr>
        <w:pStyle w:val="ListBullet"/>
      </w:pPr>
      <w:r>
        <w:t>철분: 제제명, 1일 복용 횟수, 치료 목적, 오심·변비·설사·복통</w:t>
      </w:r>
    </w:p>
    <w:p>
      <w:pPr>
        <w:pStyle w:val="ListBullet"/>
      </w:pPr>
      <w:r>
        <w:t>마그네슘: 제제와 용량, 신기능, 설사, 저혈압·서맥·의식 변화</w:t>
      </w:r>
    </w:p>
    <w:p>
      <w:pPr>
        <w:pStyle w:val="ListBullet"/>
      </w:pPr>
      <w:r>
        <w:t>아연: 용량과 복용기간, 빈혈·호중구감소증, 감각 또는 보행 이상</w:t>
      </w:r>
    </w:p>
    <w:sectPr w:rsidR="00FC693F" w:rsidRPr="0006063C" w:rsidSect="00034616">
      <w:footerReference w:type="default" r:id="rId9"/>
      <w:pgSz w:w="11906" w:h="16838"/>
      <w:pgMar w:top="1134" w:right="1134" w:bottom="1020"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 xml:space="preserve">- </w:t>
    </w:r>
    <w:fldSimple w:instr="PAGE"/>
    <w:r>
      <w:t xml:space="preserve"> -</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Malgun Gothic" w:hAnsi="Malgun Gothic" w:eastAsia="맑은 고딕"/>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Malgun Gothic" w:hAnsi="Malgun Gothic" w:eastAsia="맑은 고딕"/>
      <w:b/>
      <w:bCs/>
      <w:color w:val="192337"/>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Malgun Gothic" w:hAnsi="Malgun Gothic" w:eastAsia="맑은 고딕"/>
      <w:b/>
      <w:bCs/>
      <w:color w:val="192337"/>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Malgun Gothic" w:hAnsi="Malgun Gothic" w:eastAsia="맑은 고딕"/>
      <w:color w:val="192337"/>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