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Highlights</w:t>
      </w:r>
    </w:p>
    <w:p>
      <w:pPr>
        <w:pStyle w:val="ListBullet"/>
      </w:pPr>
      <w:r>
        <w:t>Controllers share a simulation model, tariff, information, and deployment rules.</w:t>
      </w:r>
    </w:p>
    <w:p>
      <w:pPr>
        <w:pStyle w:val="ListBullet"/>
      </w:pPr>
      <w:r>
        <w:t>Hard-cost action search aligns learned control with a discontinuous tariff.</w:t>
      </w:r>
    </w:p>
    <w:p>
      <w:pPr>
        <w:pStyle w:val="ListBullet"/>
      </w:pPr>
      <w:r>
        <w:t>Learning cuts cost by 2.9-24.6% relative to a matched no-learning controller.</w:t>
      </w:r>
    </w:p>
    <w:p>
      <w:pPr>
        <w:pStyle w:val="ListBullet"/>
      </w:pPr>
      <w:r>
        <w:t>The primary stochastic optimizer costs less; learned control needs less online time.</w:t>
      </w:r>
    </w:p>
    <w:p>
      <w:pPr>
        <w:pStyle w:val="ListBullet"/>
      </w:pPr>
      <w:r>
        <w:t>Seasonal and tariff tests assess performance and computational trade-offs.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