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F2908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52"/>
          <w:lang w:eastAsia="zh-CN"/>
        </w:rPr>
      </w:pPr>
      <w:r>
        <w:rPr>
          <w:rFonts w:hint="eastAsia" w:ascii="Arial" w:hAnsi="Arial" w:eastAsia="等线" w:cs="Arial"/>
          <w:b/>
          <w:sz w:val="52"/>
          <w:lang w:eastAsia="zh-CN"/>
        </w:rPr>
        <w:t>福州市局福州市公司</w:t>
      </w:r>
    </w:p>
    <w:p w14:paraId="59288237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52"/>
          <w:lang w:eastAsia="zh-CN"/>
        </w:rPr>
      </w:pPr>
      <w:r>
        <w:rPr>
          <w:rFonts w:hint="eastAsia" w:ascii="Arial" w:hAnsi="Arial" w:eastAsia="等线" w:cs="Arial"/>
          <w:b/>
          <w:sz w:val="52"/>
          <w:lang w:eastAsia="zh-CN"/>
        </w:rPr>
        <w:t>民主管理</w:t>
      </w:r>
      <w:bookmarkStart w:id="38" w:name="_GoBack"/>
      <w:bookmarkEnd w:id="38"/>
      <w:r>
        <w:rPr>
          <w:rFonts w:hint="eastAsia" w:ascii="Arial" w:hAnsi="Arial" w:eastAsia="等线" w:cs="Arial"/>
          <w:b/>
          <w:sz w:val="52"/>
          <w:lang w:eastAsia="zh-CN"/>
        </w:rPr>
        <w:t>网升级改造项目</w:t>
      </w:r>
    </w:p>
    <w:p w14:paraId="01932357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技术报告</w:t>
      </w:r>
    </w:p>
    <w:p w14:paraId="0C53E5A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 项目建设背景</w:t>
      </w:r>
      <w:bookmarkEnd w:id="0"/>
    </w:p>
    <w:p w14:paraId="2DEFBD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烟草行业数字化转型的不断深入，福建省烟草公司福州市公司（以下简称“福州烟草”）原有民主管理网已运行多年，逐渐出现功能滞后、界面老旧、操作繁琐、国产化适配不足等问题，难以满足当前民主管理、办事公开、信息共享的高效化、规范化需求。</w:t>
      </w:r>
    </w:p>
    <w:p w14:paraId="22A3A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深入贯彻落实烟草行业数字化建设相关要求，推进政务公开、企务公开、党务公开工作常态化、规范化，提升民主管理工作效率，保障员工知情权、参与权和监督权，福州烟草决定启动民主管理网升级改造项目。本次项目以“国产化适配、功能优化、操作便捷、安全可靠”为核心，整合现有业务资源，完善系统功能模块，优化操作流程，构建符合烟草行业规范、贴合福州烟草实际业务需求的民主管理线上平台，为福州烟草各项工作的有序开展提供技术支撑。</w:t>
      </w:r>
    </w:p>
    <w:p w14:paraId="2A5CC5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，烟草行业对信息系统的国产化适配、数据安全、运行稳定提出了更高要求，原有系统在银河麒麟操作系统、达梦数据库等国产环境下适配性较差，且存在功能单一、数据同步不及时、安全防护不足等问题，无法充分发挥民主管理网的服务效能。基于此，开展本次升级改造项目，既是响应行业数字化转型号召的必然要求，也是解决现有系统痛点、提升工作效率的现实需要。</w:t>
      </w:r>
    </w:p>
    <w:p w14:paraId="22DEDC51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 项目建设目标</w:t>
      </w:r>
      <w:bookmarkEnd w:id="1"/>
    </w:p>
    <w:p w14:paraId="7E5111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本次民主管理网升级改造项目以“贴合业务、优化体验、保障安全、适配国产”为核心目标，具体建设目标如下：</w:t>
      </w:r>
    </w:p>
    <w:p w14:paraId="2834700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功能完善目标：优化现有系统功能，新增必要业务模块，实现办事公开、民主管理、法规资源、主题教育、精益管理等核心业务的全覆盖，简化操作流程，提升业务办理效率，满足各部门日常办公需求。</w:t>
      </w:r>
    </w:p>
    <w:p w14:paraId="057D13E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国产化适配目标：全面适配银河麒麟V10操作系统、达梦DM8数据库、东方通TongWeb中间件等国产软硬件环境，确保系统在国产环境下运行稳定、兼容良好，符合烟草行业国产化建设相关标准。</w:t>
      </w:r>
    </w:p>
    <w:p w14:paraId="3ABCA73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用户体验目标：优化系统界面布局，简化操作逻辑，实现导航清晰、操作便捷，降低用户学习成本，确保经过简单培训后，各岗位用户均可独立完成日常操作，提升用户使用满意度。</w:t>
      </w:r>
    </w:p>
    <w:p w14:paraId="073B1AA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数据互通目标：实现与福州烟草OA系统、财务管理系统、人事管理系统、统一身份认证平台的接口对接，确保数据实时同步、信息共享，避免重复录入，提升数据利用率和业务协同效率。</w:t>
      </w:r>
    </w:p>
    <w:p w14:paraId="0DF068D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安全保障目标：构建完善的安全防护体系，强化账号权限管理、数据加密传输、安全审计日志等功能，防范账号泄露、数据篡改、非法访问等安全风险，符合烟草行业信息安全管理规范。</w:t>
      </w:r>
    </w:p>
    <w:p w14:paraId="4749AD4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稳定运行目标：优化系统架构，提升系统并发处理能力和无故障运行时间，确保系统在高峰时段运行流畅，响应及时，无重大崩溃、卡顿等异常情况，支撑日常业务的稳定开展。</w:t>
      </w:r>
    </w:p>
    <w:p w14:paraId="02F78AB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可扩展性目标：系统设计具备良好的可扩展性，能够根据福州烟草业务发展需求，灵活新增功能模块、调整业务流程，适配未来数字化建设的拓展需求。</w:t>
      </w:r>
    </w:p>
    <w:p w14:paraId="23CCE493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 项目建设原则</w:t>
      </w:r>
      <w:bookmarkEnd w:id="2"/>
    </w:p>
    <w:p w14:paraId="6A43DC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为确保项目顺利实施、达到预期建设目标，本次项目建设严格遵循以下原则：</w:t>
      </w:r>
    </w:p>
    <w:p w14:paraId="2BC8E6A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合规性原则：严格遵循国家相关法律法规、烟草行业相关标准及福州烟草内部管理规定，确保系统建设、功能实现、数据管理等符合行业规范和企业要求，杜绝违规设计和操作。</w:t>
      </w:r>
    </w:p>
    <w:p w14:paraId="2458A0F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国产化优先原则：优先采用国产软硬件产品和技术，全面适配国产操作系统、数据库、中间件，推动系统国产化落地，保障系统自主可控、安全可靠。</w:t>
      </w:r>
    </w:p>
    <w:p w14:paraId="49901C7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实用性原则：立足福州烟草民主管理、办事公开等实际业务需求，聚焦用户痛点，优化功能设计和操作流程，确保系统功能贴合业务、好用易用，真正提升工作效率。</w:t>
      </w:r>
    </w:p>
    <w:p w14:paraId="74709A8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安全性原则：将安全防护贯穿项目建设全过程，强化身份认证、权限控制、数据加密、安全审计等安全措施，防范各类安全风险，保障系统和数据安全。</w:t>
      </w:r>
    </w:p>
    <w:p w14:paraId="37FA63C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稳定性原则：优化系统架构设计，选用成熟、稳定的技术和产品，加强系统测试和优化，确保系统长期稳定运行，减少故障发生率，保障业务连续性。</w:t>
      </w:r>
    </w:p>
    <w:p w14:paraId="38873B8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可扩展性原则：系统架构和功能设计具备良好的可扩展性，预留接口和拓展空间，能够根据业务发展需求，灵活新增功能、调整流程，适应未来数字化建设的发展趋势。</w:t>
      </w:r>
    </w:p>
    <w:p w14:paraId="063EBF0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易用性原则：坚持“以用户为中心”，优化界面布局和操作逻辑，简化操作步骤，提供清晰的导航和提示，降低用户学习成本，提升用户使用体验。</w:t>
      </w:r>
    </w:p>
    <w:p w14:paraId="1D6AC72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经济性原则：在满足建设目标和业务需求的前提下，合理控制项目成本，优化资源配置，选用性价比高的技术和产品，避免资源浪费，确保项目建设效益最大化。</w:t>
      </w:r>
    </w:p>
    <w:p w14:paraId="55A28A31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4 技术设计与实施</w:t>
      </w:r>
      <w:bookmarkEnd w:id="3"/>
    </w:p>
    <w:p w14:paraId="18DAE05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4.1 应用架构</w:t>
      </w:r>
      <w:bookmarkEnd w:id="4"/>
    </w:p>
    <w:p w14:paraId="52AB91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本次民主管理网升级改造项目应用架构采用分层设计模式，基于“前端展示层-应用服务层-数据服务层-基础设施层”的四层架构，各层职责清晰、协同工作，确保系统功能高效实现、运行稳定。</w:t>
      </w:r>
    </w:p>
    <w:p w14:paraId="1409F61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展示层：作为用户与系统的交互入口，采用响应式设计，适配不同终端设备（电脑、平板），支持指定国产浏览器（如360安全浏览器、火狐浏览器国产版）。主要实现系统界面展示、用户操作交互、数据展示等功能，包含首页、办事公开、民主管理、法规资源等所有功能模块的前端页面，确保界面简洁、导航清晰、操作便捷。</w:t>
      </w:r>
    </w:p>
    <w:p w14:paraId="19E901D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服务层：作为系统的核心业务处理层，负责接收前端请求，处理各类业务逻辑，实现核心功能模块的业务逻辑封装和调用。主要包括用户管理服务、权限管理服务、办事公开服务、民主管理服务、法规资源服务、数据统计服务、接口集成服务等，各服务之间相互独立、协同工作，确保业务处理高效、规范。</w:t>
      </w:r>
    </w:p>
    <w:p w14:paraId="1FE2AF0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服务层：负责系统数据的存储、管理和访问，提供数据查询、新增、修改、删除等数据操作服务，支撑应用服务层的业务处理。基于达梦DM8数据库，构建完善的数据模型，实现数据的集中管理和高效访问，同时提供数据备份、数据同步、数据校验等功能，保障数据安全和数据质量。</w:t>
      </w:r>
    </w:p>
    <w:p w14:paraId="23FB338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基础设施层：作为系统运行的基础支撑，包括服务器、存储设备、网络设备、国产操作系统、数据库、中间件等软硬件资源，为系统运行提供稳定的硬件和软件环境，确保系统各项功能正常实现。</w:t>
      </w:r>
    </w:p>
    <w:p w14:paraId="344721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应用架构设计遵循“高内聚、低耦合”的原则，各层之间通过标准化接口进行通信，便于系统维护、升级和扩展，同时确保系统的灵活性和可扩展性，能够根据业务需求的变化快速调整业务逻辑和功能模块。</w:t>
      </w:r>
    </w:p>
    <w:p w14:paraId="54F0025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4.2 数据架构</w:t>
      </w:r>
      <w:bookmarkEnd w:id="5"/>
    </w:p>
    <w:p w14:paraId="0D9942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数据架构以“数据集中管理、数据共享互通、数据安全可靠”为核心，基于达梦DM8国产数据库构建，实现数据的统一存储、规范管理和高效利用，支撑系统各项功能的正常运行，同时满足与外围系统的数据同步需求。</w:t>
      </w:r>
    </w:p>
    <w:p w14:paraId="040E27A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4.2.1 数据分类</w:t>
      </w:r>
      <w:bookmarkEnd w:id="6"/>
    </w:p>
    <w:p w14:paraId="7C08A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根据系统业务需求，将数据分为以下几类，实现分类管理、精准管控：</w:t>
      </w:r>
    </w:p>
    <w:p w14:paraId="705A605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用户数据：包括系统用户账号、密码（加密存储）、姓名、部门、岗位、联系方式、权限信息等，用于用户身份认证和权限控制，是系统安全运行的基础数据。</w:t>
      </w:r>
    </w:p>
    <w:p w14:paraId="5726B30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数据：包括办事公开信息（公告、政务公开、企务公开、党务公开等）、民主管理数据（在线咨询、意见征集、领导信箱、举报投诉等）、法规资源数据（各级法规文件、规章制度等）、主题教育数据（学习资料、新闻动态等）、精益管理数据（精益文件、图片、经验分享等）、站内统计数据（访问量、上稿量等），是系统核心业务数据，支撑各项业务功能的实现。</w:t>
      </w:r>
    </w:p>
    <w:p w14:paraId="1D4D9B1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配置数据：包括系统参数配置、菜单配置、权限配置、接口配置、日志配置等，用于系统的正常运行和功能调整，确保系统各项功能按照预期配置运行。</w:t>
      </w:r>
    </w:p>
    <w:p w14:paraId="17139C4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日志数据：包括用户操作日志、系统运行日志、安全审计日志、接口调用日志等，用于记录系统运行状态、用户操作行为、接口调用情况，为系统运维、故障排查、安全审计提供依据。</w:t>
      </w:r>
    </w:p>
    <w:p w14:paraId="769D94F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接口数据：包括与OA系统、财务管理系统、人事管理系统、统一身份认证平台交互的数据，用于实现数据同步和业务协同，确保各系统之间信息互通。</w:t>
      </w:r>
    </w:p>
    <w:p w14:paraId="7E4B9C6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4.2.2 数据模型设计</w:t>
      </w:r>
      <w:bookmarkEnd w:id="7"/>
    </w:p>
    <w:p w14:paraId="4065BB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基于达梦DM8数据库，结合系统业务需求，设计合理的数据模型，构建完善的数据库表结构，确保数据存储规范、关联清晰、访问高效。数据模型设计遵循以下原则：</w:t>
      </w:r>
    </w:p>
    <w:p w14:paraId="34FB686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规范性原则：遵循数据库设计规范，合理设计表结构、字段类型、主键、外键，确保数据存储规范、逻辑清晰，避免数据冗余和数据不一致。</w:t>
      </w:r>
    </w:p>
    <w:p w14:paraId="4D93BF8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高效性原则：优化表结构设计，合理建立索引，提升数据查询、新增、修改、删除等操作的效率，确保系统在数据量较大的情况下仍能运行流畅。</w:t>
      </w:r>
    </w:p>
    <w:p w14:paraId="4F4F92F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完整性原则：设置必要的字段约束（非空约束、唯一约束、外键约束等），确保数据的完整性和准确性，避免无效数据和错误数据的录入。</w:t>
      </w:r>
    </w:p>
    <w:p w14:paraId="6E479FF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可扩展性原则：预留数据字段和表结构拓展空间，能够根据业务发展需求，灵活新增字段、调整表结构，适配业务拓展需求。</w:t>
      </w:r>
    </w:p>
    <w:p w14:paraId="096E33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数据模型包括用户表、部门表、权限表、公告表、咨询表、意见征集表、法规文件表、统计数据表等，各表之间通过主键、外键建立关联，实现数据的联动查询和管理。例如，用户表与部门表通过部门ID关联，用户表与权限表通过用户ID关联，确保用户权限的精准分配和管理；公告表与部门表关联，实现不同部门公告的分类管理和展示。</w:t>
      </w:r>
    </w:p>
    <w:p w14:paraId="5562CE94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4.2.3 数据流转</w:t>
      </w:r>
      <w:bookmarkEnd w:id="8"/>
    </w:p>
    <w:p w14:paraId="011294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系统数据流转遵循“采集-存储-处理-展示-同步”的流程，确保数据的实时性、准确性和完整性：</w:t>
      </w:r>
    </w:p>
    <w:p w14:paraId="5ED1DD2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采集：通过用户操作、系统接口调用等方式，采集用户数据、业务数据、接口数据等，确保数据采集全面、准确。例如，用户通过前端页面提交咨询、意见等业务数据，系统通过接口采集OA系统、人事管理系统的相关数据。</w:t>
      </w:r>
    </w:p>
    <w:p w14:paraId="05379E4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数据存储：采集的数据经过校验后，按照数据分类存储到对应的数据库表中，实现数据的集中存储和管理，同时对敏感数据（如用户密码）进行加密存储，保障数据安全。</w:t>
      </w:r>
    </w:p>
    <w:p w14:paraId="382D678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处理：应用服务层对存储的数据进行处理，包括数据筛选、排序、统计、分析等，生成用户所需的业务数据和统计数据，支撑系统各项功能的实现。例如，对站内访问量、部门上稿量进行统计分析，生成统计报表。</w:t>
      </w:r>
    </w:p>
    <w:p w14:paraId="6FF9B56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数据展示：处理后的数据通过前端展示层展示给用户，包括列表展示、详情展示、统计图表展示等，方便用户查看和操作。</w:t>
      </w:r>
    </w:p>
    <w:p w14:paraId="5F18E5B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数据同步：通过接口集成，实现系统与外围系统（OA系统、财务系统、人事系统等）的数据同步，确保各系统之间数据实时更新、信息共享，避免数据不一致。</w:t>
      </w:r>
    </w:p>
    <w:p w14:paraId="6338CF8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4.2.4 数据备份与恢复</w:t>
      </w:r>
      <w:bookmarkEnd w:id="9"/>
    </w:p>
    <w:p w14:paraId="4C4ED3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为保障数据安全，防止数据丢失、损坏，系统设计了完善的数据备份与恢复机制：</w:t>
      </w:r>
    </w:p>
    <w:p w14:paraId="2FCD85D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备份策略：采用定期备份与实时备份相结合的方式，定期备份（每日凌晨进行全量备份，每6小时进行增量备份），实时备份（关键业务数据实时同步备份），确保数据备份的及时性和完整性。</w:t>
      </w:r>
    </w:p>
    <w:p w14:paraId="151174F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备份存储：备份数据存储在专用存储设备中，进行加密处理，同时异地备份，防止本地存储设备故障导致备份数据丢失。</w:t>
      </w:r>
    </w:p>
    <w:p w14:paraId="05C8A32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恢复机制：建立数据恢复流程，当系统出现数据丢失、损坏等情况时，可通过备份数据快速恢复，确保业务连续性，恢复过程中严格校验数据完整性，避免数据错误。</w:t>
      </w:r>
    </w:p>
    <w:p w14:paraId="60C7A691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4.3 技术架构</w:t>
      </w:r>
      <w:bookmarkEnd w:id="10"/>
    </w:p>
    <w:p w14:paraId="0C2BDA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本次项目技术架构基于国产化软硬件环境构建，采用“分层架构+微服务理念”，结合成熟的国产技术和产品，确保系统架构合理、运行稳定、可扩展性强，同时满足烟草行业技术规范要求。</w:t>
      </w:r>
    </w:p>
    <w:p w14:paraId="5B1A207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4.3.1 技术架构分层</w:t>
      </w:r>
      <w:bookmarkEnd w:id="11"/>
    </w:p>
    <w:p w14:paraId="11A9A6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技术架构分为基础设施层、中间件层、应用服务层、前端层，各层相互支撑、协同工作，具体如下：</w:t>
      </w:r>
    </w:p>
    <w:p w14:paraId="6BD34E8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基础设施层：包括服务器、存储设备、网络设备等硬件资源，以及银河麒麟V10操作系统、达梦DM8数据库等国产软件资源，为系统运行提供基础支撑，确保系统硬件和软件环境稳定可靠。</w:t>
      </w:r>
    </w:p>
    <w:p w14:paraId="173AD03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件层：采用东方通TongWeb中间件，负责应用服务的部署、运行和管理，提供负载均衡、事务管理、缓存管理等功能，提升系统并发处理能力和运行稳定性；同时集成消息队列、缓存中间件等，优化系统响应速度，缓解数据库压力。</w:t>
      </w:r>
    </w:p>
    <w:p w14:paraId="42F2231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应用服务层：基于Java开发语言，采用Spring Boot、Spring Cloud等框架，实现核心业务服务的开发和封装，包括用户管理、权限控制、业务处理、接口集成等服务，各服务独立部署、协同调用，遵循微服务设计理念，提升系统的灵活性和可扩展性。</w:t>
      </w:r>
    </w:p>
    <w:p w14:paraId="4E84BAC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前端层：采用Vue.js、Element UI等前端框架，开发响应式前端页面，实现系统界面展示和用户交互，支持不同终端设备适配，确保用户操作便捷、体验良好。</w:t>
      </w:r>
    </w:p>
    <w:p w14:paraId="02B2273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4.3.2 核心技术选型</w:t>
      </w:r>
      <w:bookmarkEnd w:id="12"/>
    </w:p>
    <w:p w14:paraId="76AFBD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为确保系统国产化适配、运行稳定、功能完善，本次项目核心技术选型均采用成熟的国产技术和产品，具体如下：</w:t>
      </w:r>
    </w:p>
    <w:p w14:paraId="1BDC5D7C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操作系统：银河麒麟V10（国产操作系统，适配烟草行业国产化要求，运行稳定、安全可靠）。</w:t>
      </w:r>
    </w:p>
    <w:p w14:paraId="726458F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数据库：达梦DM8（国产数据库，支持高并发、大容量数据存储，适配国产软硬件环境，符合烟草行业数据管理规范）。</w:t>
      </w:r>
    </w:p>
    <w:p w14:paraId="4F7D82A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中间件：东方通TongWeb（国产应用服务器中间件，支持Java EE规范，提供负载均衡、事务管理等功能，运行稳定）。</w:t>
      </w:r>
    </w:p>
    <w:p w14:paraId="4679426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开发语言：Java（成熟、稳定，拥有丰富的开发框架和组件，便于系统开发、维护和扩展）。</w:t>
      </w:r>
    </w:p>
    <w:p w14:paraId="5C1E47D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后端框架：Spring Boot、Spring Cloud（轻量级、高效率，支持微服务架构，便于业务服务的开发和集成）。</w:t>
      </w:r>
    </w:p>
    <w:p w14:paraId="54EEC3F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前端框架：Vue.js、Element UI（响应式设计，开发高效，界面美观，适配不同终端设备）。</w:t>
      </w:r>
    </w:p>
    <w:p w14:paraId="2C5D47AD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缓存技术：Redis（国产适配版，提升数据查询速度，缓解数据库压力，确保系统响应及时）。</w:t>
      </w:r>
    </w:p>
    <w:p w14:paraId="45335E2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消息队列：RocketMQ（国产消息队列，实现系统内部服务之间的异步通信，提升系统并发处理能力）。</w:t>
      </w:r>
    </w:p>
    <w:p w14:paraId="2FCB345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接口技术：RESTful API（标准化接口设计，便于系统与外围系统的接口集成和数据同步）。</w:t>
      </w:r>
    </w:p>
    <w:p w14:paraId="49607F51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4.3.3 技术架构优势</w:t>
      </w:r>
      <w:bookmarkEnd w:id="13"/>
    </w:p>
    <w:p w14:paraId="2AD0ED8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国产化适配完善：全面采用国产软硬件和技术，符合烟草行业国产化建设要求，确保系统自主可控、安全可靠。</w:t>
      </w:r>
    </w:p>
    <w:p w14:paraId="63C5BAC5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架构灵活可扩展：采用微服务理念和分层架构，各服务独立部署、协同工作，便于系统功能扩展、升级和维护，能够适应业务发展需求。</w:t>
      </w:r>
    </w:p>
    <w:p w14:paraId="2A8878E7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运行稳定高效：选用成熟的技术和产品，优化架构设计，提升系统并发处理能力和无故障运行时间，确保系统运行流畅、响应及时。</w:t>
      </w:r>
    </w:p>
    <w:p w14:paraId="7B2F4C5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安全可靠：结合安全架构设计，强化技术层面的安全防护，防范各类安全风险，保障系统和数据安全。</w:t>
      </w:r>
    </w:p>
    <w:p w14:paraId="7061BB92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4.4 集成架构</w:t>
      </w:r>
      <w:bookmarkEnd w:id="14"/>
    </w:p>
    <w:p w14:paraId="6DA80D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集成架构以“统一接口、数据互通、业务协同”为核心，实现系统与福州烟草现有外围系统（统一身份认证平台、OA系统、财务管理系统、人事管理系统）的无缝集成，确保数据实时同步、业务协同高效，避免信息孤岛，提升工作效率。</w:t>
      </w:r>
    </w:p>
    <w:p w14:paraId="0A109A5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4.4.1 集成目标</w:t>
      </w:r>
      <w:bookmarkEnd w:id="15"/>
    </w:p>
    <w:p w14:paraId="3103A939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统一身份认证集成：实现与福州烟草统一身份认证平台的集成，用户通过统一账号密码登录系统，无需重复注册和登录，提升用户操作便捷性，同时实现用户身份信息的统一管理。</w:t>
      </w:r>
    </w:p>
    <w:p w14:paraId="4CE6E4E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数据同步集成：实现与OA系统、财务管理系统、人事管理系统的数据同步，包括用户信息、部门信息、公告信息、财务相关数据、人事相关数据等，确保各系统之间数据实时更新、信息共享。</w:t>
      </w:r>
    </w:p>
    <w:p w14:paraId="4340335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业务协同集成：实现系统与外围系统的业务协同，例如，OA系统的公告信息同步至民主管理网，民主管理网的咨询、意见等数据同步至OA系统供相关部门处理，提升业务协同效率。</w:t>
      </w:r>
    </w:p>
    <w:p w14:paraId="7A7AEDF8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接口标准化：采用标准化接口设计，确保集成接口的通用性和兼容性，便于后续新增系统的集成，提升系统的可扩展性。</w:t>
      </w:r>
    </w:p>
    <w:p w14:paraId="55A7D09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4.4.2 集成方式</w:t>
      </w:r>
      <w:bookmarkEnd w:id="16"/>
    </w:p>
    <w:p w14:paraId="369C46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本次集成采用RESTful API接口集成方式，结合消息队列实现异步通信，确保接口调用稳定、数据同步及时，具体集成方式如下：</w:t>
      </w:r>
    </w:p>
    <w:p w14:paraId="1131520D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身份认证集成：系统通过调用统一身份认证平台的API接口，实现用户身份校验、账号登录等功能，用户登录时，系统将账号密码发送至统一身份认证平台进行校验，校验通过后允许用户登录系统，同时同步用户身份信息和权限信息。</w:t>
      </w:r>
    </w:p>
    <w:p w14:paraId="5BF4FAF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数据同步集成：采用“实时同步+定期同步”相结合的方式，通过RESTful API接口调用，实现系统与外围系统的数据同步。对于实时性要求高的数据（如用户信息、公告信息），采用实时同步方式，数据发生变化时立即同步至相关系统；对于实时性要求不高的数据（如统计数据），采用定期同步方式，按设定周期进行数据同步。</w:t>
      </w:r>
    </w:p>
    <w:p w14:paraId="51F441A9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协同集成：通过接口调用和消息队列相结合的方式，实现系统与外围系统的业务协同。例如，用户在民主管理网提交咨询后，系统通过消息队列将咨询信息发送至OA系统，OA系统处理完成后，通过接口将处理结果同步回民主管理网，实现业务闭环。</w:t>
      </w:r>
    </w:p>
    <w:p w14:paraId="1332E1FB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4.4.3 集成接口设计</w:t>
      </w:r>
      <w:bookmarkEnd w:id="17"/>
    </w:p>
    <w:p w14:paraId="73084F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集成接口采用标准化RESTful API设计，遵循HTTP协议，接口命名规范、参数清晰、返回格式统一，确保接口的通用性和兼容性。接口主要分为以下几类：</w:t>
      </w:r>
    </w:p>
    <w:p w14:paraId="1398702A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身份认证接口：用于与统一身份认证平台的集成，包括用户登录校验、账号信息查询、权限信息同步等接口。</w:t>
      </w:r>
    </w:p>
    <w:p w14:paraId="39CDFF36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用户数据接口：用于与人事管理系统的集成，包括用户信息新增、修改、删除、查询等接口，实现用户信息的同步。</w:t>
      </w:r>
    </w:p>
    <w:p w14:paraId="2CBF0C01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公告数据接口：用于与OA系统的集成，包括公告信息同步、公告状态查询等接口，实现公告信息的互通。</w:t>
      </w:r>
    </w:p>
    <w:p w14:paraId="42A78BB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业务数据接口：用于系统与外围系统的业务协同，包括咨询、意见、举报等业务数据的同步和处理结果反馈接口。</w:t>
      </w:r>
    </w:p>
    <w:p w14:paraId="60BC6A1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统计数据接口：用于与财务管理系统、人事管理系统的集成，包括相关统计数据的查询和同步接口。</w:t>
      </w:r>
    </w:p>
    <w:p w14:paraId="4449B9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所有集成接口均进行加密处理，采用HTTPS协议传输数据，确保接口调用的安全性和数据传输的保密性；同时设计接口调用日志，记录接口调用情况、响应时间、错误信息等，便于接口运维和故障排查。</w:t>
      </w:r>
    </w:p>
    <w:p w14:paraId="2AED0754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4.5 部署架构</w:t>
      </w:r>
      <w:bookmarkEnd w:id="18"/>
    </w:p>
    <w:p w14:paraId="674AB4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本次项目部署架构基于国产化服务器和云平台构建，采用“主备部署+负载均衡”的部署方式，确保系统高可用、运行稳定，同时满足系统并发处理需求，适配福州烟草各部门用户的使用需求。</w:t>
      </w:r>
    </w:p>
    <w:p w14:paraId="025FCC97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4.5.1 部署环境</w:t>
      </w:r>
      <w:bookmarkEnd w:id="19"/>
    </w:p>
    <w:p w14:paraId="4942A8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部署环境采用国产化软硬件环境，具体如下：</w:t>
      </w:r>
    </w:p>
    <w:p w14:paraId="525A390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服务器：国产x86服务器，配置满足系统运行需求（CPU：≥16核，内存：≥32GB，硬盘：≥1TB），部署多台服务器实现主备和负载均衡。</w:t>
      </w:r>
    </w:p>
    <w:p w14:paraId="2DB68F59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操作系统：银河麒麟V10操作系统（64位），确保系统国产化适配。</w:t>
      </w:r>
    </w:p>
    <w:p w14:paraId="04628D4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数据库：达梦DM8数据库，采用主备部署方式，确保数据库高可用。</w:t>
      </w:r>
    </w:p>
    <w:p w14:paraId="2DD1D464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中间件：东方通TongWeb中间件，部署在应用服务器上，实现应用服务的运行和管理。</w:t>
      </w:r>
    </w:p>
    <w:p w14:paraId="5E17C6BF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网络环境：依托福州烟草内部局域网，确保网络稳定、安全，带宽满足系统数据传输需求。</w:t>
      </w:r>
    </w:p>
    <w:p w14:paraId="07E70BDC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4.5.2 部署拓扑</w:t>
      </w:r>
      <w:bookmarkEnd w:id="20"/>
    </w:p>
    <w:p w14:paraId="1F8B89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系统部署拓扑采用分层部署，分为负载均衡层、应用服务层、数据库层、存储层，具体如下：</w:t>
      </w:r>
    </w:p>
    <w:p w14:paraId="5BA96CA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负载均衡层：部署负载均衡设备，采用国产负载均衡软件，负责接收用户请求，将请求分发至应用服务层的多台应用服务器，实现负载均衡，提升系统并发处理能力，同时实现故障自动切换，确保系统高可用。</w:t>
      </w:r>
    </w:p>
    <w:p w14:paraId="0018ECBE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应用服务层：部署多台应用服务器，每台服务器部署东方通TongWeb中间件和系统应用服务，各应用服务器之间相互备份，当某台服务器出现故障时，负载均衡设备将请求分发至其他正常服务器，确保业务连续性。</w:t>
      </w:r>
    </w:p>
    <w:p w14:paraId="6E92694B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数据库层：采用达梦DM8数据库主备部署，主数据库负责数据的读写操作，备数据库实时同步主数据库的数据，当主数据库出现故障时，自动切换至备数据库，确保数据库高可用，防止数据丢失。</w:t>
      </w:r>
    </w:p>
    <w:p w14:paraId="26D2A5D8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存储层：部署专用存储设备，用于存储系统数据、备份数据、日志数据等，采用RAID阵列技术，提升存储设备的可靠性和数据读写速度，同时实现异地备份，保障数据安全。</w:t>
      </w:r>
    </w:p>
    <w:p w14:paraId="678FE20A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4.5.3 部署特点</w:t>
      </w:r>
      <w:bookmarkEnd w:id="21"/>
    </w:p>
    <w:p w14:paraId="1FE6117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高可用性：采用主备部署、负载均衡、故障自动切换等方式，确保系统、数据库、应用服务的高可用，减少故障对业务的影响，保障业务连续性。</w:t>
      </w:r>
    </w:p>
    <w:p w14:paraId="7B7D3787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可扩展性：部署架构具备良好的可扩展性，可根据用户数量和业务量的增长，灵活增加应用服务器、数据库服务器和存储设备，提升系统处理能力。</w:t>
      </w:r>
    </w:p>
    <w:p w14:paraId="32149B1A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安全性：部署在福州烟草内部局域网，通过防火墙、网络隔离等措施，防范外部非法访问，同时对数据传输和存储进行加密处理，保障系统和数据安全。</w:t>
      </w:r>
    </w:p>
    <w:p w14:paraId="2AE9A361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易维护性：部署架构清晰，各层职责明确，便于系统运维、故障排查和升级维护，降低运维成本。</w:t>
      </w:r>
    </w:p>
    <w:p w14:paraId="6AA169D3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4.6 安全架构</w:t>
      </w:r>
      <w:bookmarkEnd w:id="22"/>
    </w:p>
    <w:p w14:paraId="562CF3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本次项目安全架构以“纵深防御、全面防护”为核心，结合烟草行业信息安全管理规范，构建覆盖应用安全、数据安全、网络安全、运维安全等全方位的安全防护体系，确保系统和数据安全，防范各类安全风险。</w:t>
      </w:r>
    </w:p>
    <w:p w14:paraId="07361D4D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4.6.1 应用安全</w:t>
      </w:r>
      <w:bookmarkEnd w:id="23"/>
    </w:p>
    <w:p w14:paraId="49EE7D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应用安全是系统安全的核心，主要从身份认证、权限控制、接口安全、输入验证等方面构建防护体系：</w:t>
      </w:r>
    </w:p>
    <w:p w14:paraId="48E32E25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认证：采用统一身份认证方式，用户通过统一账号密码登录系统，同时支持短信验证码、动态口令等二次认证方式，提升身份认证的安全性；设置账号锁定机制，当连续多次输入错误密码时，锁定账号，防止暴力破解；定期提醒用户更换密码，确保密码安全。</w:t>
      </w:r>
    </w:p>
    <w:p w14:paraId="4D5F95F5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控制：采用基于角色的权限管理（RBAC）模式，根据用户岗位和职责，分配不同的权限，实现“最小权限原则”，确保用户仅能访问和操作自己权限范围内的功能和数据；权限分配由系统管理员统一管理，定期进行权限审计，及时调整和回收权限，防止权限滥用。</w:t>
      </w:r>
    </w:p>
    <w:p w14:paraId="388AEE1B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安全：所有应用接口均采用HTTPS协议加密传输，防止数据传输过程中被窃取、篡改；接口调用采用令牌验证机制，确保接口调用的合法性；设置接口调用频率限制，防止恶意调用和攻击；记录接口调用日志，便于接口安全审计和故障排查。</w:t>
      </w:r>
    </w:p>
    <w:p w14:paraId="43706DCE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输入验证：对用户输入的所有数据进行严格验证，包括数据格式、长度、范围等，防止SQL注入、XSS跨站脚本、 CSRF跨站请求伪造等攻击，确保应用程序安全。</w:t>
      </w:r>
    </w:p>
    <w:p w14:paraId="0261C74D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应用加固：对应用程序进行安全加固，及时修复应用程序中的安全漏洞；定期对应用程序进行安全扫描和渗透测试，排查安全隐患，确保应用程序安全运行。</w:t>
      </w:r>
    </w:p>
    <w:p w14:paraId="465A06CA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4.6.2 数据安全</w:t>
      </w:r>
      <w:bookmarkEnd w:id="24"/>
    </w:p>
    <w:p w14:paraId="50A7A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数据安全是系统安全的核心保障，主要从数据加密、数据备份、数据访问控制、数据脱敏等方面构建防护体系：</w:t>
      </w:r>
    </w:p>
    <w:p w14:paraId="4BA5F53C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数据加密：对敏感数据（如用户密码、个人信息、核心业务数据）进行加密存储，采用对称加密和非对称加密相结合的方式，确保数据存储安全；数据传输过程中采用HTTPS协议加密，防止数据被窃取、篡改。</w:t>
      </w:r>
    </w:p>
    <w:p w14:paraId="55B04D28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数据备份与恢复：建立完善的数据备份与恢复机制，定期进行数据备份，备份数据异地存储，确保数据丢失后能够快速恢复；定期对备份数据进行校验，确保备份数据的完整性和可用性。</w:t>
      </w:r>
    </w:p>
    <w:p w14:paraId="1AF83F5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数据访问控制：对数据库访问进行严格控制，采用最小权限原则，分配不同的数据库访问权限，确保只有授权用户能够访问和操作数据库；记录数据库访问日志，便于数据安全审计和故障排查。</w:t>
      </w:r>
    </w:p>
    <w:p w14:paraId="1EE9B72A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数据脱敏：对展示和导出的敏感数据进行脱敏处理，例如，隐藏用户手机号、身份证号等敏感信息，防止敏感数据泄露；根据数据敏感级别，设置不同的脱敏规则，确保数据安全。</w:t>
      </w:r>
    </w:p>
    <w:p w14:paraId="2F8DDB5E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数据销毁：对于过期数据和无用数据，按照相关规定进行安全销毁，确保数据不会被非法获取和利用。</w:t>
      </w:r>
    </w:p>
    <w:p w14:paraId="0CD33404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4.6.3 网络安全</w:t>
      </w:r>
      <w:bookmarkEnd w:id="25"/>
    </w:p>
    <w:p w14:paraId="725A29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网络安全是系统安全的基础，主要从网络隔离、防火墙防护、入侵检测等方面构建防护体系：</w:t>
      </w:r>
    </w:p>
    <w:p w14:paraId="0BE8B3BB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网络隔离：系统部署在福州烟草内部局域网，与外部网络进行隔离，防止外部非法访问；内部网络按照业务需求进行分区，不同分区之间进行访问控制，确保网络安全。</w:t>
      </w:r>
    </w:p>
    <w:p w14:paraId="2C9818BB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防火墙防护：部署国产防火墙，设置严格的访问控制策略，禁止非法IP和端口访问系统，过滤恶意网络请求，防范网络攻击。</w:t>
      </w:r>
    </w:p>
    <w:p w14:paraId="4911FA60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入侵检测：部署入侵检测系统（IDS），实时监测网络流量和系统运行状态，及时发现和报警网络攻击、非法访问等异常情况，便于运维人员及时处理。</w:t>
      </w:r>
    </w:p>
    <w:p w14:paraId="235DBB8C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网络加密：对内部网络数据传输进行加密处理，防止数据在网络传输过程中被窃取、篡改；定期对网络设备进行安全配置和加固，确保网络设备安全。</w:t>
      </w:r>
    </w:p>
    <w:p w14:paraId="552FC90D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4.6.4 运维安全</w:t>
      </w:r>
      <w:bookmarkEnd w:id="26"/>
    </w:p>
    <w:p w14:paraId="0299DF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运维安全是系统安全的重要保障，主要从运维权限控制、运维日志管理、安全审计等方面构建防护体系：</w:t>
      </w:r>
    </w:p>
    <w:p w14:paraId="494BE1A9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运维权限控制：对系统运维人员进行权限分配，采用最小权限原则，确保运维人员仅能进行自己权限范围内的运维操作；运维账号采用强密码策略，定期更换密码，防止运维账号泄露。</w:t>
      </w:r>
    </w:p>
    <w:p w14:paraId="61CA29E2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运维日志管理：记录系统运维操作日志，包括运维人员、操作时间、操作内容、操作结果等，便于运维安全审计和故障排查；日志数据定期备份，保存一定周期，确保日志数据的完整性。</w:t>
      </w:r>
    </w:p>
    <w:p w14:paraId="64B9FCCF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安全审计：定期开展系统安全审计，包括应用安全审计、数据安全审计、网络安全审计、运维安全审计等，排查安全隐患，评估系统安全状况，提出安全改进建议。</w:t>
      </w:r>
    </w:p>
    <w:p w14:paraId="6DA900D8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安全培训：定期对系统运维人员和用户进行安全培训，提升安全意识和安全操作能力，防范人为安全风险。</w:t>
      </w:r>
    </w:p>
    <w:p w14:paraId="301F07E0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4.7 云平台组件</w:t>
      </w:r>
      <w:bookmarkEnd w:id="27"/>
    </w:p>
    <w:p w14:paraId="778C81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本次项目依托福州烟草现有国产云平台部署，选用适配国产化环境的云平台组件，确保系统与云平台无缝对接，提升系统运行效率和可扩展性，云平台组件主要包括以下几类：</w:t>
      </w:r>
    </w:p>
    <w:p w14:paraId="6F2B97E9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组件：采用云平台弹性计算服务，提供可弹性扩展的计算资源，根据系统负载情况，自动调整计算资源（CPU、内存），确保系统运行流畅，同时优化资源利用率，降低资源成本；支持虚拟机部署，每台虚拟机配置满足系统运行需求，实现应用服务的独立部署和管理。</w:t>
      </w:r>
    </w:p>
    <w:p w14:paraId="68BF7FA5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组件：采用云平台对象存储服务和块存储服务，对象存储服务用于存储系统文件、图片、附件等非结构化数据，块存储服务用于存储数据库数据、系统日志等结构化数据；存储组件支持数据冗余备份、容量弹性扩展，确保数据存储安全和存储容量满足业务需求。</w:t>
      </w:r>
    </w:p>
    <w:p w14:paraId="2E233D6C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组件：采用云平台虚拟网络服务，包括虚拟交换机、虚拟路由器、负载均衡器等组件，构建系统专用虚拟网络，实现网络隔离、流量控制、负载均衡等功能；支持网络带宽弹性扩展，满足系统数据传输需求，同时保障网络安全和稳定。</w:t>
      </w:r>
    </w:p>
    <w:p w14:paraId="14F2347A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组件：采用云平台安全服务，包括防火墙、入侵检测、数据加密、安全审计等组件，与系统安全架构协同工作，构建全方位的安全防护体系；支持安全策略灵活配置，实时监测系统安全状态，及时发现和处理安全隐患。</w:t>
      </w:r>
    </w:p>
    <w:p w14:paraId="590361E6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运维管理组件：采用云平台运维管理服务，包括资源监控、日志管理、告警管理、自动化运维等组件，实现系统资源、运行状态的实时监控，日志集中管理，故障自动告警，提升运维效率，降低运维成本。</w:t>
      </w:r>
    </w:p>
    <w:p w14:paraId="4414315A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件组件：采用云平台国产中间件服务，包括应用服务器中间件、消息队列中间件、缓存中间件等，与系统技术架构适配，确保应用服务的稳定运行和高效部署；中间件组件支持弹性扩展，能够根据业务需求调整资源配置。</w:t>
      </w:r>
    </w:p>
    <w:p w14:paraId="0389AD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云平台组件均选用国产产品，适配银河麒麟V10操作系统、达梦DM8数据库等国产环境，符合烟草行业国产化建设要求；云平台组件之间协同工作，为系统运行提供稳定、高效、安全的云环境支撑，同时具备良好的可扩展性和可维护性。</w:t>
      </w:r>
    </w:p>
    <w:p w14:paraId="3243F436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4.8 资源集概况</w:t>
      </w:r>
      <w:bookmarkEnd w:id="28"/>
    </w:p>
    <w:p w14:paraId="5BA81CDD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4.8.1 登录地址</w:t>
      </w:r>
      <w:bookmarkEnd w:id="29"/>
    </w:p>
    <w:p w14:paraId="19902A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系统登录地址采用福州烟草内部局域网地址，仅允许内部用户访问，确保系统安全，具体登录地址如下：</w:t>
      </w:r>
    </w:p>
    <w:p w14:paraId="69C8B73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访问地址：http://mzgl.fz.fj-tobacco.com</w:t>
      </w:r>
    </w:p>
    <w:p w14:paraId="37FCB85C">
      <w:pPr>
        <w:spacing w:before="120" w:after="120" w:line="288" w:lineRule="auto"/>
        <w:ind w:left="0"/>
        <w:jc w:val="left"/>
        <w:rPr>
          <w:rStyle w:val="4"/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IP访问：</w:t>
      </w:r>
      <w:r>
        <w:rPr>
          <w:rFonts w:hint="eastAsia" w:ascii="Arial" w:hAnsi="Arial" w:eastAsia="等线" w:cs="Arial"/>
          <w:sz w:val="22"/>
        </w:rPr>
        <w:fldChar w:fldCharType="begin"/>
      </w:r>
      <w:r>
        <w:rPr>
          <w:rFonts w:hint="eastAsia" w:ascii="Arial" w:hAnsi="Arial" w:eastAsia="等线" w:cs="Arial"/>
          <w:sz w:val="22"/>
        </w:rPr>
        <w:instrText xml:space="preserve"> HYPERLINK "http://10.188.12.8" </w:instrText>
      </w:r>
      <w:r>
        <w:rPr>
          <w:rFonts w:hint="eastAsia" w:ascii="Arial" w:hAnsi="Arial" w:eastAsia="等线" w:cs="Arial"/>
          <w:sz w:val="22"/>
        </w:rPr>
        <w:fldChar w:fldCharType="separate"/>
      </w:r>
      <w:r>
        <w:rPr>
          <w:rStyle w:val="4"/>
          <w:rFonts w:hint="eastAsia" w:ascii="Arial" w:hAnsi="Arial" w:eastAsia="等线" w:cs="Arial"/>
          <w:sz w:val="22"/>
        </w:rPr>
        <w:t>http://10.188.12.8</w:t>
      </w:r>
      <w:r>
        <w:rPr>
          <w:rStyle w:val="4"/>
          <w:rFonts w:hint="eastAsia" w:ascii="Arial" w:hAnsi="Arial" w:eastAsia="等线" w:cs="Arial"/>
          <w:sz w:val="22"/>
        </w:rPr>
        <w:br w:type="textWrapping"/>
      </w:r>
      <w:r>
        <w:rPr>
          <w:rStyle w:val="4"/>
          <w:rFonts w:hint="eastAsia" w:ascii="Arial" w:hAnsi="Arial" w:eastAsia="等线" w:cs="Arial"/>
          <w:sz w:val="22"/>
        </w:rPr>
        <w:t>后台地址：http://mzgl.fz.fj-tobacco.com/admin/#/login</w:t>
      </w:r>
    </w:p>
    <w:p w14:paraId="4D6A44CD">
      <w:pPr>
        <w:spacing w:before="120" w:after="120" w:line="288" w:lineRule="auto"/>
        <w:ind w:left="0"/>
        <w:jc w:val="left"/>
      </w:pPr>
      <w:r>
        <w:rPr>
          <w:rStyle w:val="4"/>
          <w:rFonts w:hint="eastAsia" w:ascii="Arial" w:hAnsi="Arial" w:eastAsia="等线" w:cs="Arial"/>
          <w:sz w:val="22"/>
        </w:rPr>
        <w:t xml:space="preserve">IP访问：http://10.188.12.8/admin/#/login  </w:t>
      </w:r>
      <w:r>
        <w:rPr>
          <w:rStyle w:val="4"/>
          <w:rFonts w:hint="eastAsia"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</w:rPr>
        <w:fldChar w:fldCharType="end"/>
      </w:r>
      <w:r>
        <w:rPr>
          <w:rFonts w:ascii="Arial" w:hAnsi="Arial" w:eastAsia="等线" w:cs="Arial"/>
          <w:sz w:val="22"/>
        </w:rPr>
        <w:t>登录地址需通过指定国产浏览器访问，推荐使用360安全浏览器（国产版）、火狐浏览器（国产版），确保系统界面显示正常、操作流畅。</w:t>
      </w:r>
    </w:p>
    <w:p w14:paraId="6A1E2BFD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4.8.2 资源集账号</w:t>
      </w:r>
      <w:bookmarkEnd w:id="30"/>
    </w:p>
    <w:p w14:paraId="5AF97C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系统资源集账号采用统一身份认证账号，与福州烟草统一身份认证平台账号一致，无需单独注册，具体账号分配如下：</w:t>
      </w:r>
    </w:p>
    <w:p w14:paraId="2C9491EB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bookmarkStart w:id="31" w:name="heading_31"/>
      <w:r>
        <w:rPr>
          <w:rFonts w:hint="eastAsia" w:ascii="Arial" w:hAnsi="Arial" w:eastAsia="等线" w:cs="Arial"/>
          <w:sz w:val="22"/>
        </w:rPr>
        <w:t>账号：旧系统账号。</w:t>
      </w:r>
    </w:p>
    <w:p w14:paraId="0096E2F4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密码：初始密码为：mzw@2025#</w:t>
      </w:r>
    </w:p>
    <w:p w14:paraId="6FCA1BF3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首次登录后需按提示修改密码（8-16 位，含字母、数字、特殊字符）。</w:t>
      </w:r>
    </w:p>
    <w:p w14:paraId="6F92D16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4.8.3 资源集说明</w:t>
      </w:r>
      <w:bookmarkEnd w:id="31"/>
    </w:p>
    <w:p w14:paraId="72ED44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本次项目资源集主要包括计算资源、存储资源、网络资源、软件资源等，所有资源均部署在福州烟草内部云平台，专门用于民主管理网升级改造项目，具体说明如下：</w:t>
      </w:r>
    </w:p>
    <w:p w14:paraId="64E645FD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资源：部署4台国产x86虚拟机，其中2台作为应用服务器，1台作为主数据库服务器，1台作为备数据库服务器；应用服务器配置：CPU≥16核，内存≥32GB，硬盘≥500GB；数据库服务器配置：CPU≥24核，内存≥64GB，硬盘≥1TB，确保系统计算能力满足业务需求。</w:t>
      </w:r>
    </w:p>
    <w:p w14:paraId="030DD6F5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资源：采用云平台块存储和对象存储，块存储容量≥2TB，用于存储数据库数据、系统日志等结构化数据；对象存储容量≥1TB，用于存储系统文件、图片、附件等非结构化数据；存储资源支持弹性扩展，可根据业务需求增加存储容量。</w:t>
      </w:r>
    </w:p>
    <w:p w14:paraId="755D68C7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资源：分配专用内网IP地址段，带宽≥100Mbps，确保系统数据传输速度；部署负载均衡器，实现应用服务的负载均衡，提升系统并发处理能力；网络资源与外部网络隔离，仅允许福州烟草内部用户访问，保障网络安全。</w:t>
      </w:r>
    </w:p>
    <w:p w14:paraId="6910089E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软件资源：包括银河麒麟V10操作系统、达梦DM8数据库、东方通TongWeb中间件、Redis缓存、RocketMQ消息队列等国产软件，所有软件均已完成国产化适配和安装配置，确保系统正常运行。</w:t>
      </w:r>
    </w:p>
    <w:p w14:paraId="6AD3BA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资源集由系统管理员统一管理，定期监测资源使用情况，根据系统负载和业务需求，灵活调整资源配置，确保资源利用率最大化，同时保障系统运行稳定。</w:t>
      </w:r>
    </w:p>
    <w:p w14:paraId="16C7AE4F">
      <w:pPr>
        <w:spacing w:before="320" w:after="120" w:line="288" w:lineRule="auto"/>
        <w:ind w:left="0"/>
        <w:jc w:val="left"/>
        <w:outlineLvl w:val="1"/>
      </w:pPr>
      <w:bookmarkStart w:id="32" w:name="heading_33"/>
      <w:r>
        <w:rPr>
          <w:rFonts w:ascii="Arial" w:hAnsi="Arial" w:eastAsia="等线" w:cs="Arial"/>
          <w:b/>
          <w:sz w:val="32"/>
        </w:rPr>
        <w:t>4.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9</w:t>
      </w:r>
      <w:r>
        <w:rPr>
          <w:rFonts w:ascii="Arial" w:hAnsi="Arial" w:eastAsia="等线" w:cs="Arial"/>
          <w:b/>
          <w:sz w:val="32"/>
        </w:rPr>
        <w:t xml:space="preserve"> 发布部署</w:t>
      </w:r>
      <w:bookmarkEnd w:id="32"/>
    </w:p>
    <w:p w14:paraId="759757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本次项目发布部署采用自动化部署方式，结合云平台运维管理组件，实现系统应用的快速、高效、安全部署，确保部署过程规范、可控，减少人为操作失误，具体发布部署方案如下：</w:t>
      </w:r>
    </w:p>
    <w:p w14:paraId="545C9495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部署流程：制定标准化的发布部署流程，包括部署准备、代码打包、测试验证、正式部署、部署验证、回滚机制等环节，确保部署过程有序开展。</w:t>
      </w:r>
    </w:p>
    <w:p w14:paraId="46D9E7C3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自动化部署工具：采用国产自动化部署工具，适配国产化环境，实现代码打包、部署、测试、验证的自动化，提升部署效率；工具支持部署脚本编写和执行，可根据部署需求灵活配置部署流程。</w:t>
      </w:r>
    </w:p>
    <w:p w14:paraId="1A308068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代码打包：开发人员完成代码开发和测试后，通过代码托管平台提交代码至主分支，自动化部署工具从主分支拉取代码，进行代码打包，生成部署包（WAR包/JAR包），并对部署包进行加密处理，确保部署包安全。</w:t>
      </w:r>
    </w:p>
    <w:p w14:paraId="16895210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测试验证：部署包生成后，先部署至测试环境，进行功能测试、性能测试、安全测试，验证部署包的完整性和可用性；测试通过后，方可进行正式部署；测试不通过的，返回开发人员进行修改，重新打包测试。</w:t>
      </w:r>
    </w:p>
    <w:p w14:paraId="0DBA61E0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式部署：测试通过后，自动化部署工具将部署包部署至生产环境的应用服务器，部署过程中自动停止旧版本应用服务，启动新版本应用服务，同时更新数据库脚本，确保应用服务和数据库同步；部署过程中记录部署日志，便于部署异常排查。</w:t>
      </w:r>
    </w:p>
    <w:p w14:paraId="37F2D775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验证：部署完成后，技术支撑人员对系统进行全面验证，包括功能验证、接口验证、性能验证、安全验证等，确保系统运行正常、功能完善、接口通畅；验证通过后，发布部署完成；验证不通过的，启动回滚机制，回滚至旧版本，排查问题后重新部署。</w:t>
      </w:r>
    </w:p>
    <w:p w14:paraId="55270D75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回滚机制：建立完善的部署回滚机制，当正式部署出现异常时，自动化部署工具可快速回滚至旧版本应用服务和数据库状态，确保业务连续性；回滚过程中记录回滚日志，便于问题排查和分析。</w:t>
      </w:r>
    </w:p>
    <w:p w14:paraId="1DF8E3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部署由技术支撑人员负责执行，部署前制定部署计划，明确部署时间、部署内容、责任人、应急预案等；部署过程中严格按照部署流程执行，确保部署安全、高效；部署完成后及时进行验证，确保系统正常运行。</w:t>
      </w:r>
    </w:p>
    <w:p w14:paraId="0125D640">
      <w:pPr>
        <w:spacing w:before="320" w:after="120" w:line="288" w:lineRule="auto"/>
        <w:ind w:left="0"/>
        <w:jc w:val="left"/>
        <w:outlineLvl w:val="1"/>
      </w:pPr>
      <w:bookmarkStart w:id="33" w:name="heading_34"/>
      <w:r>
        <w:rPr>
          <w:rFonts w:ascii="Arial" w:hAnsi="Arial" w:eastAsia="等线" w:cs="Arial"/>
          <w:b/>
          <w:sz w:val="32"/>
        </w:rPr>
        <w:t>4.1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0</w:t>
      </w:r>
      <w:r>
        <w:rPr>
          <w:rFonts w:ascii="Arial" w:hAnsi="Arial" w:eastAsia="等线" w:cs="Arial"/>
          <w:b/>
          <w:sz w:val="32"/>
        </w:rPr>
        <w:t xml:space="preserve"> 部署准备</w:t>
      </w:r>
      <w:bookmarkEnd w:id="33"/>
    </w:p>
    <w:p w14:paraId="76228A61">
      <w:pPr>
        <w:spacing w:before="300" w:after="120" w:line="288" w:lineRule="auto"/>
        <w:ind w:left="0"/>
        <w:jc w:val="left"/>
        <w:outlineLvl w:val="2"/>
      </w:pPr>
      <w:bookmarkStart w:id="34" w:name="heading_35"/>
      <w:r>
        <w:rPr>
          <w:rFonts w:ascii="Arial" w:hAnsi="Arial" w:eastAsia="等线" w:cs="Arial"/>
          <w:b/>
          <w:sz w:val="30"/>
        </w:rPr>
        <w:t>4.1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0</w:t>
      </w:r>
      <w:r>
        <w:rPr>
          <w:rFonts w:ascii="Arial" w:hAnsi="Arial" w:eastAsia="等线" w:cs="Arial"/>
          <w:b/>
          <w:sz w:val="30"/>
        </w:rPr>
        <w:t>.1 镜像仓库配置</w:t>
      </w:r>
      <w:bookmarkEnd w:id="34"/>
    </w:p>
    <w:p w14:paraId="04BDB1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镜像仓库用于存储系统应用镜像、数据库镜像、中间件镜像等，为系统发布部署提供镜像支撑，本次项目采用国产镜像仓库（如Harbor国产版），部署在福州烟草内部云平台，具体配置如下：</w:t>
      </w:r>
    </w:p>
    <w:p w14:paraId="468DC960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镜像仓库部署：在云平台虚拟机上部署Harbor国产版镜像仓库，配置CPU≥8核，内存≥16GB，硬盘≥500GB，确保镜像仓库运行稳定；镜像仓库采用HTTPS协议加密传输，确保镜像传输安全。</w:t>
      </w:r>
    </w:p>
    <w:p w14:paraId="4E8CB0AC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仓库权限配置：设置镜像仓库访问权限，仅授权技术支撑人员和部署人员能够访问和操作镜像仓库；创建不同的仓库空间，分别存储应用镜像、数据库镜像、中间件镜像，实现镜像分类管理。</w:t>
      </w:r>
    </w:p>
    <w:p w14:paraId="314F30AD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镜像上传与管理：将系统应用镜像、达梦DM8数据库镜像、东方通TongWeb中间件镜像等上传至对应仓库空间；对镜像进行版本管理，每个镜像版本对应系统的一个发布版本，记录镜像版本信息、上传时间、上传人等，便于镜像追溯和使用；定期清理无用镜像，优化镜像仓库存储空间。</w:t>
      </w:r>
    </w:p>
    <w:p w14:paraId="004A2246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镜像拉取配置：配置自动化部署工具与镜像仓库的连接，确保自动化部署工具能够正常从镜像仓库拉取镜像进行部署；设置镜像拉取权限，仅授权自动化部署工具能够拉取对应镜像，确保镜像安全。</w:t>
      </w:r>
    </w:p>
    <w:p w14:paraId="73C5B0D0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镜像仓库备份：定期对镜像仓库进行备份，包括镜像数据、仓库配置等，备份数据存储在专用存储设备中，防止镜像仓库故障导致镜像丢失；定期对备份数据进行校验，确保备份数据的完整性和可用性。</w:t>
      </w:r>
    </w:p>
    <w:p w14:paraId="10ABF7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镜像仓库由技术支撑人员负责管理，定期监测镜像仓库运行状态，处理镜像上传、拉取过程中的异常问题，确保镜像仓库正常运行，为系统发布部署提供支撑。</w:t>
      </w:r>
    </w:p>
    <w:p w14:paraId="5656DC3C">
      <w:pPr>
        <w:spacing w:before="300" w:after="120" w:line="288" w:lineRule="auto"/>
        <w:ind w:left="0"/>
        <w:jc w:val="left"/>
        <w:outlineLvl w:val="2"/>
      </w:pPr>
      <w:bookmarkStart w:id="35" w:name="heading_36"/>
      <w:r>
        <w:rPr>
          <w:rFonts w:ascii="Arial" w:hAnsi="Arial" w:eastAsia="等线" w:cs="Arial"/>
          <w:b/>
          <w:sz w:val="30"/>
        </w:rPr>
        <w:t>4.1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0</w:t>
      </w:r>
      <w:r>
        <w:rPr>
          <w:rFonts w:ascii="Arial" w:hAnsi="Arial" w:eastAsia="等线" w:cs="Arial"/>
          <w:b/>
          <w:sz w:val="30"/>
        </w:rPr>
        <w:t>.2 集群管理</w:t>
      </w:r>
      <w:bookmarkEnd w:id="35"/>
    </w:p>
    <w:p w14:paraId="186B0E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本次项目采用集群部署方式，包括应用服务器集群、数据库集群，通过集群管理实现负载均衡、故障自动切换、资源动态调整等功能，确保系统高可用、运行稳定，具体集群管理配置如下：</w:t>
      </w:r>
    </w:p>
    <w:p w14:paraId="43B6CE55">
      <w:pPr>
        <w:spacing w:before="260" w:after="120" w:line="288" w:lineRule="auto"/>
        <w:ind w:left="0"/>
        <w:jc w:val="left"/>
        <w:outlineLvl w:val="3"/>
      </w:pPr>
      <w:bookmarkStart w:id="36" w:name="heading_37"/>
      <w:r>
        <w:rPr>
          <w:rFonts w:ascii="Arial" w:hAnsi="Arial" w:eastAsia="等线" w:cs="Arial"/>
          <w:b/>
          <w:sz w:val="28"/>
        </w:rPr>
        <w:t>4.1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0</w:t>
      </w:r>
      <w:r>
        <w:rPr>
          <w:rFonts w:ascii="Arial" w:hAnsi="Arial" w:eastAsia="等线" w:cs="Arial"/>
          <w:b/>
          <w:sz w:val="28"/>
        </w:rPr>
        <w:t>.2.1 应用服务器集群管理</w:t>
      </w:r>
      <w:bookmarkEnd w:id="36"/>
    </w:p>
    <w:p w14:paraId="75E224E0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集群部署：部署2台应用服务器组成应用服务器集群，均部署东方通TongWeb中间件和系统应用服务，集群采用主从架构，主服务器负责处理用户请求，从服务器实时同步主服务器的应用状态，作为备用服务器。</w:t>
      </w:r>
    </w:p>
    <w:p w14:paraId="1E25D5B2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载均衡配置：部署国产负载均衡器，配置负载均衡策略（如轮询策略、权重策略），将用户请求均匀分发至集群中的应用服务器，实现负载均衡，提升系统并发处理能力；负载均衡器实时监测应用服务器运行状态，当某台服务器出现故障时，自动将请求分发至其他正常服务器，实现故障自动切换。</w:t>
      </w:r>
    </w:p>
    <w:p w14:paraId="7D1DFDDA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群监控：通过云平台运维管理组件，实时监测应用服务器集群的运行状态，包括CPU使用率、内存使用率、磁盘使用率、网络流量、应用服务运行状态等；设置监控阈值，当指标超过阈值时，自动触发告警，通知技术支撑人员及时处理。</w:t>
      </w:r>
    </w:p>
    <w:p w14:paraId="23AB04AE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集群扩容与缩容：根据系统负载情况，灵活调整应用服务器集群规模；当系统并发量增加时，新增应用服务器节点加入集群，实现集群扩容；当系统负载降低时，减少集群节点，实现集群缩容，优化资源利用率。</w:t>
      </w:r>
    </w:p>
    <w:p w14:paraId="460FF1A3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群配置同步：实现集群中各应用服务器的配置同步，包括中间件配置、应用服务配置等，确保各节点配置一致，避免配置差异导致系统异常；配置变更时，先在主服务器进行配置修改，然后同步至集群中其他节点。</w:t>
      </w:r>
    </w:p>
    <w:p w14:paraId="4E6D8E73">
      <w:pPr>
        <w:spacing w:before="260" w:after="120" w:line="288" w:lineRule="auto"/>
        <w:ind w:left="0"/>
        <w:jc w:val="left"/>
        <w:outlineLvl w:val="3"/>
      </w:pPr>
      <w:bookmarkStart w:id="37" w:name="heading_38"/>
      <w:r>
        <w:rPr>
          <w:rFonts w:ascii="Arial" w:hAnsi="Arial" w:eastAsia="等线" w:cs="Arial"/>
          <w:b/>
          <w:sz w:val="28"/>
        </w:rPr>
        <w:t>4.1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0</w:t>
      </w:r>
      <w:r>
        <w:rPr>
          <w:rFonts w:ascii="Arial" w:hAnsi="Arial" w:eastAsia="等线" w:cs="Arial"/>
          <w:b/>
          <w:sz w:val="28"/>
        </w:rPr>
        <w:t>.2.2 数据库集群管理</w:t>
      </w:r>
      <w:bookmarkEnd w:id="37"/>
    </w:p>
    <w:p w14:paraId="1CB176A4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群部署：采用达梦DM8数据库主备集群部署方式，1台作为主数据库服务器，1台作为备数据库服务器，主备数据库实时同步数据，确保数据一致性；主数据库负责数据的读写操作，备数据库仅负责数据的读取操作，当主数据库出现故障时，自动切换至备数据库，实现数据库高可用。</w:t>
      </w:r>
    </w:p>
    <w:p w14:paraId="5CBB8D5F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同步配置：配置达梦DM8数据库主备同步机制，采用实时同步方式，主数据库的数据变更实时同步至备数据库，确保主备数据库数据一致；同步过程中记录同步日志，便于同步异常排查；设置同步故障告警，当同步出现异常时，及时通知技术支撑人员处理。</w:t>
      </w:r>
    </w:p>
    <w:p w14:paraId="40C5F53A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群监控：通过数据库监控工具，实时监测数据库集群的运行状态，包括数据库连接数、CPU使用率、内存使用率、磁盘使用率、数据同步状态等；设置监控阈值，当指标超过阈值时，自动触发告警，通知技术支撑人员及时处理。</w:t>
      </w:r>
    </w:p>
    <w:p w14:paraId="3FA7AFF8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切换：建立数据库集群故障自动切换机制，当主数据库出现故障（如宕机、崩溃）时，系统自动检测故障，将备数据库切换为主数据库，继续提供数据服务，确保业务连续性；故障切换过程中记录切换日志，便于故障排查和分析。</w:t>
      </w:r>
    </w:p>
    <w:p w14:paraId="612A65D4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集群维护：定期对数据库集群进行维护，包括数据库备份、索引优化、日志清理、性能调优等，确保数据库集群运行稳定、性能良好；定期对主</w:t>
      </w:r>
    </w:p>
    <w:p w14:paraId="024B991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CB71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9B2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">
    <w:nsid w:val="9D7EB8E6"/>
    <w:multiLevelType w:val="singleLevel"/>
    <w:tmpl w:val="9D7EB8E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9DFC6F65"/>
    <w:multiLevelType w:val="singleLevel"/>
    <w:tmpl w:val="9DFC6F6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9F81B9F9"/>
    <w:multiLevelType w:val="singleLevel"/>
    <w:tmpl w:val="9F81B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A0F05207"/>
    <w:multiLevelType w:val="singleLevel"/>
    <w:tmpl w:val="A0F052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AAF3F3FA"/>
    <w:multiLevelType w:val="singleLevel"/>
    <w:tmpl w:val="AAF3F3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BCECA0B4"/>
    <w:multiLevelType w:val="singleLevel"/>
    <w:tmpl w:val="BCECA0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BE8A4F4C"/>
    <w:multiLevelType w:val="singleLevel"/>
    <w:tmpl w:val="BE8A4F4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C0915F4F"/>
    <w:multiLevelType w:val="singleLevel"/>
    <w:tmpl w:val="C0915F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8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C8879AEF"/>
    <w:multiLevelType w:val="singleLevel"/>
    <w:tmpl w:val="C8879A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0">
    <w:nsid w:val="CD699D1D"/>
    <w:multiLevelType w:val="singleLevel"/>
    <w:tmpl w:val="CD699D1D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D1EB1714"/>
    <w:multiLevelType w:val="singleLevel"/>
    <w:tmpl w:val="D1EB171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D7D140E4"/>
    <w:multiLevelType w:val="singleLevel"/>
    <w:tmpl w:val="D7D140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E0294EC7"/>
    <w:multiLevelType w:val="singleLevel"/>
    <w:tmpl w:val="E0294EC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8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E43A772E"/>
    <w:multiLevelType w:val="singleLevel"/>
    <w:tmpl w:val="E43A772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E52D9448"/>
    <w:multiLevelType w:val="singleLevel"/>
    <w:tmpl w:val="E52D944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E7B27C5B"/>
    <w:multiLevelType w:val="singleLevel"/>
    <w:tmpl w:val="E7B27C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3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F4B5D9F5"/>
    <w:multiLevelType w:val="singleLevel"/>
    <w:tmpl w:val="F4B5D9F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5">
    <w:nsid w:val="F585BF25"/>
    <w:multiLevelType w:val="singleLevel"/>
    <w:tmpl w:val="F585BF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F689643B"/>
    <w:multiLevelType w:val="singleLevel"/>
    <w:tmpl w:val="F689643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7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FEC2EA36"/>
    <w:multiLevelType w:val="singleLevel"/>
    <w:tmpl w:val="FEC2EA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01836A6D"/>
    <w:multiLevelType w:val="singleLevel"/>
    <w:tmpl w:val="01836A6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03A63A41"/>
    <w:multiLevelType w:val="singleLevel"/>
    <w:tmpl w:val="03A63A4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03C240C0"/>
    <w:multiLevelType w:val="singleLevel"/>
    <w:tmpl w:val="03C240C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5">
    <w:nsid w:val="0709FD3E"/>
    <w:multiLevelType w:val="singleLevel"/>
    <w:tmpl w:val="0709FD3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0CEF100B"/>
    <w:multiLevelType w:val="singleLevel"/>
    <w:tmpl w:val="0CEF10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0DC629B0"/>
    <w:multiLevelType w:val="singleLevel"/>
    <w:tmpl w:val="0DC629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10D591E5"/>
    <w:multiLevelType w:val="singleLevel"/>
    <w:tmpl w:val="10D591E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1">
    <w:nsid w:val="10F0DB0B"/>
    <w:multiLevelType w:val="singleLevel"/>
    <w:tmpl w:val="10F0DB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2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1450273B"/>
    <w:multiLevelType w:val="singleLevel"/>
    <w:tmpl w:val="145027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18F74015"/>
    <w:multiLevelType w:val="singleLevel"/>
    <w:tmpl w:val="18F740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5">
    <w:nsid w:val="1ACDE60F"/>
    <w:multiLevelType w:val="singleLevel"/>
    <w:tmpl w:val="1ACDE60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6">
    <w:nsid w:val="1BCBBCF0"/>
    <w:multiLevelType w:val="singleLevel"/>
    <w:tmpl w:val="1BCBBCF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1C257C7B"/>
    <w:multiLevelType w:val="singleLevel"/>
    <w:tmpl w:val="1C257C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8">
    <w:nsid w:val="2007DCFD"/>
    <w:multiLevelType w:val="singleLevel"/>
    <w:tmpl w:val="2007DCF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9">
    <w:nsid w:val="21B3B1B1"/>
    <w:multiLevelType w:val="singleLevel"/>
    <w:tmpl w:val="21B3B1B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227C9188"/>
    <w:multiLevelType w:val="singleLevel"/>
    <w:tmpl w:val="227C918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1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2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4">
    <w:nsid w:val="251342A6"/>
    <w:multiLevelType w:val="singleLevel"/>
    <w:tmpl w:val="251342A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6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7">
    <w:nsid w:val="2B3F3F89"/>
    <w:multiLevelType w:val="singleLevel"/>
    <w:tmpl w:val="2B3F3F8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8">
    <w:nsid w:val="2F2D79CE"/>
    <w:multiLevelType w:val="singleLevel"/>
    <w:tmpl w:val="2F2D79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30A0AC00"/>
    <w:multiLevelType w:val="singleLevel"/>
    <w:tmpl w:val="30A0AC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0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1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32A7AF2D"/>
    <w:multiLevelType w:val="singleLevel"/>
    <w:tmpl w:val="32A7AF2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3">
    <w:nsid w:val="35E83B33"/>
    <w:multiLevelType w:val="singleLevel"/>
    <w:tmpl w:val="35E83B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4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5">
    <w:nsid w:val="3A7FBA26"/>
    <w:multiLevelType w:val="singleLevel"/>
    <w:tmpl w:val="3A7FBA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6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7">
    <w:nsid w:val="3FE315B6"/>
    <w:multiLevelType w:val="singleLevel"/>
    <w:tmpl w:val="3FE315B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8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9">
    <w:nsid w:val="40F245EA"/>
    <w:multiLevelType w:val="singleLevel"/>
    <w:tmpl w:val="40F245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0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1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2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3">
    <w:nsid w:val="4CD1E351"/>
    <w:multiLevelType w:val="singleLevel"/>
    <w:tmpl w:val="4CD1E35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4">
    <w:nsid w:val="4D4DC07F"/>
    <w:multiLevelType w:val="singleLevel"/>
    <w:tmpl w:val="4D4DC07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5">
    <w:nsid w:val="4D63189B"/>
    <w:multiLevelType w:val="singleLevel"/>
    <w:tmpl w:val="4D63189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6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7">
    <w:nsid w:val="4FB438A5"/>
    <w:multiLevelType w:val="singleLevel"/>
    <w:tmpl w:val="4FB438A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8">
    <w:nsid w:val="51C4BC33"/>
    <w:multiLevelType w:val="singleLevel"/>
    <w:tmpl w:val="51C4BC3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9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1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2">
    <w:nsid w:val="5A241D34"/>
    <w:multiLevelType w:val="singleLevel"/>
    <w:tmpl w:val="5A241D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3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4">
    <w:nsid w:val="5FFFB1A7"/>
    <w:multiLevelType w:val="singleLevel"/>
    <w:tmpl w:val="5FFFB1A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15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6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7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8">
    <w:nsid w:val="68B298F7"/>
    <w:multiLevelType w:val="singleLevel"/>
    <w:tmpl w:val="68B298F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9">
    <w:nsid w:val="6D423078"/>
    <w:multiLevelType w:val="singleLevel"/>
    <w:tmpl w:val="6D4230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0">
    <w:nsid w:val="700FDCEF"/>
    <w:multiLevelType w:val="singleLevel"/>
    <w:tmpl w:val="700FDC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1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2">
    <w:nsid w:val="74C28B35"/>
    <w:multiLevelType w:val="singleLevel"/>
    <w:tmpl w:val="74C28B3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23">
    <w:nsid w:val="77633216"/>
    <w:multiLevelType w:val="singleLevel"/>
    <w:tmpl w:val="776332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4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5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6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7">
    <w:nsid w:val="7DEC2089"/>
    <w:multiLevelType w:val="singleLevel"/>
    <w:tmpl w:val="7DEC208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59"/>
  </w:num>
  <w:num w:numId="2">
    <w:abstractNumId w:val="41"/>
  </w:num>
  <w:num w:numId="3">
    <w:abstractNumId w:val="110"/>
  </w:num>
  <w:num w:numId="4">
    <w:abstractNumId w:val="36"/>
  </w:num>
  <w:num w:numId="5">
    <w:abstractNumId w:val="28"/>
  </w:num>
  <w:num w:numId="6">
    <w:abstractNumId w:val="64"/>
  </w:num>
  <w:num w:numId="7">
    <w:abstractNumId w:val="85"/>
  </w:num>
  <w:num w:numId="8">
    <w:abstractNumId w:val="121"/>
  </w:num>
  <w:num w:numId="9">
    <w:abstractNumId w:val="61"/>
  </w:num>
  <w:num w:numId="10">
    <w:abstractNumId w:val="9"/>
  </w:num>
  <w:num w:numId="11">
    <w:abstractNumId w:val="86"/>
  </w:num>
  <w:num w:numId="12">
    <w:abstractNumId w:val="112"/>
  </w:num>
  <w:num w:numId="13">
    <w:abstractNumId w:val="39"/>
  </w:num>
  <w:num w:numId="14">
    <w:abstractNumId w:val="104"/>
  </w:num>
  <w:num w:numId="15">
    <w:abstractNumId w:val="54"/>
  </w:num>
  <w:num w:numId="16">
    <w:abstractNumId w:val="83"/>
  </w:num>
  <w:num w:numId="17">
    <w:abstractNumId w:val="46"/>
  </w:num>
  <w:num w:numId="18">
    <w:abstractNumId w:val="44"/>
  </w:num>
  <w:num w:numId="19">
    <w:abstractNumId w:val="16"/>
  </w:num>
  <w:num w:numId="20">
    <w:abstractNumId w:val="101"/>
  </w:num>
  <w:num w:numId="21">
    <w:abstractNumId w:val="115"/>
  </w:num>
  <w:num w:numId="22">
    <w:abstractNumId w:val="68"/>
  </w:num>
  <w:num w:numId="23">
    <w:abstractNumId w:val="100"/>
  </w:num>
  <w:num w:numId="24">
    <w:abstractNumId w:val="25"/>
  </w:num>
  <w:num w:numId="25">
    <w:abstractNumId w:val="126"/>
  </w:num>
  <w:num w:numId="26">
    <w:abstractNumId w:val="124"/>
  </w:num>
  <w:num w:numId="27">
    <w:abstractNumId w:val="35"/>
  </w:num>
  <w:num w:numId="28">
    <w:abstractNumId w:val="116"/>
  </w:num>
  <w:num w:numId="29">
    <w:abstractNumId w:val="10"/>
  </w:num>
  <w:num w:numId="30">
    <w:abstractNumId w:val="94"/>
  </w:num>
  <w:num w:numId="31">
    <w:abstractNumId w:val="4"/>
  </w:num>
  <w:num w:numId="32">
    <w:abstractNumId w:val="109"/>
  </w:num>
  <w:num w:numId="33">
    <w:abstractNumId w:val="127"/>
  </w:num>
  <w:num w:numId="34">
    <w:abstractNumId w:val="1"/>
  </w:num>
  <w:num w:numId="35">
    <w:abstractNumId w:val="82"/>
  </w:num>
  <w:num w:numId="36">
    <w:abstractNumId w:val="106"/>
  </w:num>
  <w:num w:numId="37">
    <w:abstractNumId w:val="57"/>
  </w:num>
  <w:num w:numId="38">
    <w:abstractNumId w:val="48"/>
  </w:num>
  <w:num w:numId="39">
    <w:abstractNumId w:val="90"/>
  </w:num>
  <w:num w:numId="40">
    <w:abstractNumId w:val="125"/>
  </w:num>
  <w:num w:numId="41">
    <w:abstractNumId w:val="31"/>
  </w:num>
  <w:num w:numId="42">
    <w:abstractNumId w:val="7"/>
  </w:num>
  <w:num w:numId="43">
    <w:abstractNumId w:val="30"/>
  </w:num>
  <w:num w:numId="44">
    <w:abstractNumId w:val="113"/>
  </w:num>
  <w:num w:numId="45">
    <w:abstractNumId w:val="3"/>
  </w:num>
  <w:num w:numId="46">
    <w:abstractNumId w:val="75"/>
  </w:num>
  <w:num w:numId="47">
    <w:abstractNumId w:val="6"/>
  </w:num>
  <w:num w:numId="48">
    <w:abstractNumId w:val="114"/>
  </w:num>
  <w:num w:numId="49">
    <w:abstractNumId w:val="122"/>
  </w:num>
  <w:num w:numId="50">
    <w:abstractNumId w:val="102"/>
  </w:num>
  <w:num w:numId="51">
    <w:abstractNumId w:val="91"/>
  </w:num>
  <w:num w:numId="52">
    <w:abstractNumId w:val="117"/>
  </w:num>
  <w:num w:numId="53">
    <w:abstractNumId w:val="65"/>
  </w:num>
  <w:num w:numId="54">
    <w:abstractNumId w:val="66"/>
  </w:num>
  <w:num w:numId="55">
    <w:abstractNumId w:val="43"/>
  </w:num>
  <w:num w:numId="56">
    <w:abstractNumId w:val="92"/>
  </w:num>
  <w:num w:numId="57">
    <w:abstractNumId w:val="77"/>
  </w:num>
  <w:num w:numId="58">
    <w:abstractNumId w:val="53"/>
  </w:num>
  <w:num w:numId="59">
    <w:abstractNumId w:val="81"/>
  </w:num>
  <w:num w:numId="60">
    <w:abstractNumId w:val="27"/>
  </w:num>
  <w:num w:numId="61">
    <w:abstractNumId w:val="98"/>
  </w:num>
  <w:num w:numId="62">
    <w:abstractNumId w:val="69"/>
  </w:num>
  <w:num w:numId="63">
    <w:abstractNumId w:val="93"/>
  </w:num>
  <w:num w:numId="64">
    <w:abstractNumId w:val="62"/>
  </w:num>
  <w:num w:numId="65">
    <w:abstractNumId w:val="37"/>
  </w:num>
  <w:num w:numId="66">
    <w:abstractNumId w:val="72"/>
  </w:num>
  <w:num w:numId="67">
    <w:abstractNumId w:val="26"/>
  </w:num>
  <w:num w:numId="68">
    <w:abstractNumId w:val="96"/>
  </w:num>
  <w:num w:numId="69">
    <w:abstractNumId w:val="22"/>
  </w:num>
  <w:num w:numId="70">
    <w:abstractNumId w:val="56"/>
  </w:num>
  <w:num w:numId="71">
    <w:abstractNumId w:val="89"/>
  </w:num>
  <w:num w:numId="72">
    <w:abstractNumId w:val="58"/>
  </w:num>
  <w:num w:numId="73">
    <w:abstractNumId w:val="74"/>
  </w:num>
  <w:num w:numId="74">
    <w:abstractNumId w:val="120"/>
  </w:num>
  <w:num w:numId="75">
    <w:abstractNumId w:val="50"/>
  </w:num>
  <w:num w:numId="76">
    <w:abstractNumId w:val="38"/>
  </w:num>
  <w:num w:numId="77">
    <w:abstractNumId w:val="21"/>
  </w:num>
  <w:num w:numId="78">
    <w:abstractNumId w:val="123"/>
  </w:num>
  <w:num w:numId="79">
    <w:abstractNumId w:val="45"/>
  </w:num>
  <w:num w:numId="80">
    <w:abstractNumId w:val="29"/>
  </w:num>
  <w:num w:numId="81">
    <w:abstractNumId w:val="88"/>
  </w:num>
  <w:num w:numId="82">
    <w:abstractNumId w:val="52"/>
  </w:num>
  <w:num w:numId="83">
    <w:abstractNumId w:val="13"/>
  </w:num>
  <w:num w:numId="84">
    <w:abstractNumId w:val="111"/>
  </w:num>
  <w:num w:numId="85">
    <w:abstractNumId w:val="33"/>
  </w:num>
  <w:num w:numId="86">
    <w:abstractNumId w:val="24"/>
  </w:num>
  <w:num w:numId="87">
    <w:abstractNumId w:val="11"/>
  </w:num>
  <w:num w:numId="88">
    <w:abstractNumId w:val="17"/>
  </w:num>
  <w:num w:numId="89">
    <w:abstractNumId w:val="23"/>
  </w:num>
  <w:num w:numId="90">
    <w:abstractNumId w:val="8"/>
  </w:num>
  <w:num w:numId="91">
    <w:abstractNumId w:val="76"/>
  </w:num>
  <w:num w:numId="92">
    <w:abstractNumId w:val="34"/>
  </w:num>
  <w:num w:numId="93">
    <w:abstractNumId w:val="73"/>
  </w:num>
  <w:num w:numId="94">
    <w:abstractNumId w:val="42"/>
  </w:num>
  <w:num w:numId="95">
    <w:abstractNumId w:val="118"/>
  </w:num>
  <w:num w:numId="96">
    <w:abstractNumId w:val="0"/>
  </w:num>
  <w:num w:numId="97">
    <w:abstractNumId w:val="32"/>
  </w:num>
  <w:num w:numId="98">
    <w:abstractNumId w:val="55"/>
  </w:num>
  <w:num w:numId="99">
    <w:abstractNumId w:val="103"/>
  </w:num>
  <w:num w:numId="100">
    <w:abstractNumId w:val="70"/>
  </w:num>
  <w:num w:numId="101">
    <w:abstractNumId w:val="14"/>
  </w:num>
  <w:num w:numId="102">
    <w:abstractNumId w:val="47"/>
  </w:num>
  <w:num w:numId="103">
    <w:abstractNumId w:val="2"/>
  </w:num>
  <w:num w:numId="104">
    <w:abstractNumId w:val="5"/>
  </w:num>
  <w:num w:numId="105">
    <w:abstractNumId w:val="60"/>
  </w:num>
  <w:num w:numId="106">
    <w:abstractNumId w:val="20"/>
  </w:num>
  <w:num w:numId="107">
    <w:abstractNumId w:val="79"/>
  </w:num>
  <w:num w:numId="108">
    <w:abstractNumId w:val="12"/>
  </w:num>
  <w:num w:numId="109">
    <w:abstractNumId w:val="63"/>
  </w:num>
  <w:num w:numId="110">
    <w:abstractNumId w:val="19"/>
  </w:num>
  <w:num w:numId="111">
    <w:abstractNumId w:val="87"/>
  </w:num>
  <w:num w:numId="112">
    <w:abstractNumId w:val="108"/>
  </w:num>
  <w:num w:numId="113">
    <w:abstractNumId w:val="40"/>
  </w:num>
  <w:num w:numId="114">
    <w:abstractNumId w:val="15"/>
  </w:num>
  <w:num w:numId="115">
    <w:abstractNumId w:val="84"/>
  </w:num>
  <w:num w:numId="116">
    <w:abstractNumId w:val="99"/>
  </w:num>
  <w:num w:numId="117">
    <w:abstractNumId w:val="71"/>
  </w:num>
  <w:num w:numId="118">
    <w:abstractNumId w:val="105"/>
  </w:num>
  <w:num w:numId="119">
    <w:abstractNumId w:val="107"/>
  </w:num>
  <w:num w:numId="120">
    <w:abstractNumId w:val="80"/>
  </w:num>
  <w:num w:numId="121">
    <w:abstractNumId w:val="51"/>
  </w:num>
  <w:num w:numId="122">
    <w:abstractNumId w:val="18"/>
  </w:num>
  <w:num w:numId="123">
    <w:abstractNumId w:val="95"/>
  </w:num>
  <w:num w:numId="124">
    <w:abstractNumId w:val="97"/>
  </w:num>
  <w:num w:numId="125">
    <w:abstractNumId w:val="67"/>
  </w:num>
  <w:num w:numId="126">
    <w:abstractNumId w:val="119"/>
  </w:num>
  <w:num w:numId="127">
    <w:abstractNumId w:val="49"/>
  </w:num>
  <w:num w:numId="12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8E76680"/>
    <w:rsid w:val="1E637FEE"/>
    <w:rsid w:val="59031D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7078</Words>
  <Characters>7337</Characters>
  <TotalTime>7</TotalTime>
  <ScaleCrop>false</ScaleCrop>
  <LinksUpToDate>false</LinksUpToDate>
  <CharactersWithSpaces>7369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2026-03-02T08:15:00Z</dcterms:created>
  <dc:creator>Apache POI</dc:creator>
  <cp:lastModifiedBy>游泳的鱼（黄维发）</cp:lastModifiedBy>
  <dcterms:modified xsi:type="dcterms:W3CDTF">2026-03-04T01:57:46Z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eyJoZGlkIjoiMWRhZDI3YTI4MThiMTdmNGNhMWUwZGM5NDYyMWJiZDkiLCJ1c2VySWQiOiIxMDM2OTU4MjU0In0=</vt:lpwstr>
  </property>
  <property fmtid="{D5CDD505-2E9C-101B-9397-08002B2CF9AE}" pid="3" name="KSOProductBuildVer">
    <vt:lpwstr>2052-12.1.0.25225</vt:lpwstr>
  </property>
  <property fmtid="{D5CDD505-2E9C-101B-9397-08002B2CF9AE}" pid="4" name="ICV">
    <vt:lpwstr>5398FB91E61341F0B6037B2F2F9FF6D6_12</vt:lpwstr>
  </property>
</Properties>
</file>