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6CF401">
      <w:pPr>
        <w:spacing w:before="480" w:after="480" w:line="288" w:lineRule="auto"/>
        <w:ind w:left="0"/>
      </w:pPr>
      <w:r>
        <w:rPr>
          <w:rFonts w:hint="eastAsia" w:ascii="Arial" w:hAnsi="Arial" w:eastAsia="等线" w:cs="Arial"/>
          <w:b/>
          <w:sz w:val="52"/>
          <w:lang w:eastAsia="zh-CN"/>
        </w:rPr>
        <w:t>福州市局福州市公司</w:t>
      </w:r>
      <w:bookmarkStart w:id="0" w:name="_GoBack"/>
      <w:bookmarkEnd w:id="0"/>
      <w:r>
        <w:rPr>
          <w:rFonts w:hint="eastAsia" w:ascii="Arial" w:hAnsi="Arial" w:eastAsia="等线" w:cs="Arial"/>
          <w:b/>
          <w:sz w:val="52"/>
          <w:lang w:eastAsia="zh-CN"/>
        </w:rPr>
        <w:t>民主管理网升级改造项目</w:t>
      </w:r>
      <w:r>
        <w:rPr>
          <w:rFonts w:ascii="Arial" w:hAnsi="Arial" w:eastAsia="等线" w:cs="Arial"/>
          <w:b/>
          <w:sz w:val="52"/>
        </w:rPr>
        <w:t>系统评价表</w:t>
      </w:r>
    </w:p>
    <w:p w14:paraId="45CE0ED5">
      <w:pPr>
        <w:spacing w:before="120" w:after="120" w:line="288" w:lineRule="auto"/>
        <w:ind w:left="0"/>
        <w:jc w:val="left"/>
        <w:rPr>
          <w:rFonts w:hint="default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评价依据：</w:t>
      </w:r>
      <w:r>
        <w:rPr>
          <w:rFonts w:hint="eastAsia" w:ascii="Arial" w:hAnsi="Arial" w:eastAsia="等线" w:cs="Arial"/>
          <w:sz w:val="22"/>
          <w:lang w:val="en-US" w:eastAsia="zh-CN"/>
        </w:rPr>
        <w:t xml:space="preserve">                                                评价日期：2025年8月14日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2E8F3AB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3FBE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评价维度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A9C2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评价指标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71FF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评价标准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EE74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实际达成情况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8176F6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备注</w:t>
            </w:r>
          </w:p>
        </w:tc>
      </w:tr>
      <w:tr w14:paraId="388AA3A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FE75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建设目标达成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FA74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功能完善目标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C664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优化现有功能，新增必要业务模块，实现办事公开、民主管理等核心业务全覆盖，简化操作流程，提升业务办理效率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1EB9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已优化原有系统功能，新增法规资源、主题教育等模块，实现核心业务全覆盖，操作流程简化，提升了办公效率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9B6909">
            <w:pPr>
              <w:spacing w:before="120" w:after="120" w:line="288" w:lineRule="auto"/>
              <w:ind w:left="0"/>
              <w:jc w:val="left"/>
            </w:pPr>
          </w:p>
        </w:tc>
      </w:tr>
      <w:tr w14:paraId="4753BD6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23DDC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F40F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国产化适配目标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4111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全面适配银河麒麟V10、达梦DM8、东方通TongWeb等国产软硬件环境，运行稳定、兼容良好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4401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已完成全部国产软硬件适配，系统在银河麒麟V10环境下运行稳定，与达梦DM8、东方通TongWeb兼容良好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88CEC6">
            <w:pPr>
              <w:spacing w:before="120" w:after="120" w:line="288" w:lineRule="auto"/>
              <w:ind w:left="0"/>
              <w:jc w:val="left"/>
            </w:pPr>
          </w:p>
        </w:tc>
      </w:tr>
      <w:tr w14:paraId="62EE43D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A2D8D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4F45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用户体验目标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0272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界面布局优化，操作逻辑简洁，导航清晰，用户学习成本低，使用满意度高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B5FB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采用响应式界面设计，导航清晰，操作逻辑简化，经简单培训后各岗位用户可独立操作，提升了用户满意度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7F201F">
            <w:pPr>
              <w:spacing w:before="120" w:after="120" w:line="288" w:lineRule="auto"/>
              <w:ind w:left="0"/>
              <w:jc w:val="left"/>
            </w:pPr>
          </w:p>
        </w:tc>
      </w:tr>
      <w:tr w14:paraId="7B15A40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DF504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6296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数据互通目标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5B5E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实现与OA、财务、人事、统一身份认证平台接口对接，数据实时同步、信息共享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3277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已完成与各外围系统接口对接，实现用户、公告等数据实时同步，达成信息共享，避免重复录入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B6D9AC">
            <w:pPr>
              <w:spacing w:before="120" w:after="120" w:line="288" w:lineRule="auto"/>
              <w:ind w:left="0"/>
              <w:jc w:val="left"/>
            </w:pPr>
          </w:p>
        </w:tc>
      </w:tr>
      <w:tr w14:paraId="7654A75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75C7D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B6E7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安全保障目标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0888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构建完善安全防护体系，强化权限管理、数据加密等功能，防范各类安全风险，符合行业规范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80F6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已构建全方位安全防护体系，实现身份认证、权限控制等功能，符合烟草行业信息安全管理规范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627A0D">
            <w:pPr>
              <w:spacing w:before="120" w:after="120" w:line="288" w:lineRule="auto"/>
              <w:ind w:left="0"/>
              <w:jc w:val="left"/>
            </w:pPr>
          </w:p>
        </w:tc>
      </w:tr>
      <w:tr w14:paraId="7197B1C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677F0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9E51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稳定运行目标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7792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系统并发处理能力强，无故障运行时间长，高峰时段运行流畅，无重大异常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7611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采用主备部署+负载均衡，并发处理能力达标，无重大崩溃、卡顿现象，运行稳定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8803E1">
            <w:pPr>
              <w:spacing w:before="120" w:after="120" w:line="288" w:lineRule="auto"/>
              <w:ind w:left="0"/>
              <w:jc w:val="left"/>
            </w:pPr>
          </w:p>
        </w:tc>
      </w:tr>
      <w:tr w14:paraId="006685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4CE6A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FE8B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可扩展性目标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A603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系统设计具备良好可扩展性，可灵活新增功能、调整流程，适配未来业务发展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CC18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采用分层架构+微服务理念，预留接口和拓展空间，可根据业务需求灵活新增功能、调整流程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C260FB">
            <w:pPr>
              <w:spacing w:before="120" w:after="120" w:line="288" w:lineRule="auto"/>
              <w:ind w:left="0"/>
              <w:jc w:val="left"/>
            </w:pPr>
          </w:p>
        </w:tc>
      </w:tr>
      <w:tr w14:paraId="277CE51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0C32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技术架构实现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54F1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应用架构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2D96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采用四层架构，各层职责清晰、高内聚低耦合，便于维护和扩展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1948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已实现前端展示层-应用服务层-数据服务层-基础设施层四层架构，各层协同高效，便于维护扩展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2E6E1C">
            <w:pPr>
              <w:spacing w:before="120" w:after="120" w:line="288" w:lineRule="auto"/>
              <w:ind w:left="0"/>
              <w:jc w:val="left"/>
            </w:pPr>
          </w:p>
        </w:tc>
      </w:tr>
      <w:tr w14:paraId="46A3031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B1EF0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691C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数据架构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2050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数据分类合理，模型设计规范，数据流转清晰，备份恢复机制完善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C56A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数据分类明确，数据模型规范，流转流程顺畅，已建立完善的数据备份与恢复机制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539975">
            <w:pPr>
              <w:spacing w:before="120" w:after="120" w:line="288" w:lineRule="auto"/>
              <w:ind w:left="0"/>
              <w:jc w:val="left"/>
            </w:pPr>
          </w:p>
        </w:tc>
      </w:tr>
      <w:tr w14:paraId="254D1C8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DBDE6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9047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部署架构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D0DE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采用主备部署+负载均衡，部署拓扑清晰，高可用、可扩展、易维护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2932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已完成分层部署，实现负载均衡和主备切换，部署架构清晰，满足高可用、可扩展要求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D5D94E">
            <w:pPr>
              <w:spacing w:before="120" w:after="120" w:line="288" w:lineRule="auto"/>
              <w:ind w:left="0"/>
              <w:jc w:val="left"/>
            </w:pPr>
          </w:p>
        </w:tc>
      </w:tr>
      <w:tr w14:paraId="02BD2C1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63049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632D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安全架构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4F5E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覆盖应用、数据、网络、运维全维度安全，防护措施到位，符合行业安全规范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F231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已构建纵深防御体系，覆盖应用、数据、网络、运维全维度，安全防护措施完善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41B799">
            <w:pPr>
              <w:spacing w:before="120" w:after="120" w:line="288" w:lineRule="auto"/>
              <w:ind w:left="0"/>
              <w:jc w:val="left"/>
            </w:pPr>
          </w:p>
        </w:tc>
      </w:tr>
      <w:tr w14:paraId="05DCBD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1F67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系统运行性能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C35A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并发处理能力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A93C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满足福州烟草各部门用户同时在线操作需求，高峰时段响应及时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A7DB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可支持多部门用户同时在线操作，高峰时段响应流畅，无卡顿现象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BB5CA4">
            <w:pPr>
              <w:spacing w:before="120" w:after="120" w:line="288" w:lineRule="auto"/>
              <w:ind w:left="0"/>
              <w:jc w:val="left"/>
            </w:pPr>
          </w:p>
        </w:tc>
      </w:tr>
      <w:tr w14:paraId="21970E0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11CF0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97F7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响应速度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F056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页面加载、数据查询、业务操作响应时间短，用户体验良好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F812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页面加载、数据查询等操作响应及时，满足用户日常办公效率需求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84DBC2">
            <w:pPr>
              <w:spacing w:before="120" w:after="120" w:line="288" w:lineRule="auto"/>
              <w:ind w:left="0"/>
              <w:jc w:val="left"/>
            </w:pPr>
          </w:p>
        </w:tc>
      </w:tr>
      <w:tr w14:paraId="413525A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300BA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8EFC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稳定性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FB02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无重大故障，故障发生率低，故障恢复及时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E067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系统运行稳定，无重大故障，轻微故障可快速排查恢复，保障业务连续性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EB095D">
            <w:pPr>
              <w:spacing w:before="120" w:after="120" w:line="288" w:lineRule="auto"/>
              <w:ind w:left="0"/>
              <w:jc w:val="left"/>
            </w:pPr>
          </w:p>
        </w:tc>
      </w:tr>
      <w:tr w14:paraId="0B78042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AD0FC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7110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兼容性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F75F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适配指定国产浏览器，与国产软硬件环境兼容良好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8E1B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适配360安全浏览器（国产版）、火狐浏览器（国产版），与国产软硬件兼容无异常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40E80B">
            <w:pPr>
              <w:spacing w:before="120" w:after="120" w:line="288" w:lineRule="auto"/>
              <w:ind w:left="0"/>
              <w:jc w:val="left"/>
            </w:pPr>
          </w:p>
        </w:tc>
      </w:tr>
      <w:tr w14:paraId="338B030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F638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运维管理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E34E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监控告警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D322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具备完善的监控体系，可实时监测系统运行状态，异常情况及时告警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943C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已部署监控组件，可实时监测资源使用、系统运行状态，异常时自动触发告警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A67ECF">
            <w:pPr>
              <w:spacing w:before="120" w:after="120" w:line="288" w:lineRule="auto"/>
              <w:ind w:left="0"/>
              <w:jc w:val="left"/>
            </w:pPr>
          </w:p>
        </w:tc>
      </w:tr>
      <w:tr w14:paraId="1ABC95B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CD062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8C8D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日志管理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642B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日志记录完整，涵盖操作、运行、安全等日志，便于故障排查和审计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CD22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已实现用户操作、系统运行、接口调用等日志的完整记录，便于故障排查和安全审计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A681B8">
            <w:pPr>
              <w:spacing w:before="120" w:after="120" w:line="288" w:lineRule="auto"/>
              <w:ind w:left="0"/>
              <w:jc w:val="left"/>
            </w:pPr>
          </w:p>
        </w:tc>
      </w:tr>
      <w:tr w14:paraId="121CD52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51000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7C0E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自动化运维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5DF0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具备自动化部署、故障自动切换等功能，运维效率高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C560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已实现自动化部署，具备故障自动切换能力，有效提升运维效率，降低运维成本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C1FBC6">
            <w:pPr>
              <w:spacing w:before="120" w:after="120" w:line="288" w:lineRule="auto"/>
              <w:ind w:left="0"/>
              <w:jc w:val="left"/>
            </w:pPr>
          </w:p>
        </w:tc>
      </w:tr>
      <w:tr w14:paraId="100D103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E25C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合规性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5215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行业规范符合性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82DC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符合烟草行业数字化建设、国产化适配、信息安全等相关规范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E512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系统建设、技术选型、安全防护等均符合烟草行业相关规范要求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FF5DDD">
            <w:pPr>
              <w:spacing w:before="120" w:after="120" w:line="288" w:lineRule="auto"/>
              <w:ind w:left="0"/>
              <w:jc w:val="left"/>
            </w:pPr>
          </w:p>
        </w:tc>
      </w:tr>
      <w:tr w14:paraId="50F2AF5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B5E6B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9843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企业管理要求符合性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525A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符合福州烟草内部民主管理、办事公开等相关管理规定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8B43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系统功能贴合福州烟草内部管理需求，符合民主管理、办事公开等相关规定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B148B8">
            <w:pPr>
              <w:spacing w:before="120" w:after="120" w:line="288" w:lineRule="auto"/>
              <w:ind w:left="0"/>
              <w:jc w:val="left"/>
            </w:pPr>
          </w:p>
        </w:tc>
      </w:tr>
      <w:tr w14:paraId="7BD5215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44" w:hRule="atLeast"/>
        </w:trPr>
        <w:tc>
          <w:tcPr>
            <w:tcW w:w="330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AF1264">
            <w:pPr>
              <w:spacing w:before="120" w:after="120" w:line="480" w:lineRule="auto"/>
              <w:ind w:left="0"/>
              <w:jc w:val="center"/>
              <w:rPr>
                <w:rFonts w:ascii="Arial" w:hAnsi="Arial" w:eastAsia="等线" w:cs="Arial"/>
                <w:sz w:val="22"/>
              </w:rPr>
            </w:pPr>
          </w:p>
          <w:p w14:paraId="7DACD8EB">
            <w:pPr>
              <w:spacing w:before="120" w:after="120" w:line="240" w:lineRule="auto"/>
              <w:ind w:left="0" w:firstLine="1100" w:firstLineChars="500"/>
              <w:jc w:val="both"/>
            </w:pPr>
            <w:r>
              <w:rPr>
                <w:rFonts w:ascii="Arial" w:hAnsi="Arial" w:eastAsia="等线" w:cs="Arial"/>
                <w:sz w:val="22"/>
              </w:rPr>
              <w:t>综合评价</w:t>
            </w:r>
          </w:p>
        </w:tc>
        <w:tc>
          <w:tcPr>
            <w:tcW w:w="4950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3AD1AE">
            <w:pPr>
              <w:spacing w:before="120" w:after="120" w:line="288" w:lineRule="auto"/>
              <w:ind w:left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整体通过评价，符合项目终验标准。</w:t>
            </w:r>
          </w:p>
        </w:tc>
      </w:tr>
    </w:tbl>
    <w:p w14:paraId="2A33F8C7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评价人签字：</w:t>
      </w:r>
    </w:p>
    <w:p w14:paraId="60B9BEE7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2E6C6295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C1B532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80475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3063E72"/>
    <w:rsid w:val="4AEE37A8"/>
    <w:rsid w:val="504C284B"/>
    <w:rsid w:val="612F7E4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1547</Words>
  <Characters>1570</Characters>
  <TotalTime>3</TotalTime>
  <ScaleCrop>false</ScaleCrop>
  <LinksUpToDate>false</LinksUpToDate>
  <CharactersWithSpaces>1570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2026-03-02T08:34:00Z</dcterms:created>
  <dc:creator>Apache POI</dc:creator>
  <cp:lastModifiedBy>游泳的鱼（黄维发）</cp:lastModifiedBy>
  <dcterms:modified xsi:type="dcterms:W3CDTF">2026-03-04T02:06:11Z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eyJoZGlkIjoiMWRhZDI3YTI4MThiMTdmNGNhMWUwZGM5NDYyMWJiZDkiLCJ1c2VySWQiOiIxMDM2OTU4MjU0In0=</vt:lpwstr>
  </property>
  <property fmtid="{D5CDD505-2E9C-101B-9397-08002B2CF9AE}" pid="3" name="KSOProductBuildVer">
    <vt:lpwstr>2052-12.1.0.25225</vt:lpwstr>
  </property>
  <property fmtid="{D5CDD505-2E9C-101B-9397-08002B2CF9AE}" pid="4" name="ICV">
    <vt:lpwstr>8CE3A7B136DB4A4D96CFBDC4F627B9E3_12</vt:lpwstr>
  </property>
</Properties>
</file>