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【模拟资料】4.业务流程图</w:t>
      </w:r>
    </w:p>
    <w:p>
      <w:pPr>
        <w:pStyle w:val="Heading1"/>
      </w:pPr>
      <w:r>
        <w:t>业务流程说明（配合流程图使用）</w:t>
      </w:r>
    </w:p>
    <w:p>
      <w:pPr>
        <w:pStyle w:val="Quote"/>
      </w:pPr>
      <w:r>
        <w:t xml:space="preserve">流程图文件（Visio、PNG、PDF 等）请放在同一阶段目录；本文用于文字说明 </w:t>
      </w:r>
      <w:r>
        <w:rPr>
          <w:b/>
        </w:rPr>
        <w:t>泳道、关键分支与例外处理</w:t>
      </w:r>
      <w:r>
        <w:t>。</w:t>
      </w:r>
    </w:p>
    <w:p>
      <w:pPr>
        <w:pStyle w:val="Heading2"/>
      </w:pPr>
      <w:r>
        <w:t>1. 流程名称</w:t>
      </w:r>
    </w:p>
    <w:p>
      <w:r>
        <w:t>卷烟物流配送智能排班与调度流程</w:t>
      </w:r>
    </w:p>
    <w:p>
      <w:pPr>
        <w:pStyle w:val="Heading2"/>
      </w:pPr>
      <w:r>
        <w:t>2. 参与角色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角色</w:t>
            </w:r>
          </w:p>
        </w:tc>
        <w:tc>
          <w:tcPr>
            <w:tcW w:type="dxa" w:w="4320"/>
          </w:tcPr>
          <w:p>
            <w:r/>
            <w: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t>营销系统（上游）</w:t>
            </w:r>
          </w:p>
        </w:tc>
        <w:tc>
          <w:tcPr>
            <w:tcW w:type="dxa" w:w="4320"/>
          </w:tcPr>
          <w:p>
            <w:r/>
            <w:r>
              <w:t>每日推送零售户订货清单、SKU 规格及实物量数据。</w:t>
            </w:r>
          </w:p>
        </w:tc>
      </w:tr>
      <w:tr>
        <w:tc>
          <w:tcPr>
            <w:tcW w:type="dxa" w:w="4320"/>
          </w:tcPr>
          <w:p>
            <w:r/>
            <w:r>
              <w:t>物流调度员</w:t>
            </w:r>
          </w:p>
        </w:tc>
        <w:tc>
          <w:tcPr>
            <w:tcW w:type="dxa" w:w="4320"/>
          </w:tcPr>
          <w:p>
            <w:r/>
            <w:r>
              <w:t>维护车辆/司机基础信息，对自动排班结果进行人工微调及确认。</w:t>
            </w:r>
          </w:p>
        </w:tc>
      </w:tr>
      <w:tr>
        <w:tc>
          <w:tcPr>
            <w:tcW w:type="dxa" w:w="4320"/>
          </w:tcPr>
          <w:p>
            <w:r/>
            <w:r>
              <w:t>智能算法引擎</w:t>
            </w:r>
          </w:p>
        </w:tc>
        <w:tc>
          <w:tcPr>
            <w:tcW w:type="dxa" w:w="4320"/>
          </w:tcPr>
          <w:p>
            <w:r/>
            <w:r>
              <w:t>执行 VRP 路径优化算法，生成初始排班方案。</w:t>
            </w:r>
          </w:p>
        </w:tc>
      </w:tr>
      <w:tr>
        <w:tc>
          <w:tcPr>
            <w:tcW w:type="dxa" w:w="4320"/>
          </w:tcPr>
          <w:p>
            <w:r/>
            <w:r>
              <w:t>仓储系统（下游）</w:t>
            </w:r>
          </w:p>
        </w:tc>
        <w:tc>
          <w:tcPr>
            <w:tcW w:type="dxa" w:w="4320"/>
          </w:tcPr>
          <w:p>
            <w:r/>
            <w:r>
              <w:t>接收已确认的排班指令，启动分拣线与装车位分配。</w:t>
            </w:r>
          </w:p>
        </w:tc>
      </w:tr>
    </w:tbl>
    <w:p>
      <w:pPr>
        <w:pStyle w:val="Heading2"/>
      </w:pPr>
      <w:r>
        <w:t>3. 步骤说明</w:t>
      </w:r>
    </w:p>
    <w:p>
      <w:pPr>
        <w:pStyle w:val="ListNumber"/>
      </w:pPr>
      <w:r>
        <w:rPr>
          <w:b/>
        </w:rPr>
        <w:t>开始：</w:t>
      </w:r>
      <w:r>
        <w:t xml:space="preserve"> 每日凌晨 02:00，系统自动检测营销系统当日截单后的“订货库”数据。</w:t>
      </w:r>
    </w:p>
    <w:p>
      <w:pPr>
        <w:pStyle w:val="ListNumber"/>
      </w:pPr>
      <w:r>
        <w:rPr>
          <w:b/>
        </w:rPr>
        <w:t>数据预处理：</w:t>
      </w:r>
      <w:r>
        <w:t xml:space="preserve"> 系统自动剔除地址信息异常、订单总量为零的无效记录，并按配送中心（DC）进行分区划归。</w:t>
      </w:r>
    </w:p>
    <w:p>
      <w:pPr>
        <w:pStyle w:val="ListNumber"/>
      </w:pPr>
      <w:r>
        <w:rPr>
          <w:b/>
        </w:rPr>
        <w:t>算法自动化调度（核心）：</w:t>
      </w:r>
      <w:r>
        <w:t xml:space="preserve"> * 调用 VRP 路径优化算法，综合考虑车辆额定载重（体积/重量）、送货时间窗、路网禁行限制。</w:t>
      </w:r>
    </w:p>
    <w:p>
      <w:pPr>
        <w:pStyle w:val="ListBullet"/>
      </w:pPr>
      <w:r>
        <w:t>系统输出“车辆-路线-零售户”的最优组合方案。</w:t>
      </w:r>
    </w:p>
    <w:p>
      <w:pPr>
        <w:pStyle w:val="ListNumber"/>
      </w:pPr>
      <w:r>
        <w:rPr>
          <w:b/>
        </w:rPr>
        <w:t>人工合规性审批：</w:t>
      </w:r>
      <w:r>
        <w:t xml:space="preserve"> * 调度员查看系统生成的路线图，若发现突发路况（如修路、交通管制），可手动执行“订单合并”或“跨线路调整”。</w:t>
      </w:r>
    </w:p>
    <w:p>
      <w:pPr>
        <w:pStyle w:val="ListBullet"/>
      </w:pPr>
      <w:r>
        <w:rPr>
          <w:b/>
        </w:rPr>
        <w:t>通过</w:t>
      </w:r>
      <w:r>
        <w:t>：点击“下发指令”，数据流向仓储 WMS。</w:t>
      </w:r>
    </w:p>
    <w:p>
      <w:pPr>
        <w:pStyle w:val="ListBullet"/>
      </w:pPr>
      <w:r>
        <w:rPr>
          <w:b/>
        </w:rPr>
        <w:t>退回</w:t>
      </w:r>
      <w:r>
        <w:t>：重新设定约束条件，触发算法二次计算。</w:t>
      </w:r>
    </w:p>
    <w:p>
      <w:pPr>
        <w:pStyle w:val="ListNumber"/>
      </w:pPr>
      <w:r>
        <w:rPr>
          <w:b/>
        </w:rPr>
        <w:t>结束：</w:t>
      </w:r>
      <w:r>
        <w:t xml:space="preserve"> 系统生成《装车清单》与《送货路径图》，通过 API 同步至分拣控制系统。</w:t>
      </w:r>
    </w:p>
    <w:p>
      <w:pPr>
        <w:pStyle w:val="Heading2"/>
      </w:pPr>
      <w:r>
        <w:t>4. 例外场景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场景</w:t>
            </w:r>
          </w:p>
        </w:tc>
        <w:tc>
          <w:tcPr>
            <w:tcW w:type="dxa" w:w="4320"/>
          </w:tcPr>
          <w:p>
            <w:r/>
            <w: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算法无解（超出运力）</w:t>
            </w:r>
          </w:p>
        </w:tc>
        <w:tc>
          <w:tcPr>
            <w:tcW w:type="dxa" w:w="4320"/>
          </w:tcPr>
          <w:p>
            <w:r/>
            <w:r>
              <w:t>系统自动触发“运力缺口预警”，提示调度员调拨第三方社会物流车辆，或启用应急预备车队。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GIS 地图偏移</w:t>
            </w:r>
          </w:p>
        </w:tc>
        <w:tc>
          <w:tcPr>
            <w:tcW w:type="dxa" w:w="4320"/>
          </w:tcPr>
          <w:p>
            <w:r/>
            <w:r>
              <w:t>若定位点与实际配送点偏差 &gt; 500m，调度员需手动在地图上“重锚定”，并将位置信息回传至零售户基础数据库。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网络通信中断</w:t>
            </w:r>
          </w:p>
        </w:tc>
        <w:tc>
          <w:tcPr>
            <w:tcW w:type="dxa" w:w="4320"/>
          </w:tcPr>
          <w:p>
            <w:r/>
            <w:r>
              <w:t>平台启用“本地备份模式”，支持调度员上传离线 CSV 格式订货清单进行半自动排班。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临时订单追加</w:t>
            </w:r>
          </w:p>
        </w:tc>
        <w:tc>
          <w:tcPr>
            <w:tcW w:type="dxa" w:w="4320"/>
          </w:tcPr>
          <w:p>
            <w:r/>
            <w:r>
              <w:t>仅限特定级别订单（如战略客户补货），系统支持动态插单，实时刷新受影响路线的剩余载重。</w:t>
            </w:r>
          </w:p>
        </w:tc>
      </w:tr>
    </w:tbl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规则编号：r04 材料说明： 客户单位：测试市局 项目名称：知识库验收Mock2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