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【模拟资料】3.需求规格说明书/功能清单（二选一）</w:t>
      </w:r>
    </w:p>
    <w:p>
      <w:pPr>
        <w:pStyle w:val="Heading1"/>
      </w:pPr>
      <w:r>
        <w:t>需求规格说明书（节选范例）</w:t>
      </w:r>
    </w:p>
    <w:p>
      <w:pPr>
        <w:pStyle w:val="Quote"/>
      </w:pPr>
      <w:r>
        <w:t>若实际上交为《功能清单》，可将下列「需求条目」改为「功能编号 + 名称 + 说明」表格。</w:t>
      </w:r>
    </w:p>
    <w:p>
      <w:pPr>
        <w:pStyle w:val="Heading2"/>
      </w:pPr>
      <w:r>
        <w:t>1. 引言</w:t>
      </w:r>
    </w:p>
    <w:p>
      <w:pPr>
        <w:pStyle w:val="Heading3"/>
      </w:pPr>
      <w:r>
        <w:t>1.1 目的</w:t>
      </w:r>
    </w:p>
    <w:p>
      <w:r>
        <w:t>本文档定义“省局数智物流一体化调度平台”的功能与非功能需求，旨在明确全省物流资源配置、车辆调度算法及库存监控的业务规则，作为系统设计、开发、测试和验收的依据。</w:t>
      </w:r>
    </w:p>
    <w:p>
      <w:pPr>
        <w:pStyle w:val="Heading3"/>
      </w:pPr>
      <w:r>
        <w:t>1.2 范围</w:t>
      </w:r>
    </w:p>
    <w:p>
      <w:r>
        <w:rPr>
          <w:b/>
        </w:rPr>
        <w:t>本期包含：</w:t>
      </w:r>
    </w:p>
    <w:p>
      <w:pPr>
        <w:pStyle w:val="ListBullet"/>
      </w:pPr>
      <w:r>
        <w:rPr>
          <w:b/>
        </w:rPr>
        <w:t>物流总控台</w:t>
      </w:r>
      <w:r>
        <w:t>：全省库存水位监控、调拨计划生成模块。</w:t>
      </w:r>
    </w:p>
    <w:p>
      <w:pPr>
        <w:pStyle w:val="ListBullet"/>
      </w:pPr>
      <w:r>
        <w:rPr>
          <w:b/>
        </w:rPr>
        <w:t>智能调度子系统</w:t>
      </w:r>
      <w:r>
        <w:t>：基于 VRP 算法的自动排班、多点配送路线优化。</w:t>
      </w:r>
    </w:p>
    <w:p>
      <w:pPr>
        <w:pStyle w:val="ListBullet"/>
      </w:pPr>
      <w:r>
        <w:rPr>
          <w:b/>
        </w:rPr>
        <w:t>物流移动端</w:t>
      </w:r>
      <w:r>
        <w:t>：送货员（司机）APP，包含签到、路径导航、无纸化签收。</w:t>
      </w:r>
    </w:p>
    <w:p>
      <w:r>
        <w:rPr>
          <w:b/>
        </w:rPr>
        <w:t>本期不包含：</w:t>
      </w:r>
    </w:p>
    <w:p>
      <w:pPr>
        <w:pStyle w:val="ListBullet"/>
      </w:pPr>
      <w:r>
        <w:rPr>
          <w:b/>
        </w:rPr>
        <w:t>硬件自动化控制</w:t>
      </w:r>
      <w:r>
        <w:t>：分拣线 PLC 底层指令控制逻辑（由现有 WCS 系统承担，本项目仅做接口对接）。</w:t>
      </w:r>
    </w:p>
    <w:p>
      <w:pPr>
        <w:pStyle w:val="ListBullet"/>
      </w:pPr>
      <w:r>
        <w:rPr>
          <w:b/>
        </w:rPr>
        <w:t>财务结算系统</w:t>
      </w:r>
      <w:r>
        <w:t>：费用核算后的转账支付环节。</w:t>
      </w:r>
    </w:p>
    <w:p>
      <w:pPr>
        <w:pStyle w:val="Heading2"/>
      </w:pPr>
      <w:r>
        <w:t>2. 功能需求</w:t>
      </w:r>
    </w:p>
    <w:p>
      <w:pPr>
        <w:pStyle w:val="Heading3"/>
      </w:pPr>
      <w:r>
        <w:t>2.1 FR-001 统一身份认证与权限管理</w:t>
      </w:r>
    </w:p>
    <w:p>
      <w:r>
        <w:rPr>
          <w:b/>
        </w:rPr>
        <w:t>优先级：</w:t>
      </w:r>
      <w:r>
        <w:t xml:space="preserve"> 高 </w:t>
      </w:r>
      <w:r>
        <w:rPr>
          <w:b/>
        </w:rPr>
        <w:t>描述：</w:t>
      </w:r>
      <w:r>
        <w:t xml:space="preserve"> 系统需集成省局统一身份认证平台（Portal）；支持根据“省局管理岗、地市调度岗、送货员、外聘承运商”四个角色设置不同的菜单查看和按钮操作权限。 </w:t>
      </w:r>
      <w:r>
        <w:rPr>
          <w:b/>
        </w:rPr>
        <w:t>验收准则：</w:t>
      </w:r>
    </w:p>
    <w:p>
      <w:pPr>
        <w:pStyle w:val="ListNumber"/>
      </w:pPr>
      <w:r>
        <w:t>账号注销或权限变更在 5 秒内生效。</w:t>
      </w:r>
    </w:p>
    <w:p>
      <w:pPr>
        <w:pStyle w:val="ListNumber"/>
      </w:pPr>
      <w:r>
        <w:t>越权访问 URL 需自动跳转至 403 页面并记录攻击日志。</w:t>
      </w:r>
    </w:p>
    <w:p>
      <w:pPr>
        <w:pStyle w:val="Heading3"/>
      </w:pPr>
      <w:r>
        <w:t>2.2 FR-002 智能排班调度（核心流程）</w:t>
      </w:r>
    </w:p>
    <w:p>
      <w:r>
        <w:rPr>
          <w:b/>
        </w:rPr>
        <w:t>优先级：</w:t>
      </w:r>
      <w:r>
        <w:t xml:space="preserve"> 高 </w:t>
      </w:r>
      <w:r>
        <w:rPr>
          <w:b/>
        </w:rPr>
        <w:t>描述：</w:t>
      </w:r>
      <w:r>
        <w:t xml:space="preserve"> 1. </w:t>
      </w:r>
      <w:r>
        <w:rPr>
          <w:b/>
        </w:rPr>
        <w:t>数据拉取</w:t>
      </w:r>
      <w:r>
        <w:t>：每日凌晨 2:00 自动拉取营销系统的卷烟订货清单。</w:t>
      </w:r>
    </w:p>
    <w:p>
      <w:pPr>
        <w:pStyle w:val="ListNumber"/>
      </w:pPr>
      <w:r>
        <w:rPr>
          <w:b/>
        </w:rPr>
        <w:t>规则校验</w:t>
      </w:r>
      <w:r>
        <w:t>：根据车辆载重（2T/5T/8T）、配送范围限制、预计送货时长等约束条件进行自动匹配。</w:t>
      </w:r>
    </w:p>
    <w:p>
      <w:pPr>
        <w:pStyle w:val="ListNumber"/>
      </w:pPr>
      <w:r>
        <w:rPr>
          <w:b/>
        </w:rPr>
        <w:t>线路生成</w:t>
      </w:r>
      <w:r>
        <w:t>：系统自动计算最优送货顺序，并在地图上可视化展示。</w:t>
      </w:r>
    </w:p>
    <w:p>
      <w:r>
        <w:rPr>
          <w:b/>
        </w:rPr>
        <w:t>验收准则：</w:t>
      </w:r>
      <w:r>
        <w:t xml:space="preserve"> 1. 自动排班耗时需小于 10 分钟（针对单地市 5000+ 零售户规模）。</w:t>
      </w:r>
    </w:p>
    <w:p>
      <w:pPr>
        <w:pStyle w:val="ListNumber"/>
      </w:pPr>
      <w:r>
        <w:t>支持调度员进行人工微调（拖拽修改），调整后里程及预计时长需实时刷新。</w:t>
      </w:r>
    </w:p>
    <w:p>
      <w:pPr>
        <w:pStyle w:val="Heading3"/>
      </w:pPr>
      <w:r>
        <w:t>2.3 FR-003 运输过程异常预警</w:t>
      </w:r>
    </w:p>
    <w:p>
      <w:r>
        <w:rPr>
          <w:b/>
        </w:rPr>
        <w:t>优先级：</w:t>
      </w:r>
      <w:r>
        <w:t xml:space="preserve"> 中 </w:t>
      </w:r>
      <w:r>
        <w:rPr>
          <w:b/>
        </w:rPr>
        <w:t>描述：</w:t>
      </w:r>
      <w:r>
        <w:t xml:space="preserve"> 实时对比车辆 GPS 轨迹与规划线路，若偏离路径超过 500 米或在非预定点停留超过 30 分钟，系统自动向调度台推送预警。 </w:t>
      </w:r>
      <w:r>
        <w:rPr>
          <w:b/>
        </w:rPr>
        <w:t>验收准则：</w:t>
      </w:r>
      <w:r>
        <w:t xml:space="preserve"> 预警延迟不超过 2 分钟，报警信息需包含车辆编号、当前位置及异常类型。</w:t>
      </w:r>
    </w:p>
    <w:p>
      <w:pPr>
        <w:pStyle w:val="Heading2"/>
      </w:pPr>
      <w:r>
        <w:t>3.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类别</w:t>
            </w:r>
          </w:p>
        </w:tc>
        <w:tc>
          <w:tcPr>
            <w:tcW w:type="dxa" w:w="4320"/>
          </w:tcPr>
          <w:p>
            <w:r/>
            <w:r>
              <w:t>指标示例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t>核心业务时段（08:00-20:00）服务可用性 ≥ 99.9%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性能</w:t>
            </w:r>
          </w:p>
        </w:tc>
        <w:tc>
          <w:tcPr>
            <w:tcW w:type="dxa" w:w="4320"/>
          </w:tcPr>
          <w:p>
            <w:r/>
            <w:r>
              <w:t>门户首页加载时间 ≤ 2 秒；多维度物流分析报表生成时间 ≤ 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安全</w:t>
            </w:r>
          </w:p>
        </w:tc>
        <w:tc>
          <w:tcPr>
            <w:tcW w:type="dxa" w:w="4320"/>
          </w:tcPr>
          <w:p>
            <w:r/>
            <w:r>
              <w:t>敏感数据（如零售户联系方式）需脱敏展示；满足国家等级保护 2.0（三级）要求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t>移动端需适配鸿蒙 (HarmonyOS)、Android 及 iOS 主流版本</w:t>
            </w:r>
          </w:p>
        </w:tc>
      </w:tr>
    </w:tbl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规则编号：r03 材料说明：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