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【模拟资料】7.项目知识沉淀表/项目复盘表（二选一）</w:t>
      </w:r>
    </w:p>
    <w:p>
      <w:pPr>
        <w:pStyle w:val="Heading1"/>
      </w:pPr>
      <w:r>
        <w:t>项目知识沉淀 / 复盘表（范例）</w:t>
      </w:r>
    </w:p>
    <w:p>
      <w:pPr>
        <w:pStyle w:val="Quote"/>
      </w:pPr>
      <w:r>
        <w:t>用于总结经验、复用构件与规避重复踩坑；可与正式 Excel《复盘表》对应填写。</w:t>
      </w:r>
    </w:p>
    <w:p>
      <w:pPr>
        <w:pStyle w:val="Heading2"/>
      </w:pPr>
      <w:r>
        <w:t>一、项目复盘概要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项目</w:t>
            </w:r>
          </w:p>
        </w:tc>
        <w:tc>
          <w:tcPr>
            <w:tcW w:type="dxa" w:w="4320"/>
          </w:tcPr>
          <w:p>
            <w:r/>
            <w:r>
              <w:t>填写</w:t>
            </w:r>
          </w:p>
        </w:tc>
      </w:tr>
      <w:tr>
        <w:tc>
          <w:tcPr>
            <w:tcW w:type="dxa" w:w="4320"/>
          </w:tcPr>
          <w:p>
            <w:r/>
            <w:r>
              <w:t>项目全称</w:t>
            </w:r>
          </w:p>
        </w:tc>
        <w:tc>
          <w:tcPr>
            <w:tcW w:type="dxa" w:w="4320"/>
          </w:tcPr>
          <w:p>
            <w:r/>
            <w:r>
              <w:t>省级烟草商业系统“数智物流”一体化调度平台（一期）</w:t>
            </w:r>
          </w:p>
        </w:tc>
      </w:tr>
      <w:tr>
        <w:tc>
          <w:tcPr>
            <w:tcW w:type="dxa" w:w="4320"/>
          </w:tcPr>
          <w:p>
            <w:r/>
            <w:r>
              <w:t>复盘日期</w:t>
            </w:r>
          </w:p>
        </w:tc>
        <w:tc>
          <w:tcPr>
            <w:tcW w:type="dxa" w:w="4320"/>
          </w:tcPr>
          <w:p>
            <w:r/>
            <w:r>
              <w:t>2026 年 12 月 05 日</w:t>
            </w:r>
          </w:p>
        </w:tc>
      </w:tr>
      <w:tr>
        <w:tc>
          <w:tcPr>
            <w:tcW w:type="dxa" w:w="4320"/>
          </w:tcPr>
          <w:p>
            <w:r/>
            <w:r>
              <w:t>参与复盘人员</w:t>
            </w:r>
          </w:p>
        </w:tc>
        <w:tc>
          <w:tcPr>
            <w:tcW w:type="dxa" w:w="4320"/>
          </w:tcPr>
          <w:p>
            <w:r/>
            <w:r>
              <w:t>省局信息中心、省局物流处、承建单位项目组、运维团队</w:t>
            </w:r>
          </w:p>
        </w:tc>
      </w:tr>
    </w:tbl>
    <w:p>
      <w:pPr>
        <w:pStyle w:val="Heading2"/>
      </w:pPr>
      <w:r>
        <w:t>二、目标达成情况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原定目标</w:t>
            </w:r>
          </w:p>
        </w:tc>
        <w:tc>
          <w:tcPr>
            <w:tcW w:type="dxa" w:w="2880"/>
          </w:tcPr>
          <w:p>
            <w:r/>
            <w:r>
              <w:t>实际达成</w:t>
            </w:r>
          </w:p>
        </w:tc>
        <w:tc>
          <w:tcPr>
            <w:tcW w:type="dxa" w:w="2880"/>
          </w:tcPr>
          <w:p>
            <w:r/>
            <w:r>
              <w:t>偏差说明</w:t>
            </w:r>
          </w:p>
        </w:tc>
      </w:tr>
      <w:tr>
        <w:tc>
          <w:tcPr>
            <w:tcW w:type="dxa" w:w="2880"/>
          </w:tcPr>
          <w:p>
            <w:r/>
            <w:r>
              <w:t>智能排班自动生成率 &gt; 90%</w:t>
            </w:r>
          </w:p>
        </w:tc>
        <w:tc>
          <w:tcPr>
            <w:tcW w:type="dxa" w:w="2880"/>
          </w:tcPr>
          <w:p>
            <w:r/>
            <w:r>
              <w:t>实际达成 92%</w:t>
            </w:r>
          </w:p>
        </w:tc>
        <w:tc>
          <w:tcPr>
            <w:tcW w:type="dxa" w:w="2880"/>
          </w:tcPr>
          <w:p>
            <w:r/>
            <w:r>
              <w:t>算法模型适配良好，达成预期。</w:t>
            </w:r>
          </w:p>
        </w:tc>
      </w:tr>
      <w:tr>
        <w:tc>
          <w:tcPr>
            <w:tcW w:type="dxa" w:w="2880"/>
          </w:tcPr>
          <w:p>
            <w:r/>
            <w:r>
              <w:t>单箱物流成本压降 3%</w:t>
            </w:r>
          </w:p>
        </w:tc>
        <w:tc>
          <w:tcPr>
            <w:tcW w:type="dxa" w:w="2880"/>
          </w:tcPr>
          <w:p>
            <w:r/>
            <w:r>
              <w:t>实际达成 2.8%</w:t>
            </w:r>
          </w:p>
        </w:tc>
        <w:tc>
          <w:tcPr>
            <w:tcW w:type="dxa" w:w="2880"/>
          </w:tcPr>
          <w:p>
            <w:r/>
            <w:r>
              <w:t>虽基本达成，但因油价波动抵消了部分优化收益。</w:t>
            </w:r>
          </w:p>
        </w:tc>
      </w:tr>
      <w:tr>
        <w:tc>
          <w:tcPr>
            <w:tcW w:type="dxa" w:w="2880"/>
          </w:tcPr>
          <w:p>
            <w:r/>
            <w:r>
              <w:t>全省送货员 APP 覆盖率 100%</w:t>
            </w:r>
          </w:p>
        </w:tc>
        <w:tc>
          <w:tcPr>
            <w:tcW w:type="dxa" w:w="2880"/>
          </w:tcPr>
          <w:p>
            <w:r/>
            <w:r>
              <w:t>实际达成 95%</w:t>
            </w:r>
          </w:p>
        </w:tc>
        <w:tc>
          <w:tcPr>
            <w:tcW w:type="dxa" w:w="2880"/>
          </w:tcPr>
          <w:p>
            <w:r/>
            <w:r>
              <w:t>部分偏远山区因基站信号覆盖问题，仍采用纸质单据。</w:t>
            </w:r>
          </w:p>
        </w:tc>
      </w:tr>
    </w:tbl>
    <w:p>
      <w:pPr>
        <w:pStyle w:val="Heading2"/>
      </w:pPr>
      <w:r>
        <w:t>三、做得好的地方（可复用）</w:t>
      </w:r>
    </w:p>
    <w:p>
      <w:pPr>
        <w:pStyle w:val="ListNumber"/>
      </w:pPr>
      <w:r>
        <w:rPr>
          <w:b/>
        </w:rPr>
        <w:t>VRP 算法微调机制</w:t>
      </w:r>
      <w:r>
        <w:t>：开发了“算法自动生成+人工拖拽微调”的交互界面，极大地降低了调度员对系统的排斥感，该交互组件可复用到后续的“烟叶外调计划”项目中。</w:t>
      </w:r>
    </w:p>
    <w:p>
      <w:pPr>
        <w:pStyle w:val="ListNumber"/>
      </w:pPr>
      <w:r>
        <w:rPr>
          <w:b/>
        </w:rPr>
        <w:t>多源地图适配器</w:t>
      </w:r>
      <w:r>
        <w:t>：成功封装了行业内网环境下的地图代理服务，解决了内网无法直接访问互联网地图 API 的难题。</w:t>
      </w:r>
    </w:p>
    <w:p>
      <w:pPr>
        <w:pStyle w:val="ListNumber"/>
      </w:pPr>
      <w:r>
        <w:rPr>
          <w:b/>
        </w:rPr>
        <w:t>跨部门协同机制</w:t>
      </w:r>
      <w:r>
        <w:t>：项目初期由物流处挂帅、信息中心配合，确保了业务逻辑与技术实现的快速闭环。</w:t>
      </w:r>
    </w:p>
    <w:p>
      <w:pPr>
        <w:pStyle w:val="Heading2"/>
      </w:pPr>
      <w:r>
        <w:t>四、问题与教训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问题描述</w:t>
            </w:r>
          </w:p>
        </w:tc>
        <w:tc>
          <w:tcPr>
            <w:tcW w:type="dxa" w:w="2880"/>
          </w:tcPr>
          <w:p>
            <w:r/>
            <w:r>
              <w:t>原因分析</w:t>
            </w:r>
          </w:p>
        </w:tc>
        <w:tc>
          <w:tcPr>
            <w:tcW w:type="dxa" w:w="2880"/>
          </w:tcPr>
          <w:p>
            <w:r/>
            <w:r>
              <w:t>后续规避措施</w:t>
            </w:r>
          </w:p>
        </w:tc>
      </w:tr>
      <w:tr>
        <w:tc>
          <w:tcPr>
            <w:tcW w:type="dxa" w:w="2880"/>
          </w:tcPr>
          <w:p>
            <w:r/>
            <w:r>
              <w:t>营销数据拉取延迟</w:t>
            </w:r>
          </w:p>
        </w:tc>
        <w:tc>
          <w:tcPr>
            <w:tcW w:type="dxa" w:w="2880"/>
          </w:tcPr>
          <w:p>
            <w:r/>
            <w:r>
              <w:t>凌晨 02:00 为营销系统结算高峰，IO 占用过高导致同步失败。</w:t>
            </w:r>
          </w:p>
        </w:tc>
        <w:tc>
          <w:tcPr>
            <w:tcW w:type="dxa" w:w="2880"/>
          </w:tcPr>
          <w:p>
            <w:r/>
            <w:r>
              <w:t>调整同步时间窗至 03:30，或增加消息队列（MQ）进行异步解耦。</w:t>
            </w:r>
          </w:p>
        </w:tc>
      </w:tr>
      <w:tr>
        <w:tc>
          <w:tcPr>
            <w:tcW w:type="dxa" w:w="2880"/>
          </w:tcPr>
          <w:p>
            <w:r/>
            <w:r>
              <w:t>零售户坐标偏离严重</w:t>
            </w:r>
          </w:p>
        </w:tc>
        <w:tc>
          <w:tcPr>
            <w:tcW w:type="dxa" w:w="2880"/>
          </w:tcPr>
          <w:p>
            <w:r/>
            <w:r>
              <w:t>基础数据库中部分零售户地址为 5 年前录入，与实际位置偏差大。</w:t>
            </w:r>
          </w:p>
        </w:tc>
        <w:tc>
          <w:tcPr>
            <w:tcW w:type="dxa" w:w="2880"/>
          </w:tcPr>
          <w:p>
            <w:r/>
            <w:r>
              <w:t>建立“配送纠偏”机制，送货员可在 APP 端一键反馈真实坐标，自动触发地址库更新流程。</w:t>
            </w:r>
          </w:p>
        </w:tc>
      </w:tr>
      <w:tr>
        <w:tc>
          <w:tcPr>
            <w:tcW w:type="dxa" w:w="2880"/>
          </w:tcPr>
          <w:p>
            <w:r/>
            <w:r>
              <w:t>APP 兼容性问题</w:t>
            </w:r>
          </w:p>
        </w:tc>
        <w:tc>
          <w:tcPr>
            <w:tcW w:type="dxa" w:w="2880"/>
          </w:tcPr>
          <w:p>
            <w:r/>
            <w:r>
              <w:t>承建商未充分测试 HarmonyOS 4.0 的权限控制逻辑，导致部分手机无法上传定位。</w:t>
            </w:r>
          </w:p>
        </w:tc>
        <w:tc>
          <w:tcPr>
            <w:tcW w:type="dxa" w:w="2880"/>
          </w:tcPr>
          <w:p>
            <w:r/>
            <w:r>
              <w:t>建立标准移动端测试环境，覆盖行业内主流政企机型（华为、小米等）。</w:t>
            </w:r>
          </w:p>
        </w:tc>
      </w:tr>
    </w:tbl>
    <w:p>
      <w:pPr>
        <w:pStyle w:val="Heading2"/>
      </w:pPr>
      <w:r>
        <w:t>五、遗留问题与后续优化</w:t>
      </w:r>
    </w:p>
    <w:p>
      <w:pPr>
        <w:pStyle w:val="ListNumber"/>
      </w:pPr>
      <w:r>
        <w:rPr>
          <w:b/>
        </w:rPr>
        <w:t>碳排放统计模块</w:t>
      </w:r>
      <w:r>
        <w:t>：本期仅关注里程和成本，建议二期加入基于配送里程的碳排放计算，响应烟草行业“绿色物流”要求。</w:t>
      </w:r>
    </w:p>
    <w:p>
      <w:pPr>
        <w:pStyle w:val="ListNumber"/>
      </w:pPr>
      <w:r>
        <w:rPr>
          <w:b/>
        </w:rPr>
        <w:t>多仓联动调度</w:t>
      </w:r>
      <w:r>
        <w:t>：目前仅实现单配送中心内优化，未来需考虑跨地市仓储资源的“共享备库”与“越库配送”调度逻辑。</w:t>
      </w:r>
    </w:p>
    <w:p>
      <w:pPr>
        <w:pStyle w:val="ListNumber"/>
      </w:pPr>
      <w:r>
        <w:rPr>
          <w:b/>
        </w:rPr>
        <w:t>AR 辅助装车</w:t>
      </w:r>
      <w:r>
        <w:t>：建议后续引入增强现实技术，辅助装卸工按系统生成的堆码顺序快速装车。</w:t>
      </w:r>
    </w:p>
    <w:p>
      <w:pPr>
        <w:spacing w:before="160" w:after="160"/>
        <w:jc w:val="center"/>
      </w:pPr>
      <w:r>
        <w:rPr>
          <w:color w:val="A0A0A0"/>
          <w:sz w:val="16"/>
        </w:rPr>
        <w:t>――――――――――――――――――――――――――――――――――――</w:t>
      </w:r>
    </w:p>
    <w:p>
      <w:r>
        <w:t>【以下为脚本追加页脚，可整段删除】 规则编号：r07 材料说明： 客户单位：测试市局 项目名称：知识库验收Mock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