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【模拟资料】5.用户手册/操作手册/培训资料（三选一）</w:t>
      </w:r>
    </w:p>
    <w:p>
      <w:pPr>
        <w:pStyle w:val="Heading1"/>
      </w:pPr>
      <w:r>
        <w:t>用户手册 / 客户培训资料（范例章节；文件名需含「用户手册」「操作手册」或「培训资料」之一）</w:t>
      </w:r>
    </w:p>
    <w:p>
      <w:pPr>
        <w:pStyle w:val="Quote"/>
      </w:pPr>
      <w:r>
        <w:t xml:space="preserve">亦适用于《操作手册》或《培训讲义》大纲；培训时可按章节制成 PPT。默认 mock 优先用「培训资料」关键词，与 </w:t>
      </w:r>
      <w:r>
        <w:rPr>
          <w:b/>
        </w:rPr>
        <w:t>`05_实施上线`</w:t>
      </w:r>
      <w:r>
        <w:t>（</w:t>
      </w:r>
      <w:r>
        <w:rPr>
          <w:b/>
        </w:rPr>
        <w:t>r05</w:t>
      </w:r>
      <w:r>
        <w:t>）一致。</w:t>
      </w:r>
    </w:p>
    <w:p>
      <w:pPr>
        <w:pStyle w:val="Heading2"/>
      </w:pPr>
      <w:r>
        <w:t>第 1 章 入门</w:t>
      </w:r>
    </w:p>
    <w:p>
      <w:pPr>
        <w:pStyle w:val="Heading3"/>
      </w:pPr>
      <w:r>
        <w:t>1.1 运行环境</w:t>
      </w:r>
    </w:p>
    <w:p>
      <w:pPr>
        <w:pStyle w:val="ListBullet"/>
      </w:pPr>
      <w:r>
        <w:rPr>
          <w:b/>
        </w:rPr>
        <w:t>浏览器</w:t>
      </w:r>
      <w:r>
        <w:t>：建议使用 Chrome 90+、Edge 90+ 或 360 浏览器（极速模式）。由于涉及 GIS 地图渲染，不建议使用 IE 系列。</w:t>
      </w:r>
    </w:p>
    <w:p>
      <w:pPr>
        <w:pStyle w:val="ListBullet"/>
      </w:pPr>
      <w:r>
        <w:rPr>
          <w:b/>
        </w:rPr>
        <w:t>分辨率</w:t>
      </w:r>
      <w:r>
        <w:t>：建议 1920×1080 及以上，以获得最佳的地图操作视野。</w:t>
      </w:r>
    </w:p>
    <w:p>
      <w:pPr>
        <w:pStyle w:val="ListBullet"/>
      </w:pPr>
      <w:r>
        <w:rPr>
          <w:b/>
        </w:rPr>
        <w:t>内网环境</w:t>
      </w:r>
      <w:r>
        <w:t>：须确保终端已接入烟草行业专网（行业标准 2.0 节点）。</w:t>
      </w:r>
    </w:p>
    <w:p>
      <w:pPr>
        <w:pStyle w:val="Heading3"/>
      </w:pPr>
      <w:r>
        <w:t>1.2 登录与首页</w:t>
      </w:r>
    </w:p>
    <w:p>
      <w:pPr>
        <w:pStyle w:val="ListNumber"/>
      </w:pPr>
      <w:r>
        <w:rPr>
          <w:b/>
        </w:rPr>
        <w:t>访问地址</w:t>
      </w:r>
      <w:r>
        <w:t>：`http://logistics.cloud.pro.sh/portal`（示例地址）。</w:t>
      </w:r>
    </w:p>
    <w:p>
      <w:pPr>
        <w:pStyle w:val="ListNumber"/>
      </w:pPr>
      <w:r>
        <w:rPr>
          <w:b/>
        </w:rPr>
        <w:t>账号认证</w:t>
      </w:r>
      <w:r>
        <w:t>：支持“行业统一认证平台”单点登录，或输入工号及域密码。</w:t>
      </w:r>
    </w:p>
    <w:p>
      <w:pPr>
        <w:pStyle w:val="ListNumber"/>
      </w:pPr>
      <w:r>
        <w:rPr>
          <w:b/>
        </w:rPr>
        <w:t>首页布局</w:t>
      </w:r>
      <w:r>
        <w:t>：</w:t>
      </w:r>
    </w:p>
    <w:p>
      <w:pPr>
        <w:pStyle w:val="ListBullet"/>
      </w:pPr>
      <w:r>
        <w:rPr>
          <w:b/>
        </w:rPr>
        <w:t>左侧菜单</w:t>
      </w:r>
      <w:r>
        <w:t>：物流总控、智能调度、异常预警、报表中心。</w:t>
      </w:r>
    </w:p>
    <w:p>
      <w:pPr>
        <w:pStyle w:val="ListBullet"/>
      </w:pPr>
      <w:r>
        <w:rPr>
          <w:b/>
        </w:rPr>
        <w:t>顶部工作台</w:t>
      </w:r>
      <w:r>
        <w:t>：待办事项（如：待确认排班计划）、通知公告。</w:t>
      </w:r>
    </w:p>
    <w:p>
      <w:pPr>
        <w:pStyle w:val="ListBullet"/>
      </w:pPr>
      <w:r>
        <w:rPr>
          <w:b/>
        </w:rPr>
        <w:t>中心大屏</w:t>
      </w:r>
      <w:r>
        <w:t>：全省当日配送进度实时监控图。</w:t>
      </w:r>
    </w:p>
    <w:p>
      <w:pPr>
        <w:pStyle w:val="Heading2"/>
      </w:pPr>
      <w:r>
        <w:t>第 2 章 日常操作示例</w:t>
      </w:r>
    </w:p>
    <w:p>
      <w:pPr>
        <w:pStyle w:val="Heading3"/>
      </w:pPr>
      <w:r>
        <w:t>2.1 执行每日智能排班</w:t>
      </w:r>
    </w:p>
    <w:p>
      <w:r>
        <w:rPr>
          <w:b/>
        </w:rPr>
        <w:t>路径</w:t>
      </w:r>
      <w:r>
        <w:t>：智能调度 → 配送排班 → 【生成今日方案】</w:t>
      </w:r>
    </w:p>
    <w:p>
      <w:r>
        <w:rPr>
          <w:b/>
        </w:rPr>
        <w:t>操作步骤</w:t>
      </w:r>
      <w:r>
        <w:t>：</w:t>
      </w:r>
    </w:p>
    <w:p>
      <w:pPr>
        <w:pStyle w:val="ListNumber"/>
      </w:pPr>
      <w:r>
        <w:rPr>
          <w:b/>
        </w:rPr>
        <w:t>数据同步</w:t>
      </w:r>
      <w:r>
        <w:t>：点击【同步订单】，系统自动获取当日营销库结转数据，界面显示“已同步单据量”及“总件数”。</w:t>
      </w:r>
    </w:p>
    <w:p>
      <w:pPr>
        <w:pStyle w:val="ListNumber"/>
      </w:pPr>
      <w:r>
        <w:rPr>
          <w:b/>
        </w:rPr>
        <w:t>参数设定</w:t>
      </w:r>
      <w:r>
        <w:t>：勾选参与配送的仓库（DC）及可用车辆（默认全选），设置“最长送货时长限制”（如 8 小时）。</w:t>
      </w:r>
    </w:p>
    <w:p>
      <w:pPr>
        <w:pStyle w:val="ListNumber"/>
      </w:pPr>
      <w:r>
        <w:rPr>
          <w:b/>
        </w:rPr>
        <w:t>算法计算</w:t>
      </w:r>
      <w:r>
        <w:t>：点击【开始排班】，等待约 30-60 秒，地图将显示彩色渲染的配送线路。</w:t>
      </w:r>
    </w:p>
    <w:p>
      <w:pPr>
        <w:pStyle w:val="ListNumber"/>
      </w:pPr>
      <w:r>
        <w:rPr>
          <w:b/>
        </w:rPr>
        <w:t>人工微调</w:t>
      </w:r>
      <w:r>
        <w:t>：</w:t>
      </w:r>
    </w:p>
    <w:p>
      <w:pPr>
        <w:pStyle w:val="ListBullet"/>
      </w:pPr>
      <w:r>
        <w:rPr>
          <w:b/>
        </w:rPr>
        <w:t>调整路线</w:t>
      </w:r>
      <w:r>
        <w:t>：右键点击地图上的零售户圆点，选择“移至其他路线”。</w:t>
      </w:r>
    </w:p>
    <w:p>
      <w:pPr>
        <w:pStyle w:val="ListBullet"/>
      </w:pPr>
      <w:r>
        <w:rPr>
          <w:b/>
        </w:rPr>
        <w:t>合并订单</w:t>
      </w:r>
      <w:r>
        <w:t>：在右侧列表勾选两个不满载班次，点击【一键合单】。</w:t>
      </w:r>
    </w:p>
    <w:p>
      <w:pPr>
        <w:pStyle w:val="ListNumber"/>
      </w:pPr>
      <w:r>
        <w:rPr>
          <w:b/>
        </w:rPr>
        <w:t>确认下发</w:t>
      </w:r>
      <w:r>
        <w:t>：核对总里程与装载率无误后，点击【确认并推送 WMS】。</w:t>
      </w:r>
    </w:p>
    <w:p>
      <w:pPr>
        <w:pStyle w:val="Heading3"/>
      </w:pPr>
      <w:r>
        <w:t>2.2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现象</w:t>
            </w:r>
          </w:p>
        </w:tc>
        <w:tc>
          <w:tcPr>
            <w:tcW w:type="dxa" w:w="4320"/>
          </w:tcPr>
          <w:p>
            <w:r/>
            <w:r>
              <w:t>处理建议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同步订单数为 0</w:t>
            </w:r>
          </w:p>
        </w:tc>
        <w:tc>
          <w:tcPr>
            <w:tcW w:type="dxa" w:w="4320"/>
          </w:tcPr>
          <w:p>
            <w:r/>
            <w:r>
              <w:t>1. 确认营销系统是否已截单；2. 检查前置机接口服务是否在线。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地图显示一片空白</w:t>
            </w:r>
          </w:p>
        </w:tc>
        <w:tc>
          <w:tcPr>
            <w:tcW w:type="dxa" w:w="4320"/>
          </w:tcPr>
          <w:p>
            <w:r/>
            <w:r>
              <w:t>1. 检查互联网访问权限（若使用高德/百度地图源）；2. 清除浏览器缓存后按 F5 刷新。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无法提交排班计划</w:t>
            </w:r>
          </w:p>
        </w:tc>
        <w:tc>
          <w:tcPr>
            <w:tcW w:type="dxa" w:w="4320"/>
          </w:tcPr>
          <w:p>
            <w:r/>
            <w:r>
              <w:t>检查是否有车辆超重预警未解除，或存在“无坐标信息”的零售户导致路径无法闭环。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 端看不到任务</w:t>
            </w:r>
          </w:p>
        </w:tc>
        <w:tc>
          <w:tcPr>
            <w:tcW w:type="dxa" w:w="4320"/>
          </w:tcPr>
          <w:p>
            <w:r/>
            <w:r>
              <w:t>确认调度台是否已点击【确认下发】，且司机账号已在“车辆管理”中完成绑定。</w:t>
            </w:r>
          </w:p>
        </w:tc>
      </w:tr>
    </w:tbl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规则编号：r05 材料说明：mock 示例文件名优先含「培训资料」 客户单位：测试市局 项目名称：知识库验收Mock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