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【模拟资料】2.建设方案/投标方案/汇报方案（三选一）</w:t>
      </w:r>
    </w:p>
    <w:p>
      <w:pPr>
        <w:pStyle w:val="Heading1"/>
      </w:pPr>
      <w:r>
        <w:t>建设方案（范例目录与摘要）</w:t>
      </w:r>
    </w:p>
    <w:p>
      <w:pPr>
        <w:pStyle w:val="Quote"/>
      </w:pPr>
      <w:r>
        <w:t>若实际上交为《投标方案》或《汇报方案》，可将本范例中的章节标题替换为对应文档目录；敏感内容须脱敏后再入库。</w:t>
      </w:r>
    </w:p>
    <w:p>
      <w:pPr>
        <w:pStyle w:val="Heading2"/>
      </w:pPr>
      <w:r>
        <w:t>1. 概述</w:t>
      </w:r>
    </w:p>
    <w:p>
      <w:pPr>
        <w:pStyle w:val="Heading3"/>
      </w:pPr>
      <w:r>
        <w:t>1.1 建设背景</w:t>
      </w:r>
    </w:p>
    <w:p>
      <w:r>
        <w:t>当前省局物流体系面临“跨区调拨难、装载率波动大、配送路径重叠”等业务痛点。为响应国家局关于《构建全国烟草生产经营管理一体化平台》的要求，亟需通过数字化手段打通仓储、分拣、配送各环节，解决物流成本压降进入瓶颈期的问题。</w:t>
      </w:r>
    </w:p>
    <w:p>
      <w:pPr>
        <w:pStyle w:val="Heading3"/>
      </w:pPr>
      <w:r>
        <w:t>1.2 建设目标</w:t>
      </w:r>
    </w:p>
    <w:p>
      <w:pPr>
        <w:pStyle w:val="ListNumber"/>
      </w:pPr>
      <w:r>
        <w:rPr>
          <w:b/>
        </w:rPr>
        <w:t>资源统筹化</w:t>
      </w:r>
      <w:r>
        <w:t>：实现全省 11 个地市物流中心仓储资源的实时可视化与动态调拨。</w:t>
      </w:r>
    </w:p>
    <w:p>
      <w:pPr>
        <w:pStyle w:val="ListNumber"/>
      </w:pPr>
      <w:r>
        <w:rPr>
          <w:b/>
        </w:rPr>
        <w:t>调度智能化</w:t>
      </w:r>
      <w:r>
        <w:t>：配送线路自动优化率达到 95% 以上，单箱物流费用降低 3% - 5%。</w:t>
      </w:r>
    </w:p>
    <w:p>
      <w:pPr>
        <w:pStyle w:val="ListNumber"/>
      </w:pPr>
      <w:r>
        <w:rPr>
          <w:b/>
        </w:rPr>
        <w:t>响应精准化</w:t>
      </w:r>
      <w:r>
        <w:t>：从零售户下单到物流出库的响应时间缩短至 4 小时以内。</w:t>
      </w:r>
    </w:p>
    <w:p>
      <w:pPr>
        <w:pStyle w:val="ListNumber"/>
      </w:pPr>
      <w:r>
        <w:rPr>
          <w:b/>
        </w:rPr>
        <w:t>决策数据化</w:t>
      </w:r>
      <w:r>
        <w:t>：构建物流运行体检指标体系，实现物流异常事件的自动预警与闭环处理。</w:t>
      </w:r>
    </w:p>
    <w:p>
      <w:pPr>
        <w:pStyle w:val="Heading3"/>
      </w:pPr>
      <w:r>
        <w:t>1.3 编制依据</w:t>
      </w:r>
    </w:p>
    <w:p>
      <w:pPr>
        <w:pStyle w:val="ListBullet"/>
      </w:pPr>
      <w:r>
        <w:t>《烟草行业信息化建设“十四五”规划》</w:t>
      </w:r>
    </w:p>
    <w:p>
      <w:pPr>
        <w:pStyle w:val="ListBullet"/>
      </w:pPr>
      <w:r>
        <w:t>《YC/T 598-2024 烟草行业工业互联网平台 数据字典规范》</w:t>
      </w:r>
    </w:p>
    <w:p>
      <w:pPr>
        <w:pStyle w:val="ListBullet"/>
      </w:pPr>
      <w:r>
        <w:t>省局 2026 年第 4 次党组会议关于“物流数字化转型”专题会议纪要（编号：[2026] 12号）</w:t>
      </w:r>
    </w:p>
    <w:p>
      <w:pPr>
        <w:pStyle w:val="Heading2"/>
      </w:pPr>
      <w:r>
        <w:t>2. 总体设计</w:t>
      </w:r>
    </w:p>
    <w:p>
      <w:pPr>
        <w:pStyle w:val="Heading3"/>
      </w:pPr>
      <w:r>
        <w:t>2.1 业务架构</w:t>
      </w:r>
    </w:p>
    <w:p>
      <w:r>
        <w:t>系统采用“总控+分执行”模式：</w:t>
      </w:r>
    </w:p>
    <w:p>
      <w:pPr>
        <w:pStyle w:val="ListBullet"/>
      </w:pPr>
      <w:r>
        <w:rPr>
          <w:b/>
        </w:rPr>
        <w:t>省级物流大脑层</w:t>
      </w:r>
      <w:r>
        <w:t>：负责全省调拨计划生成、运力池管理、库存水位监控。</w:t>
      </w:r>
    </w:p>
    <w:p>
      <w:pPr>
        <w:pStyle w:val="ListBullet"/>
      </w:pPr>
      <w:r>
        <w:rPr>
          <w:b/>
        </w:rPr>
        <w:t>地市执行中心层</w:t>
      </w:r>
      <w:r>
        <w:t>：负责车辆排班、自动化分拣线联动、末端配送路径导航。</w:t>
      </w:r>
    </w:p>
    <w:p>
      <w:pPr>
        <w:pStyle w:val="ListBullet"/>
      </w:pPr>
      <w:r>
        <w:rPr>
          <w:b/>
        </w:rPr>
        <w:t>外部协同接口</w:t>
      </w:r>
      <w:r>
        <w:t>：对接工商物流一体化平台及第三方物流承运商数据。</w:t>
      </w:r>
    </w:p>
    <w:p>
      <w:pPr>
        <w:pStyle w:val="Heading3"/>
      </w:pPr>
      <w:r>
        <w:t>2.2 技术路线</w:t>
      </w:r>
    </w:p>
    <w:p>
      <w:pPr>
        <w:pStyle w:val="ListBullet"/>
      </w:pPr>
      <w:r>
        <w:rPr>
          <w:b/>
        </w:rPr>
        <w:t>选型原则</w:t>
      </w:r>
      <w:r>
        <w:t>：采用“中台化”架构，强调高可用与高并发处理能力。</w:t>
      </w:r>
    </w:p>
    <w:p>
      <w:pPr>
        <w:pStyle w:val="ListBullet"/>
      </w:pPr>
      <w:r>
        <w:rPr>
          <w:b/>
        </w:rPr>
        <w:t>关键技术</w:t>
      </w:r>
      <w:r>
        <w:t>：</w:t>
      </w:r>
    </w:p>
    <w:p>
      <w:pPr>
        <w:pStyle w:val="ListBullet"/>
      </w:pPr>
      <w:r>
        <w:rPr>
          <w:b/>
        </w:rPr>
        <w:t>容器化技术</w:t>
      </w:r>
      <w:r>
        <w:t>：基于国产云原生架构部署，确保系统弹性扩容。</w:t>
      </w:r>
    </w:p>
    <w:p>
      <w:pPr>
        <w:pStyle w:val="ListBullet"/>
      </w:pPr>
      <w:r>
        <w:rPr>
          <w:b/>
        </w:rPr>
        <w:t>算法引擎</w:t>
      </w:r>
      <w:r>
        <w:t>：引入运筹学算法（VRP 模型）进行配送路径最优解计算。</w:t>
      </w:r>
    </w:p>
    <w:p>
      <w:pPr>
        <w:pStyle w:val="ListBullet"/>
      </w:pPr>
      <w:r>
        <w:rPr>
          <w:b/>
        </w:rPr>
        <w:t>边缘计算</w:t>
      </w:r>
      <w:r>
        <w:t>：在分拣车间部署边缘节点，实现 PLC 数据的毫秒级采集与反馈。</w:t>
      </w:r>
    </w:p>
    <w:p>
      <w:pPr>
        <w:pStyle w:val="Heading2"/>
      </w:pPr>
      <w:r>
        <w:t>3. 实施与交付</w:t>
      </w:r>
    </w:p>
    <w:p>
      <w:pPr>
        <w:pStyle w:val="Heading3"/>
      </w:pPr>
      <w:r>
        <w:t>3.1 里程碑计划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阶段</w:t>
            </w:r>
          </w:p>
        </w:tc>
        <w:tc>
          <w:tcPr>
            <w:tcW w:type="dxa" w:w="2880"/>
          </w:tcPr>
          <w:p>
            <w:r/>
            <w:r>
              <w:t>周期</w:t>
            </w:r>
          </w:p>
        </w:tc>
        <w:tc>
          <w:tcPr>
            <w:tcW w:type="dxa" w:w="2880"/>
          </w:tcPr>
          <w:p>
            <w:r/>
            <w:r>
              <w:t>交付物</w:t>
            </w:r>
          </w:p>
        </w:tc>
      </w:tr>
      <w:tr>
        <w:tc>
          <w:tcPr>
            <w:tcW w:type="dxa" w:w="2880"/>
          </w:tcPr>
          <w:p>
            <w:r/>
            <w:r>
              <w:t>需求调研与确认</w:t>
            </w:r>
          </w:p>
        </w:tc>
        <w:tc>
          <w:tcPr>
            <w:tcW w:type="dxa" w:w="2880"/>
          </w:tcPr>
          <w:p>
            <w:r/>
            <w:r>
              <w:t>T+1 个月</w:t>
            </w:r>
          </w:p>
        </w:tc>
        <w:tc>
          <w:tcPr>
            <w:tcW w:type="dxa" w:w="2880"/>
          </w:tcPr>
          <w:p>
            <w:r/>
            <w:r>
              <w:t>《业务需求规格说明书（SRS）》、《原型设计方案》</w:t>
            </w:r>
          </w:p>
        </w:tc>
      </w:tr>
      <w:tr>
        <w:tc>
          <w:tcPr>
            <w:tcW w:type="dxa" w:w="2880"/>
          </w:tcPr>
          <w:p>
            <w:r/>
            <w:r>
              <w:t>开发与系统集成</w:t>
            </w:r>
          </w:p>
        </w:tc>
        <w:tc>
          <w:tcPr>
            <w:tcW w:type="dxa" w:w="2880"/>
          </w:tcPr>
          <w:p>
            <w:r/>
            <w:r>
              <w:t>T+4 个月</w:t>
            </w:r>
          </w:p>
        </w:tc>
        <w:tc>
          <w:tcPr>
            <w:tcW w:type="dxa" w:w="2880"/>
          </w:tcPr>
          <w:p>
            <w:r/>
            <w:r>
              <w:t>《系统开发源代码》、《接口说明文档》</w:t>
            </w:r>
          </w:p>
        </w:tc>
      </w:tr>
      <w:tr>
        <w:tc>
          <w:tcPr>
            <w:tcW w:type="dxa" w:w="2880"/>
          </w:tcPr>
          <w:p>
            <w:r/>
            <w:r>
              <w:t>上线试运行</w:t>
            </w:r>
          </w:p>
        </w:tc>
        <w:tc>
          <w:tcPr>
            <w:tcW w:type="dxa" w:w="2880"/>
          </w:tcPr>
          <w:p>
            <w:r/>
            <w:r>
              <w:t>T+6 个月</w:t>
            </w:r>
          </w:p>
        </w:tc>
        <w:tc>
          <w:tcPr>
            <w:tcW w:type="dxa" w:w="2880"/>
          </w:tcPr>
          <w:p>
            <w:r/>
            <w:r>
              <w:t>《试运行报告》、《用户操作手册》、《初验报告》</w:t>
            </w:r>
          </w:p>
        </w:tc>
      </w:tr>
      <w:tr>
        <w:tc>
          <w:tcPr>
            <w:tcW w:type="dxa" w:w="2880"/>
          </w:tcPr>
          <w:p>
            <w:r/>
            <w:r>
              <w:t>推广与正式验收</w:t>
            </w:r>
          </w:p>
        </w:tc>
        <w:tc>
          <w:tcPr>
            <w:tcW w:type="dxa" w:w="2880"/>
          </w:tcPr>
          <w:p>
            <w:r/>
            <w:r>
              <w:t>T+9 个月</w:t>
            </w:r>
          </w:p>
        </w:tc>
        <w:tc>
          <w:tcPr>
            <w:tcW w:type="dxa" w:w="2880"/>
          </w:tcPr>
          <w:p>
            <w:r/>
            <w:r>
              <w:t>《全省推广应用方案》、《项目终验报告》</w:t>
            </w:r>
          </w:p>
        </w:tc>
      </w:tr>
    </w:tbl>
    <w:p>
      <w:pPr>
        <w:pStyle w:val="Heading3"/>
      </w:pPr>
      <w:r>
        <w:t>3.2 风险与对策</w:t>
      </w:r>
    </w:p>
    <w:p>
      <w:pPr>
        <w:pStyle w:val="ListBullet"/>
      </w:pPr>
      <w:r>
        <w:rPr>
          <w:b/>
        </w:rPr>
        <w:t>风险 1：数据规范性不统一</w:t>
      </w:r>
    </w:p>
    <w:p>
      <w:pPr>
        <w:pStyle w:val="ListBullet"/>
      </w:pPr>
      <w:r>
        <w:rPr>
          <w:b/>
        </w:rPr>
        <w:t>对策</w:t>
      </w:r>
      <w:r>
        <w:t>：成立数据治理小组，严格执行 YC/T 行业标准，建立数据清洗与校验网关。</w:t>
      </w:r>
    </w:p>
    <w:p>
      <w:pPr>
        <w:pStyle w:val="ListBullet"/>
      </w:pPr>
      <w:r>
        <w:rPr>
          <w:b/>
        </w:rPr>
        <w:t>风险 2：旧有自动化分拣设备接入难</w:t>
      </w:r>
    </w:p>
    <w:p>
      <w:pPr>
        <w:pStyle w:val="ListBullet"/>
      </w:pPr>
      <w:r>
        <w:rPr>
          <w:b/>
        </w:rPr>
        <w:t>对策</w:t>
      </w:r>
      <w:r>
        <w:t>：采用通用协议适配器（OPC-UA/MQTT），对老旧 PLC 进行外挂采集模块升级。</w:t>
      </w:r>
    </w:p>
    <w:p>
      <w:pPr>
        <w:pStyle w:val="ListBullet"/>
      </w:pPr>
      <w:r>
        <w:rPr>
          <w:b/>
        </w:rPr>
        <w:t>风险 3：业务人员操作习惯改变带来的抵触</w:t>
      </w:r>
    </w:p>
    <w:p>
      <w:pPr>
        <w:pStyle w:val="ListBullet"/>
      </w:pPr>
      <w:r>
        <w:rPr>
          <w:b/>
        </w:rPr>
        <w:t>对策</w:t>
      </w:r>
      <w:r>
        <w:t>：分阶段实施，先在核心仓试点，开展多轮集中培训与现场跟班指导。</w:t>
      </w:r>
    </w:p>
    <w:p>
      <w:pPr>
        <w:spacing w:before="160" w:after="160"/>
        <w:jc w:val="center"/>
      </w:pPr>
      <w:r>
        <w:rPr>
          <w:color w:val="A0A0A0"/>
          <w:sz w:val="16"/>
        </w:rPr>
        <w:t>――――――――――――――――――――――――――――――――――――</w:t>
      </w:r>
    </w:p>
    <w:p>
      <w:r>
        <w:t>【以下为脚本追加页脚，可整段删除】 规则编号：r02 材料说明：投标方案建议脱敏 客户单位：测试市局 项目名称：知识库验收Mock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