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color w:val="2E5395"/>
          <w:sz w:val="40"/>
        </w:rPr>
        <w:t>민원 위험 작업 도우미 D 파트</w:t>
      </w:r>
    </w:p>
    <w:p>
      <w:pPr>
        <w:spacing w:after="400"/>
      </w:pPr>
      <w:r>
        <w:rPr>
          <w:color w:val="666666"/>
          <w:sz w:val="24"/>
        </w:rPr>
        <w:t>서비스 구조와 데이터 연결 방식 — 팀 공유 문서 (D 담당)</w:t>
      </w:r>
    </w:p>
    <w:p>
      <w:pPr>
        <w:pStyle w:val="Heading1"/>
        <w:keepNext/>
      </w:pPr>
      <w:r>
        <w:t>1. 이 문서의 목적</w:t>
      </w:r>
    </w:p>
    <w:p>
      <w:pPr>
        <w:spacing w:after="160"/>
      </w:pPr>
      <w:r>
        <w:t>D 파트가 무엇을 보여주고, A·B·C의 결과를 어떤 순서로 연결하는지 팀 전체가 같은 그림을 갖도록 정리한 문서입니다. 현재는 익산시 정보공개 자료가 오기 전이므로 실제 성능 구현보다 화면 흐름과 데이터 계약을 먼저 검증합니다.</w:t>
      </w:r>
    </w:p>
    <w:p>
      <w:pPr>
        <w:spacing w:after="160"/>
      </w:pPr>
      <w:r>
        <w:rPr>
          <w:i/>
          <w:color w:val="996600"/>
        </w:rPr>
        <w:t>한 줄 결론: D는 새로운 예측 모델을 만드는 파트가 아니라, 관측·위험예측·근거·알림을 농장주의 한 번의 의사결정 흐름으로 연결하는 서비스 계층입니다.</w:t>
      </w:r>
    </w:p>
    <w:p>
      <w:pPr>
        <w:pStyle w:val="Heading1"/>
        <w:keepNext/>
      </w:pPr>
      <w:r>
        <w:t>2. 전체 시스템에서 D의 위치</w:t>
      </w:r>
    </w:p>
    <w:p>
      <w:pPr>
        <w:pStyle w:val="Heading2"/>
        <w:keepNext/>
      </w:pPr>
      <w:r>
        <w:t>2-1. 현재 단계 — 공식 데이터 도착 전</w:t>
      </w:r>
    </w:p>
    <w:p>
      <w:pPr>
        <w:spacing w:after="160"/>
      </w:pPr>
      <w:r>
        <w:t>가상 측정소와 고정 위험 점수(FIXTURE)로 지도, 캘린더, 작업 추천, 근거 카드, 알림 승인 화면을 먼저 구성합니다. 화면에 표시되는 위치·수치·농가·주거점은 실제 익산시 결과가 아닙니다.</w:t>
      </w:r>
    </w:p>
    <w:p>
      <w:pPr>
        <w:pStyle w:val="Heading2"/>
        <w:keepNext/>
      </w:pPr>
      <w:r>
        <w:t>2-2. 실데이터 연결 단계</w:t>
      </w:r>
    </w:p>
    <w:p>
      <w:pPr>
        <w:spacing w:after="160"/>
      </w:pPr>
      <w:r>
        <w:t>익산시 원자료를 표준 센서 스키마로 변환하고 A가 모델을 검증하면, B의 위험 캘린더와 C의 검색 결과를 D provider에 연결합니다. 화면과 사용자 흐름은 유지하고 데이터 공급자만 교체하는 것이 목표입니다.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hAnsi="Consolas"/>
          <w:sz w:val="19"/>
        </w:rPr>
        <w:t>현재 관측: 익산시 센서 자료 → 센서 adapter → 측정소 지도·상세</w:t>
        <w:br/>
        <w:t>미래 위험: A 모델 + 기상예보 → B risk_calendar/작업 창 → D 캘린더·추천</w:t>
        <w:br/>
        <w:t>행동 근거: C RAG 검색 → D 근거 카드 → 작업 확정 → 알림 초안 → 사람 승인</w:t>
      </w:r>
    </w:p>
    <w:p>
      <w:pPr>
        <w:pStyle w:val="Heading1"/>
        <w:keepNext/>
      </w:pPr>
      <w:r>
        <w:t>3. D가 하는 일과 하지 않는 일</w:t>
      </w:r>
    </w:p>
    <w:p>
      <w:pPr>
        <w:pStyle w:val="Heading2"/>
        <w:keepNext/>
      </w:pPr>
      <w:r>
        <w:t>3-1. D가 하는 일</w:t>
      </w:r>
    </w:p>
    <w:p>
      <w:pPr>
        <w:pStyle w:val="ListParagraph"/>
        <w:spacing w:after="80"/>
        <w:numPr>
          <w:ilvl w:val="0"/>
          <w:numId w:val="2"/>
        </w:numPr>
      </w:pPr>
      <w:r>
        <w:rPr>
          <w:b/>
        </w:rPr>
        <w:t xml:space="preserve">현재 관측 표시: </w:t>
      </w:r>
      <w:r>
        <w:t>측정소 위치와 H₂S·NH₃·TVOC·복합악취 원값·온습도·풍향·풍속을 지도와 상세 카드로 보여줍니다.</w:t>
      </w:r>
    </w:p>
    <w:p>
      <w:pPr>
        <w:pStyle w:val="ListParagraph"/>
        <w:spacing w:after="80"/>
        <w:numPr>
          <w:ilvl w:val="0"/>
          <w:numId w:val="2"/>
        </w:numPr>
      </w:pPr>
      <w:r>
        <w:rPr>
          <w:b/>
        </w:rPr>
        <w:t xml:space="preserve">작업 시점 판단 지원: </w:t>
      </w:r>
      <w:r>
        <w:t>B가 제공한 미래 상대 민원 위험을 비교해 6시간 추천 Top 3와 회피 Top 3를 보여줍니다.</w:t>
      </w:r>
    </w:p>
    <w:p>
      <w:pPr>
        <w:pStyle w:val="ListParagraph"/>
        <w:spacing w:after="80"/>
        <w:numPr>
          <w:ilvl w:val="0"/>
          <w:numId w:val="2"/>
        </w:numPr>
      </w:pPr>
      <w:r>
        <w:rPr>
          <w:b/>
        </w:rPr>
        <w:t xml:space="preserve">행동 근거 제공: </w:t>
      </w:r>
      <w:r>
        <w:t>C가 검색한 법령·매뉴얼의 문서명·조항·쪽수·근거 문장을 그대로 표시합니다.</w:t>
      </w:r>
    </w:p>
    <w:p>
      <w:pPr>
        <w:pStyle w:val="ListParagraph"/>
        <w:spacing w:after="80"/>
        <w:numPr>
          <w:ilvl w:val="0"/>
          <w:numId w:val="2"/>
        </w:numPr>
      </w:pPr>
      <w:r>
        <w:rPr>
          <w:b/>
        </w:rPr>
        <w:t xml:space="preserve">사람 승인 보존: </w:t>
      </w:r>
      <w:r>
        <w:t>선택한 작업 창을 기준으로 알림 문구를 만들고 농장주가 확인·수정·승인하도록 합니다.</w:t>
      </w:r>
    </w:p>
    <w:p>
      <w:pPr>
        <w:pStyle w:val="Heading2"/>
        <w:keepNext/>
      </w:pPr>
      <w:r>
        <w:t>3-2. D가 하지 않는 일 (중요)</w:t>
      </w:r>
    </w:p>
    <w:p>
      <w:pPr>
        <w:spacing w:after="160"/>
      </w:pPr>
      <w:r>
        <w:t>LLM은 위험 점수·등급·추천 순위를 만들거나 바꾸지 않습니다. 계산은 결정론적 코드와 A/B 결과가 담당하고, OpenAI Responses API는 선택적으로 설명만 작성합니다. API가 없거나 실패하면 규칙 기반 설명으로 같은 흐름을 완료합니다.</w:t>
      </w:r>
    </w:p>
    <w:p>
      <w:pPr>
        <w:spacing w:after="160"/>
      </w:pPr>
      <w:r>
        <w:t>센서 지도는 현재·과거의 관측이고, 위험 캘린더는 미래의 상대 민원 위험 예측입니다. 복합악취 원값을 민원 확률이나 법정 위험등급으로 바꾸지 않으며, 플룸 정보도 미검증 참고로만 사용하고 추천 등급에 반영하지 않습니다.</w:t>
      </w:r>
    </w:p>
    <w:p>
      <w:pPr>
        <w:pStyle w:val="Heading1"/>
        <w:keepNext/>
      </w:pPr>
      <w:r>
        <w:t>4. 시연 화면 구성</w:t>
      </w:r>
    </w:p>
    <w:tbl>
      <w:tblPr>
        <w:tblLook w:firstColumn="1" w:firstRow="1" w:lastColumn="0" w:lastRow="0" w:noHBand="0" w:noVBand="1" w:val="04A0"/>
        <w:tblW w:type="dxa" w:w="9300"/>
        <w:tblInd w:type="dxa" w:w="12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600"/>
        <w:gridCol w:w="6700"/>
      </w:tblGrid>
      <w:tr>
        <w:trPr>
          <w:cantSplit/>
          <w:tblHeader w:val="true"/>
        </w:trPr>
        <w:tc>
          <w:tcPr>
            <w:tcW w:type="dxa" w:w="2600"/>
            <w:vAlign w:val="center"/>
            <w:shd w:fill="DCE6F1" w:val="clear"/>
          </w:tcPr>
          <w:p>
            <w:pPr>
              <w:spacing w:after="60"/>
            </w:pPr>
            <w:r>
              <w:rPr>
                <w:b/>
              </w:rPr>
              <w:t>화면</w:t>
            </w:r>
          </w:p>
        </w:tc>
        <w:tc>
          <w:tcPr>
            <w:tcW w:type="dxa" w:w="6700"/>
            <w:vAlign w:val="center"/>
            <w:shd w:fill="DCE6F1" w:val="clear"/>
          </w:tcPr>
          <w:p>
            <w:pPr>
              <w:spacing w:after="60"/>
            </w:pPr>
            <w:r>
              <w:rPr>
                <w:b/>
              </w:rPr>
              <w:t>팀원이 설명할 핵심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60"/>
            </w:pPr>
            <w:r>
              <w:t>① 측정소 지도</w:t>
            </w:r>
          </w:p>
        </w:tc>
        <w:tc>
          <w:tcPr>
            <w:tcW w:type="dxa" w:w="6700"/>
            <w:vAlign w:val="center"/>
          </w:tcPr>
          <w:p>
            <w:pPr>
              <w:spacing w:after="60"/>
            </w:pPr>
            <w:r>
              <w:t>현재·과거 관측 화면. 지도 숫자는 복합악취 원값이며 단위는 원자료 코드북 확인 후 확정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60"/>
            </w:pPr>
            <w:r>
              <w:t>② 민원 위험 캘린더</w:t>
            </w:r>
          </w:p>
        </w:tc>
        <w:tc>
          <w:tcPr>
            <w:tcW w:type="dxa" w:w="6700"/>
            <w:vAlign w:val="center"/>
          </w:tcPr>
          <w:p>
            <w:pPr>
              <w:spacing w:after="60"/>
            </w:pPr>
            <w:r>
              <w:t>D+1~3은 3시간 블록, D+4~7은 중기예보 한계 때문에 일 단위만 표시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60"/>
            </w:pPr>
            <w:r>
              <w:t>③ 작업 계획</w:t>
            </w:r>
          </w:p>
        </w:tc>
        <w:tc>
          <w:tcPr>
            <w:tcW w:type="dxa" w:w="6700"/>
            <w:vAlign w:val="center"/>
          </w:tcPr>
          <w:p>
            <w:pPr>
              <w:spacing w:after="60"/>
            </w:pPr>
            <w:r>
              <w:t>6시간 추천 Top 3와 회피 Top 3, 작업 전·후 조치, 데이터 가정을 함께 표시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60"/>
            </w:pPr>
            <w:r>
              <w:t>④ 근거·법령</w:t>
            </w:r>
          </w:p>
        </w:tc>
        <w:tc>
          <w:tcPr>
            <w:tcW w:type="dxa" w:w="6700"/>
            <w:vAlign w:val="center"/>
          </w:tcPr>
          <w:p>
            <w:pPr>
              <w:spacing w:after="60"/>
            </w:pPr>
            <w:r>
              <w:t>C의 검색 결과를 문서명·단원·쪽수·원문 일부와 함께 표시. 검색 점수는 신뢰확률이 아님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60"/>
            </w:pPr>
            <w:r>
              <w:t>⑤ 알림 초안</w:t>
            </w:r>
          </w:p>
        </w:tc>
        <w:tc>
          <w:tcPr>
            <w:tcW w:type="dxa" w:w="6700"/>
            <w:vAlign w:val="center"/>
          </w:tcPr>
          <w:p>
            <w:pPr>
              <w:spacing w:after="60"/>
            </w:pPr>
            <w:r>
              <w:t>작업 창 확정 후 편집 가능한 안내 문구 생성. 현재는 승인 기록만 남기고 실제 발송하지 않음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60"/>
            </w:pPr>
            <w:r>
              <w:t>⑥ 데이터·한계</w:t>
            </w:r>
          </w:p>
        </w:tc>
        <w:tc>
          <w:tcPr>
            <w:tcW w:type="dxa" w:w="6700"/>
            <w:vAlign w:val="center"/>
          </w:tcPr>
          <w:p>
            <w:pPr>
              <w:spacing w:after="60"/>
            </w:pPr>
            <w:r>
              <w:t>FIXTURE/연결/지연 상태, 출처·버전·기준시각, 현재 주장할 수 없는 범위를 공개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데이터 흐름 (단계별)</w:t>
      </w:r>
    </w:p>
    <w:p>
      <w:pPr>
        <w:pStyle w:val="ListParagraph"/>
        <w:spacing w:after="80"/>
        <w:numPr>
          <w:ilvl w:val="0"/>
          <w:numId w:val="2"/>
        </w:numPr>
      </w:pPr>
      <w:r>
        <w:rPr>
          <w:b/>
        </w:rPr>
        <w:t xml:space="preserve">1단계 — 관측 조회: </w:t>
      </w:r>
      <w:r>
        <w:t>센서 provider가 선택 시각의 측정소 관측과 품질 상태를 반환합니다.</w:t>
      </w:r>
    </w:p>
    <w:p>
      <w:pPr>
        <w:pStyle w:val="ListParagraph"/>
        <w:spacing w:after="80"/>
        <w:numPr>
          <w:ilvl w:val="0"/>
          <w:numId w:val="2"/>
        </w:numPr>
      </w:pPr>
      <w:r>
        <w:rPr>
          <w:b/>
        </w:rPr>
        <w:t xml:space="preserve">2단계 — 위험 조회: </w:t>
      </w:r>
      <w:r>
        <w:t>B provider가 7일 위험 캘린더와 모델·예보 기준시각을 반환합니다.</w:t>
      </w:r>
    </w:p>
    <w:p>
      <w:pPr>
        <w:pStyle w:val="ListParagraph"/>
        <w:spacing w:after="80"/>
        <w:numPr>
          <w:ilvl w:val="0"/>
          <w:numId w:val="2"/>
        </w:numPr>
      </w:pPr>
      <w:r>
        <w:rPr>
          <w:b/>
        </w:rPr>
        <w:t xml:space="preserve">3단계 — 작업 창 비교: </w:t>
      </w:r>
      <w:r>
        <w:t>3시간 블록만 사용해 연속 6시간 창을 만들고 추천·회피 순위를 비교합니다. 최종 연결에서는 B가 이 순위를 제공합니다.</w:t>
      </w:r>
    </w:p>
    <w:p>
      <w:pPr>
        <w:pStyle w:val="ListParagraph"/>
        <w:spacing w:after="80"/>
        <w:numPr>
          <w:ilvl w:val="0"/>
          <w:numId w:val="2"/>
        </w:numPr>
      </w:pPr>
      <w:r>
        <w:rPr>
          <w:b/>
        </w:rPr>
        <w:t xml:space="preserve">4단계 — 근거 검색: </w:t>
      </w:r>
      <w:r>
        <w:t>C의 RAG가 작업유형에 맞는 법령·매뉴얼 근거 청크를 반환합니다.</w:t>
      </w:r>
    </w:p>
    <w:p>
      <w:pPr>
        <w:pStyle w:val="ListParagraph"/>
        <w:spacing w:after="80"/>
        <w:numPr>
          <w:ilvl w:val="0"/>
          <w:numId w:val="2"/>
        </w:numPr>
      </w:pPr>
      <w:r>
        <w:rPr>
          <w:b/>
        </w:rPr>
        <w:t xml:space="preserve">5단계 — 설명 생성: </w:t>
      </w:r>
      <w:r>
        <w:t>코드가 확정한 결과를 규칙 기반 또는 선택적 OpenAI 설명으로 정리합니다.</w:t>
      </w:r>
    </w:p>
    <w:p>
      <w:pPr>
        <w:pStyle w:val="ListParagraph"/>
        <w:spacing w:after="80"/>
        <w:numPr>
          <w:ilvl w:val="0"/>
          <w:numId w:val="2"/>
        </w:numPr>
      </w:pPr>
      <w:r>
        <w:rPr>
          <w:b/>
        </w:rPr>
        <w:t xml:space="preserve">6단계 — 확정·승인: </w:t>
      </w:r>
      <w:r>
        <w:t>농장주가 작업 창과 알림 문구를 선택하고 승인합니다. 현재 프로토타입은 외부 발송을 하지 않습니다.</w:t>
      </w:r>
    </w:p>
    <w:p>
      <w:pPr>
        <w:pStyle w:val="Heading1"/>
        <w:keepNext/>
      </w:pPr>
      <w:r>
        <w:t>6. D 파트 파일 구성</w:t>
      </w:r>
    </w:p>
    <w:tbl>
      <w:tblPr>
        <w:tblLook w:firstColumn="1" w:firstRow="1" w:lastColumn="0" w:lastRow="0" w:noHBand="0" w:noVBand="1" w:val="04A0"/>
        <w:tblW w:type="dxa" w:w="9300"/>
        <w:tblInd w:type="dxa" w:w="12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300"/>
        <w:gridCol w:w="6000"/>
      </w:tblGrid>
      <w:tr>
        <w:trPr>
          <w:cantSplit/>
          <w:tblHeader w:val="true"/>
        </w:trPr>
        <w:tc>
          <w:tcPr>
            <w:tcW w:type="dxa" w:w="3300"/>
            <w:vAlign w:val="center"/>
            <w:shd w:fill="DCE6F1" w:val="clear"/>
          </w:tcPr>
          <w:p>
            <w:pPr>
              <w:spacing w:after="60"/>
            </w:pPr>
            <w:r>
              <w:rPr>
                <w:b/>
              </w:rPr>
              <w:t>파일</w:t>
            </w:r>
          </w:p>
        </w:tc>
        <w:tc>
          <w:tcPr>
            <w:tcW w:type="dxa" w:w="6000"/>
            <w:vAlign w:val="center"/>
            <w:shd w:fill="DCE6F1" w:val="clear"/>
          </w:tcPr>
          <w:p>
            <w:pPr>
              <w:spacing w:after="60"/>
            </w:pPr>
            <w:r>
              <w:rPr>
                <w:b/>
              </w:rPr>
              <w:t>역할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60"/>
            </w:pPr>
            <w:r>
              <w:t>app/dashboard.py</w:t>
            </w:r>
          </w:p>
        </w:tc>
        <w:tc>
          <w:tcPr>
            <w:tcW w:type="dxa" w:w="6000"/>
            <w:vAlign w:val="center"/>
          </w:tcPr>
          <w:p>
            <w:pPr>
              <w:spacing w:after="60"/>
            </w:pPr>
            <w:r>
              <w:t>Streamlit 화면 진입점. 지도→캘린더→작업계획→근거→알림→한계의 6개 탭 구성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60"/>
            </w:pPr>
            <w:r>
              <w:t>app/contracts.py</w:t>
            </w:r>
          </w:p>
        </w:tc>
        <w:tc>
          <w:tcPr>
            <w:tcW w:type="dxa" w:w="6000"/>
            <w:vAlign w:val="center"/>
          </w:tcPr>
          <w:p>
            <w:pPr>
              <w:spacing w:after="60"/>
            </w:pPr>
            <w:r>
              <w:t>센서 관측, 작업 창, 작업 가이드, 알림 초안의 공통 반환형 정의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60"/>
            </w:pPr>
            <w:r>
              <w:t>app/backend.py</w:t>
            </w:r>
          </w:p>
        </w:tc>
        <w:tc>
          <w:tcPr>
            <w:tcW w:type="dxa" w:w="6000"/>
            <w:vAlign w:val="center"/>
          </w:tcPr>
          <w:p>
            <w:pPr>
              <w:spacing w:after="60"/>
            </w:pPr>
            <w:r>
              <w:t>A/B/C 및 센서 provider가 지켜야 할 DecisionBackend 계약과 OpenAI 함수 도구 정의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60"/>
            </w:pPr>
            <w:r>
              <w:t>app/backend_factory.py</w:t>
            </w:r>
          </w:p>
        </w:tc>
        <w:tc>
          <w:tcPr>
            <w:tcW w:type="dxa" w:w="6000"/>
            <w:vAlign w:val="center"/>
          </w:tcPr>
          <w:p>
            <w:pPr>
              <w:spacing w:after="60"/>
            </w:pPr>
            <w:r>
              <w:t>fixture 또는 실제 provider를 환경설정으로 교체. 연결 실패를 fixture로 몰래 덮지 않음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60"/>
            </w:pPr>
            <w:r>
              <w:t>app/demo_backend.py</w:t>
            </w:r>
          </w:p>
        </w:tc>
        <w:tc>
          <w:tcPr>
            <w:tcW w:type="dxa" w:w="6000"/>
            <w:vAlign w:val="center"/>
          </w:tcPr>
          <w:p>
            <w:pPr>
              <w:spacing w:after="60"/>
            </w:pPr>
            <w:r>
              <w:t>공식 자료 도착 전 사용하는 난수 없는 고정 시연 데이터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60"/>
            </w:pPr>
            <w:r>
              <w:t>app/guide_service.py</w:t>
            </w:r>
          </w:p>
        </w:tc>
        <w:tc>
          <w:tcPr>
            <w:tcW w:type="dxa" w:w="6000"/>
            <w:vAlign w:val="center"/>
          </w:tcPr>
          <w:p>
            <w:pPr>
              <w:spacing w:after="60"/>
            </w:pPr>
            <w:r>
              <w:t>6시간 창 비교, 작업 전·후 조치, 알림 초안을 결정론적으로 생성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60"/>
            </w:pPr>
            <w:r>
              <w:t>app/openai_guide.py</w:t>
            </w:r>
          </w:p>
        </w:tc>
        <w:tc>
          <w:tcPr>
            <w:tcW w:type="dxa" w:w="6000"/>
            <w:vAlign w:val="center"/>
          </w:tcPr>
          <w:p>
            <w:pPr>
              <w:spacing w:after="60"/>
            </w:pPr>
            <w:r>
              <w:t>선택적 OpenAI Responses API 설명 생성. 실패 시 규칙 기반 설명 유지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60"/>
            </w:pPr>
            <w:r>
              <w:t>docs/D_PROTOTYPE_PLAN.md</w:t>
            </w:r>
          </w:p>
        </w:tc>
        <w:tc>
          <w:tcPr>
            <w:tcW w:type="dxa" w:w="6000"/>
            <w:vAlign w:val="center"/>
          </w:tcPr>
          <w:p>
            <w:pPr>
              <w:spacing w:after="60"/>
            </w:pPr>
            <w:r>
              <w:t>상세 구조, 데이터 계약, 표현 규칙, 실데이터 도착 후 적용 순서 기록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다른 팀원 파트와의 연결</w:t>
      </w:r>
    </w:p>
    <w:tbl>
      <w:tblPr>
        <w:tblLook w:firstColumn="1" w:firstRow="1" w:lastColumn="0" w:lastRow="0" w:noHBand="0" w:noVBand="1" w:val="04A0"/>
        <w:tblW w:type="dxa" w:w="9300"/>
        <w:tblInd w:type="dxa" w:w="12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700"/>
        <w:gridCol w:w="4300"/>
        <w:gridCol w:w="3300"/>
      </w:tblGrid>
      <w:tr>
        <w:trPr>
          <w:cantSplit/>
          <w:tblHeader w:val="true"/>
        </w:trPr>
        <w:tc>
          <w:tcPr>
            <w:tcW w:type="dxa" w:w="1700"/>
            <w:vAlign w:val="center"/>
            <w:shd w:fill="DCE6F1" w:val="clear"/>
          </w:tcPr>
          <w:p>
            <w:pPr>
              <w:spacing w:after="60"/>
            </w:pPr>
            <w:r>
              <w:rPr>
                <w:b/>
              </w:rPr>
              <w:t>담당</w:t>
            </w:r>
          </w:p>
        </w:tc>
        <w:tc>
          <w:tcPr>
            <w:tcW w:type="dxa" w:w="4300"/>
            <w:vAlign w:val="center"/>
            <w:shd w:fill="DCE6F1" w:val="clear"/>
          </w:tcPr>
          <w:p>
            <w:pPr>
              <w:spacing w:after="60"/>
            </w:pPr>
            <w:r>
              <w:rPr>
                <w:b/>
              </w:rPr>
              <w:t>D가 받아 쓰는 것</w:t>
            </w:r>
          </w:p>
        </w:tc>
        <w:tc>
          <w:tcPr>
            <w:tcW w:type="dxa" w:w="3300"/>
            <w:vAlign w:val="center"/>
            <w:shd w:fill="DCE6F1" w:val="clear"/>
          </w:tcPr>
          <w:p>
            <w:pPr>
              <w:spacing w:after="60"/>
            </w:pPr>
            <w:r>
              <w:rPr>
                <w:b/>
              </w:rPr>
              <w:t>연결 원칙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60"/>
            </w:pPr>
            <w:r>
              <w:t>A (모델링)</w:t>
            </w:r>
          </w:p>
        </w:tc>
        <w:tc>
          <w:tcPr>
            <w:tcW w:type="dxa" w:w="4300"/>
            <w:vAlign w:val="center"/>
          </w:tcPr>
          <w:p>
            <w:pPr>
              <w:spacing w:after="60"/>
            </w:pPr>
            <w:r>
              <w:t>full/reduced 모델, 피처 스키마, 등급 기준, 모델·학습데이터 버전</w:t>
            </w:r>
          </w:p>
        </w:tc>
        <w:tc>
          <w:tcPr>
            <w:tcW w:type="dxa" w:w="3300"/>
            <w:vAlign w:val="center"/>
          </w:tcPr>
          <w:p>
            <w:pPr>
              <w:spacing w:after="60"/>
            </w:pPr>
            <w:r>
              <w:t>D가 모델 파일을 직접 읽지 않고 B가 추론 결과를 표준 계약으로 제공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60"/>
            </w:pPr>
            <w:r>
              <w:t>B (운영 배관)</w:t>
            </w:r>
          </w:p>
        </w:tc>
        <w:tc>
          <w:tcPr>
            <w:tcW w:type="dxa" w:w="4300"/>
            <w:vAlign w:val="center"/>
          </w:tcPr>
          <w:p>
            <w:pPr>
              <w:spacing w:after="60"/>
            </w:pPr>
            <w:r>
              <w:t>7일 risk_calendar, 6시간 작업 창 순위, 예보·모델 기준시각과 상태</w:t>
            </w:r>
          </w:p>
        </w:tc>
        <w:tc>
          <w:tcPr>
            <w:tcW w:type="dxa" w:w="3300"/>
            <w:vAlign w:val="center"/>
          </w:tcPr>
          <w:p>
            <w:pPr>
              <w:spacing w:after="60"/>
            </w:pPr>
            <w:r>
              <w:t>D+4~7은 일 단위로 유지하고, D가 B DB 내부 계산을 중복하지 않음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60"/>
            </w:pPr>
            <w:r>
              <w:t>C (RAG/법률)</w:t>
            </w:r>
          </w:p>
        </w:tc>
        <w:tc>
          <w:tcPr>
            <w:tcW w:type="dxa" w:w="4300"/>
            <w:vAlign w:val="center"/>
          </w:tcPr>
          <w:p>
            <w:pPr>
              <w:spacing w:after="60"/>
            </w:pPr>
            <w:r>
              <w:t>RagIndex.search 결과의 문서명·조항·쪽수·snippet·notice</w:t>
            </w:r>
          </w:p>
        </w:tc>
        <w:tc>
          <w:tcPr>
            <w:tcW w:type="dxa" w:w="3300"/>
            <w:vAlign w:val="center"/>
          </w:tcPr>
          <w:p>
            <w:pPr>
              <w:spacing w:after="60"/>
            </w:pPr>
            <w:r>
              <w:t>검색 점수를 신뢰확률로 표시하지 않고 근거가 없으면 답을 만들지 않음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60"/>
            </w:pPr>
            <w:r>
              <w:t>D (서비스)</w:t>
            </w:r>
          </w:p>
        </w:tc>
        <w:tc>
          <w:tcPr>
            <w:tcW w:type="dxa" w:w="4300"/>
            <w:vAlign w:val="center"/>
          </w:tcPr>
          <w:p>
            <w:pPr>
              <w:spacing w:after="60"/>
            </w:pPr>
            <w:r>
              <w:t>지도·추천·근거·알림을 한 화면 흐름으로 통합</w:t>
            </w:r>
          </w:p>
        </w:tc>
        <w:tc>
          <w:tcPr>
            <w:tcW w:type="dxa" w:w="3300"/>
            <w:vAlign w:val="center"/>
          </w:tcPr>
          <w:p>
            <w:pPr>
              <w:spacing w:after="60"/>
            </w:pPr>
            <w:r>
              <w:t>위험 계산과 법률 판단을 LLM에 맡기지 않고 출처·가정·한계를 보존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익산시 데이터 도착 후 바뀌는 것</w:t>
      </w:r>
    </w:p>
    <w:p>
      <w:pPr>
        <w:spacing w:after="160"/>
      </w:pPr>
      <w:r>
        <w:t>D 화면을 다시 만드는 것이 아니라, 실제 파일을 아래 순서로 검증해 provider를 교체합니다. 단, A/B 모델은 공식 데이터로 다시 학습·검증해야 하므로 전체 프로젝트가 단순 파일 복사만으로 완성되는 것은 아닙니다.</w:t>
      </w:r>
    </w:p>
    <w:tbl>
      <w:tblPr>
        <w:tblLook w:firstColumn="1" w:firstRow="1" w:lastColumn="0" w:lastRow="0" w:noHBand="0" w:noVBand="1" w:val="04A0"/>
        <w:tblW w:type="dxa" w:w="9300"/>
        <w:tblInd w:type="dxa" w:w="120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600"/>
        <w:gridCol w:w="2900"/>
        <w:gridCol w:w="3800"/>
      </w:tblGrid>
      <w:tr>
        <w:trPr>
          <w:cantSplit/>
          <w:tblHeader w:val="true"/>
        </w:trPr>
        <w:tc>
          <w:tcPr>
            <w:tcW w:type="dxa" w:w="2600"/>
            <w:vAlign w:val="center"/>
            <w:shd w:fill="DCE6F1" w:val="clear"/>
          </w:tcPr>
          <w:p>
            <w:pPr>
              <w:spacing w:after="60"/>
            </w:pPr>
            <w:r>
              <w:rPr>
                <w:b/>
              </w:rPr>
              <w:t>확인 항목</w:t>
            </w:r>
          </w:p>
        </w:tc>
        <w:tc>
          <w:tcPr>
            <w:tcW w:type="dxa" w:w="2900"/>
            <w:vAlign w:val="center"/>
            <w:shd w:fill="DCE6F1" w:val="clear"/>
          </w:tcPr>
          <w:p>
            <w:pPr>
              <w:spacing w:after="60"/>
            </w:pPr>
            <w:r>
              <w:rPr>
                <w:b/>
              </w:rPr>
              <w:t>현재 상태</w:t>
            </w:r>
          </w:p>
        </w:tc>
        <w:tc>
          <w:tcPr>
            <w:tcW w:type="dxa" w:w="3800"/>
            <w:vAlign w:val="center"/>
            <w:shd w:fill="DCE6F1" w:val="clear"/>
          </w:tcPr>
          <w:p>
            <w:pPr>
              <w:spacing w:after="60"/>
            </w:pPr>
            <w:r>
              <w:rPr>
                <w:b/>
              </w:rPr>
              <w:t>자료 도착 후 처리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60"/>
            </w:pPr>
            <w:r>
              <w:t>파일·기간·주기</w:t>
            </w:r>
          </w:p>
        </w:tc>
        <w:tc>
          <w:tcPr>
            <w:tcW w:type="dxa" w:w="2900"/>
            <w:vAlign w:val="center"/>
          </w:tcPr>
          <w:p>
            <w:pPr>
              <w:spacing w:after="60"/>
            </w:pPr>
            <w:r>
              <w:t>형식과 전체 이력 미확정</w:t>
            </w:r>
          </w:p>
        </w:tc>
        <w:tc>
          <w:tcPr>
            <w:tcW w:type="dxa" w:w="3800"/>
            <w:vAlign w:val="center"/>
          </w:tcPr>
          <w:p>
            <w:pPr>
              <w:spacing w:after="60"/>
            </w:pPr>
            <w:r>
              <w:t>원본 보존 후 파일 형식, 시작·종료일, 측정 주기, KST 여부 확인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60"/>
            </w:pPr>
            <w:r>
              <w:t>측정소 기준정보</w:t>
            </w:r>
          </w:p>
        </w:tc>
        <w:tc>
          <w:tcPr>
            <w:tcW w:type="dxa" w:w="2900"/>
            <w:vAlign w:val="center"/>
          </w:tcPr>
          <w:p>
            <w:pPr>
              <w:spacing w:after="60"/>
            </w:pPr>
            <w:r>
              <w:t>화면 검증용 가상 좌표</w:t>
            </w:r>
          </w:p>
        </w:tc>
        <w:tc>
          <w:tcPr>
            <w:tcW w:type="dxa" w:w="3800"/>
            <w:vAlign w:val="center"/>
          </w:tcPr>
          <w:p>
            <w:pPr>
              <w:spacing w:after="60"/>
            </w:pPr>
            <w:r>
              <w:t>공식 ID·명칭·좌표계·이전 이력 매핑. 좌표가 없으면 화면에서 역추정하지 않음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60"/>
            </w:pPr>
            <w:r>
              <w:t>관측 변수</w:t>
            </w:r>
          </w:p>
        </w:tc>
        <w:tc>
          <w:tcPr>
            <w:tcW w:type="dxa" w:w="2900"/>
            <w:vAlign w:val="center"/>
          </w:tcPr>
          <w:p>
            <w:pPr>
              <w:spacing w:after="60"/>
            </w:pPr>
            <w:r>
              <w:t>캡처 기준 예상 필드</w:t>
            </w:r>
          </w:p>
        </w:tc>
        <w:tc>
          <w:tcPr>
            <w:tcW w:type="dxa" w:w="3800"/>
            <w:vAlign w:val="center"/>
          </w:tcPr>
          <w:p>
            <w:pPr>
              <w:spacing w:after="60"/>
            </w:pPr>
            <w:r>
              <w:t>H₂S·NH₃·TVOC·복합악취·온습도·풍향·풍속의 공식 단위와 검출한계 확인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60"/>
            </w:pPr>
            <w:r>
              <w:t>결측·품질코드</w:t>
            </w:r>
          </w:p>
        </w:tc>
        <w:tc>
          <w:tcPr>
            <w:tcW w:type="dxa" w:w="2900"/>
            <w:vAlign w:val="center"/>
          </w:tcPr>
          <w:p>
            <w:pPr>
              <w:spacing w:after="60"/>
            </w:pPr>
            <w:r>
              <w:t>fixture의 단순 missing 예시</w:t>
            </w:r>
          </w:p>
        </w:tc>
        <w:tc>
          <w:tcPr>
            <w:tcW w:type="dxa" w:w="3800"/>
            <w:vAlign w:val="center"/>
          </w:tcPr>
          <w:p>
            <w:pPr>
              <w:spacing w:after="60"/>
            </w:pPr>
            <w:r>
              <w:t>0·빈칸·검출한계 미만·통신오류·점검 상태를 구분해 품질보고서 생성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60"/>
            </w:pPr>
            <w:r>
              <w:t>민원 라벨</w:t>
            </w:r>
          </w:p>
        </w:tc>
        <w:tc>
          <w:tcPr>
            <w:tcW w:type="dxa" w:w="2900"/>
            <w:vAlign w:val="center"/>
          </w:tcPr>
          <w:p>
            <w:pPr>
              <w:spacing w:after="60"/>
            </w:pPr>
            <w:r>
              <w:t>센서 캡처만으로는 확인 불가</w:t>
            </w:r>
          </w:p>
        </w:tc>
        <w:tc>
          <w:tcPr>
            <w:tcW w:type="dxa" w:w="3800"/>
            <w:vAlign w:val="center"/>
          </w:tcPr>
          <w:p>
            <w:pPr>
              <w:spacing w:after="60"/>
            </w:pPr>
            <w:r>
              <w:t>민원 발생시각 포함 여부와 기존 민원 자료의 시간·공간 결합 가능성 확인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60"/>
            </w:pPr>
            <w:r>
              <w:t>실연결</w:t>
            </w:r>
          </w:p>
        </w:tc>
        <w:tc>
          <w:tcPr>
            <w:tcW w:type="dxa" w:w="2900"/>
            <w:vAlign w:val="center"/>
          </w:tcPr>
          <w:p>
            <w:pPr>
              <w:spacing w:after="60"/>
            </w:pPr>
            <w:r>
              <w:t>sensor/risk/RAG fixture</w:t>
            </w:r>
          </w:p>
        </w:tc>
        <w:tc>
          <w:tcPr>
            <w:tcW w:type="dxa" w:w="3800"/>
            <w:vAlign w:val="center"/>
          </w:tcPr>
          <w:p>
            <w:pPr>
              <w:spacing w:after="60"/>
            </w:pPr>
            <w:r>
              <w:t>센서 adapter→A/B 재검증→B provider→C 인덱스 순으로 연결하고 배지를 connected로 변경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현재 합의와 실행 방법</w:t>
      </w:r>
    </w:p>
    <w:p>
      <w:pPr>
        <w:pStyle w:val="ListParagraph"/>
        <w:spacing w:after="80"/>
        <w:numPr>
          <w:ilvl w:val="0"/>
          <w:numId w:val="2"/>
        </w:numPr>
      </w:pPr>
      <w:r>
        <w:rPr>
          <w:b/>
        </w:rPr>
        <w:t xml:space="preserve">시연 범위: </w:t>
      </w:r>
      <w:r>
        <w:t>단일 가상 농가와 다중 측정소, 작업유형 선택, 지도·캘린더·추천·근거·알림 승인까지 포함합니다.</w:t>
      </w:r>
    </w:p>
    <w:p>
      <w:pPr>
        <w:pStyle w:val="ListParagraph"/>
        <w:spacing w:after="80"/>
        <w:numPr>
          <w:ilvl w:val="0"/>
          <w:numId w:val="2"/>
        </w:numPr>
      </w:pPr>
      <w:r>
        <w:rPr>
          <w:b/>
        </w:rPr>
        <w:t xml:space="preserve">표현 원칙: </w:t>
      </w:r>
      <w:r>
        <w:t>‘악취 위험도’가 아니라 ‘민원 위험도’, ‘민원 감소’가 아니라 ‘상대적으로 위험한 시간대 회피 지원’으로 설명합니다.</w:t>
      </w:r>
    </w:p>
    <w:p>
      <w:pPr>
        <w:pStyle w:val="ListParagraph"/>
        <w:spacing w:after="80"/>
        <w:numPr>
          <w:ilvl w:val="0"/>
          <w:numId w:val="2"/>
        </w:numPr>
      </w:pPr>
      <w:r>
        <w:rPr>
          <w:b/>
        </w:rPr>
        <w:t xml:space="preserve">확장 주장: </w:t>
      </w:r>
      <w:r>
        <w:t>익산 외 지역도 같은 계약의 adapter를 추가할 수 있다고만 설명하며, 실제 적용은 지역별 재학습·재검증을 전제로 합니다.</w:t>
      </w:r>
    </w:p>
    <w:p>
      <w:pPr>
        <w:pStyle w:val="ListParagraph"/>
        <w:spacing w:after="80"/>
        <w:numPr>
          <w:ilvl w:val="0"/>
          <w:numId w:val="2"/>
        </w:numPr>
      </w:pPr>
      <w:r>
        <w:rPr>
          <w:b/>
        </w:rPr>
        <w:t xml:space="preserve">OpenAI 사용: </w:t>
      </w:r>
      <w:r>
        <w:t>필수 기능이 아니라 설명 품질을 높이는 선택 기능입니다. 기본 시연은 API 키 없이 끝까지 동작합니다.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hAnsi="Consolas"/>
          <w:sz w:val="19"/>
        </w:rPr>
        <w:t>실행</w:t>
        <w:br/>
        <w:t xml:space="preserve">  cd demo</w:t>
        <w:br/>
        <w:t xml:space="preserve">  python -m pip install -r requirements-d.txt</w:t>
        <w:br/>
        <w:t xml:space="preserve">  streamlit run app/dashboard.py</w:t>
        <w:br/>
        <w:br/>
        <w:t>GitHub 브랜치: agent/d-prototype-scaffold</w:t>
        <w:br/>
        <w:t>상세 설계: demo/docs/D_PROTOTYPE_PLAN.md</w:t>
      </w:r>
    </w:p>
    <w:p>
      <w:pPr>
        <w:spacing w:after="160"/>
      </w:pPr>
      <w:r>
        <w:rPr>
          <w:i/>
          <w:color w:val="996600"/>
        </w:rPr>
        <w:t>현재 단계의 완료 기준은 ‘실데이터 성능 입증’이 아니라, 실제 자료가 들어왔을 때 같은 계약과 화면으로 연결할 수 있는지 구조를 검증하는 것입니다.</w:t>
      </w:r>
    </w:p>
    <w:p>
      <w:pPr>
        <w:spacing w:before="240" w:after="160"/>
        <w:pBdr>
          <w:top w:val="single" w:sz="6" w:space="8" w:color="A6A6A6"/>
        </w:pBdr>
      </w:pPr>
      <w:r>
        <w:rPr>
          <w:color w:val="888888"/>
          <w:sz w:val="18"/>
        </w:rPr>
        <w:t>작성: D(의사결정 서비스) · 저장 위치: demo/docs/ · 관련 코드: demo/app/ · 상세 설계: D_PROTOTYPE_PLAN.md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2E539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파트</dc:creator>
  <cp:lastModifiedBy>Un-named</cp:lastModifiedBy>
  <cp:revision>1</cp:revision>
  <dcterms:created xsi:type="dcterms:W3CDTF">2026-08-11T11:26:07.625Z</dcterms:created>
  <dcterms:modified xsi:type="dcterms:W3CDTF">2026-08-11T11:26:07.638Z</dcterms:modified>
  <dc:title>민원 위험 작업 도우미 D 파트 — 팀 공유 문서</dc:title>
  <dc:subject>D 파트 서비스 구조와 데이터 연결 방식</dc:subject>
  <dc:description>익산시 정보공개 자료 도착 전 1차 구조 초안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