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FD78AC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282130A5" w:rsidR="00BC6A7A" w:rsidRDefault="00AC2636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DC020D">
        <w:rPr>
          <w:color w:val="000000"/>
          <w:sz w:val="22"/>
          <w:szCs w:val="22"/>
        </w:rPr>
        <w:t xml:space="preserve">2017 - 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7DAA3E85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Dissertation:</w:t>
      </w:r>
      <w:r>
        <w:rPr>
          <w:color w:val="000000"/>
          <w:sz w:val="22"/>
          <w:szCs w:val="22"/>
        </w:rPr>
        <w:tab/>
      </w:r>
      <w:r w:rsidRPr="00BC6A7A">
        <w:rPr>
          <w:color w:val="000000"/>
          <w:sz w:val="22"/>
          <w:szCs w:val="22"/>
        </w:rPr>
        <w:t xml:space="preserve">Interactions </w:t>
      </w:r>
      <w:r w:rsidRPr="002C67A0">
        <w:rPr>
          <w:sz w:val="22"/>
          <w:szCs w:val="22"/>
          <w:lang w:eastAsia="zh-TW"/>
        </w:rPr>
        <w:t>between</w:t>
      </w:r>
      <w:r w:rsidRPr="00BC6A7A">
        <w:rPr>
          <w:color w:val="000000"/>
          <w:sz w:val="22"/>
          <w:szCs w:val="22"/>
        </w:rPr>
        <w:t xml:space="preserve"> the land surface and the near-surface atmosphere: implications for </w:t>
      </w:r>
      <w:r>
        <w:rPr>
          <w:color w:val="000000"/>
          <w:sz w:val="22"/>
          <w:szCs w:val="22"/>
        </w:rPr>
        <w:br/>
      </w:r>
      <w:r w:rsidRPr="00BC6A7A">
        <w:rPr>
          <w:color w:val="000000"/>
          <w:sz w:val="22"/>
          <w:szCs w:val="22"/>
        </w:rPr>
        <w:t>evaporative demand and evapotranspiration under a changing climate</w:t>
      </w:r>
      <w:r>
        <w:rPr>
          <w:color w:val="000000"/>
          <w:sz w:val="22"/>
          <w:szCs w:val="22"/>
        </w:rPr>
        <w:t xml:space="preserve">. </w:t>
      </w:r>
    </w:p>
    <w:p w14:paraId="072D6D54" w14:textId="4F7A54E3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Mark Johnson (</w:t>
      </w:r>
      <w:r w:rsidR="00172607">
        <w:rPr>
          <w:color w:val="000000"/>
          <w:sz w:val="22"/>
          <w:szCs w:val="22"/>
        </w:rPr>
        <w:t>supervisor</w:t>
      </w:r>
      <w:r>
        <w:rPr>
          <w:color w:val="000000"/>
          <w:sz w:val="22"/>
          <w:szCs w:val="22"/>
        </w:rPr>
        <w:t>), T. Andrew Black, Sara Knox, Monica Garcia, Paulo Brando</w:t>
      </w:r>
    </w:p>
    <w:p w14:paraId="447CAA9E" w14:textId="4C41E9BB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Note: </w:t>
      </w:r>
      <w:r>
        <w:rPr>
          <w:rFonts w:eastAsia="DFKai-SB"/>
          <w:sz w:val="22"/>
          <w:szCs w:val="22"/>
          <w:lang w:val="en-US"/>
        </w:rPr>
        <w:tab/>
        <w:t xml:space="preserve">Master-PhD transfer via fast-track in 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18.9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28B04264" w:rsidR="002E384C" w:rsidRDefault="002E384C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4C3E53">
        <w:rPr>
          <w:sz w:val="22"/>
          <w:szCs w:val="22"/>
        </w:rPr>
        <w:t xml:space="preserve"> </w:t>
      </w:r>
      <w:r w:rsidR="007B76FA">
        <w:rPr>
          <w:sz w:val="22"/>
          <w:szCs w:val="22"/>
        </w:rPr>
        <w:t>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4C3E53">
        <w:rPr>
          <w:sz w:val="22"/>
          <w:szCs w:val="22"/>
        </w:rPr>
        <w:t>Agricultural</w:t>
      </w:r>
      <w:r w:rsidR="00DC020D">
        <w:rPr>
          <w:sz w:val="22"/>
          <w:szCs w:val="22"/>
        </w:rPr>
        <w:t xml:space="preserve"> Civil</w:t>
      </w:r>
      <w:r w:rsidR="004C3E53">
        <w:rPr>
          <w:sz w:val="22"/>
          <w:szCs w:val="22"/>
        </w:rPr>
        <w:t xml:space="preserve"> Engineering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DC020D">
        <w:rPr>
          <w:color w:val="000000"/>
          <w:sz w:val="22"/>
          <w:szCs w:val="22"/>
        </w:rPr>
        <w:t xml:space="preserve">2009 - </w:t>
      </w:r>
      <w:r w:rsidR="00144091" w:rsidRPr="00D774A3">
        <w:rPr>
          <w:color w:val="000000"/>
          <w:sz w:val="22"/>
          <w:szCs w:val="22"/>
        </w:rPr>
        <w:t>2016]</w:t>
      </w:r>
    </w:p>
    <w:p w14:paraId="118C4E60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Thesis:</w:t>
      </w:r>
      <w:r>
        <w:rPr>
          <w:color w:val="000000"/>
          <w:sz w:val="22"/>
          <w:szCs w:val="22"/>
        </w:rPr>
        <w:tab/>
      </w:r>
      <w:r w:rsidRPr="00942A72">
        <w:rPr>
          <w:color w:val="000000"/>
          <w:sz w:val="22"/>
          <w:szCs w:val="22"/>
        </w:rPr>
        <w:t>Interannual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variations in methane emission from an irrigated rice paddy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caused by rainfall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during the aeration period.</w:t>
      </w:r>
    </w:p>
    <w:p w14:paraId="4EA773B1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Joon Kim</w:t>
      </w:r>
    </w:p>
    <w:p w14:paraId="15C002BA" w14:textId="4221D3C8" w:rsidR="00A22441" w:rsidRDefault="00B22E1A" w:rsidP="008A7C5B">
      <w:pPr>
        <w:pStyle w:val="DefaultText"/>
        <w:tabs>
          <w:tab w:val="right" w:pos="9639"/>
        </w:tabs>
        <w:spacing w:after="60"/>
        <w:ind w:leftChars="181" w:left="1992" w:hanging="1558"/>
        <w:rPr>
          <w:rFonts w:eastAsia="DFKai-SB"/>
          <w:sz w:val="22"/>
          <w:szCs w:val="22"/>
          <w:lang w:val="en-US"/>
        </w:rPr>
      </w:pPr>
      <w:r>
        <w:rPr>
          <w:rFonts w:eastAsia="DFKai-SB"/>
          <w:sz w:val="22"/>
          <w:szCs w:val="22"/>
          <w:lang w:val="en-US"/>
        </w:rPr>
        <w:t>• Note:</w:t>
      </w:r>
      <w:r>
        <w:rPr>
          <w:rFonts w:eastAsia="DFKai-SB"/>
          <w:sz w:val="22"/>
          <w:szCs w:val="22"/>
          <w:lang w:val="en-US"/>
        </w:rPr>
        <w:tab/>
      </w:r>
      <w:r w:rsidR="008A7C5B">
        <w:rPr>
          <w:rFonts w:eastAsia="DFKai-SB"/>
          <w:sz w:val="22"/>
          <w:szCs w:val="22"/>
          <w:lang w:val="en-US"/>
        </w:rPr>
        <w:t xml:space="preserve">graduate with </w:t>
      </w:r>
      <w:r w:rsidR="00E76524" w:rsidRPr="00D774A3">
        <w:rPr>
          <w:sz w:val="22"/>
          <w:szCs w:val="22"/>
          <w:lang w:eastAsia="en-CA"/>
        </w:rPr>
        <w:t xml:space="preserve">Excellent Degree </w:t>
      </w:r>
      <w:r w:rsidR="00E76524" w:rsidRPr="00B426D0">
        <w:rPr>
          <w:snapToGrid w:val="0"/>
          <w:sz w:val="22"/>
        </w:rPr>
        <w:t>Thesis Award</w:t>
      </w:r>
      <w:r w:rsidR="00493B64">
        <w:rPr>
          <w:snapToGrid w:val="0"/>
          <w:sz w:val="22"/>
        </w:rPr>
        <w:t xml:space="preserve"> and </w:t>
      </w:r>
      <w:r w:rsidR="00493B64" w:rsidRPr="00DC020D">
        <w:rPr>
          <w:i/>
          <w:iCs/>
          <w:snapToGrid w:val="0"/>
          <w:sz w:val="22"/>
        </w:rPr>
        <w:t>Cum laude</w:t>
      </w:r>
      <w:r w:rsidR="00E76524" w:rsidRPr="00B426D0">
        <w:rPr>
          <w:snapToGrid w:val="0"/>
          <w:sz w:val="22"/>
        </w:rPr>
        <w:t>.</w:t>
      </w:r>
    </w:p>
    <w:p w14:paraId="301F1647" w14:textId="77777777" w:rsidR="008A7C5B" w:rsidRDefault="008A7C5B" w:rsidP="00493B64">
      <w:pPr>
        <w:pStyle w:val="DefaultText"/>
        <w:tabs>
          <w:tab w:val="right" w:pos="9639"/>
        </w:tabs>
        <w:ind w:leftChars="181" w:left="1992" w:hanging="1558"/>
        <w:rPr>
          <w:rFonts w:eastAsia="DFKai-SB"/>
          <w:sz w:val="22"/>
          <w:szCs w:val="22"/>
          <w:lang w:val="en-US"/>
        </w:rPr>
      </w:pP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693B1063" w14:textId="757C69AE" w:rsidR="008A7C5B" w:rsidRDefault="008A7C5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rFonts w:eastAsia="DFKai-SB"/>
          <w:sz w:val="22"/>
          <w:szCs w:val="22"/>
          <w:lang w:val="en-US"/>
        </w:rPr>
        <w:t xml:space="preserve">  • Note: formal parental leaves [2023.6 – 2023.8]</w:t>
      </w:r>
    </w:p>
    <w:p w14:paraId="28AC2BE0" w14:textId="299BE84A" w:rsidR="008E01FB" w:rsidRPr="00D774A3" w:rsidRDefault="00870B9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zh-TW"/>
        </w:rPr>
      </w:pPr>
      <w:r>
        <w:rPr>
          <w:snapToGrid w:val="0"/>
          <w:sz w:val="22"/>
        </w:rPr>
        <w:t>G</w:t>
      </w:r>
      <w:r w:rsidR="008E01FB" w:rsidRPr="00D774A3">
        <w:rPr>
          <w:snapToGrid w:val="0"/>
          <w:sz w:val="22"/>
        </w:rPr>
        <w:t xml:space="preserve">raduate Research Assistant, </w:t>
      </w:r>
      <w:r w:rsidR="00FD3538">
        <w:rPr>
          <w:snapToGrid w:val="0"/>
          <w:sz w:val="22"/>
        </w:rPr>
        <w:t>UBC</w:t>
      </w:r>
      <w:r w:rsidR="008E01FB" w:rsidRPr="00D774A3">
        <w:rPr>
          <w:snapToGrid w:val="0"/>
          <w:sz w:val="22"/>
        </w:rPr>
        <w:t xml:space="preserve"> (PI: Mark Johnson)</w:t>
      </w:r>
      <w:r w:rsidR="008E01FB" w:rsidRPr="00D774A3">
        <w:rPr>
          <w:sz w:val="22"/>
          <w:szCs w:val="22"/>
          <w:lang w:eastAsia="zh-TW"/>
        </w:rPr>
        <w:tab/>
      </w:r>
      <w:r w:rsidR="008E01FB" w:rsidRPr="00D774A3">
        <w:rPr>
          <w:sz w:val="22"/>
          <w:szCs w:val="22"/>
        </w:rPr>
        <w:t xml:space="preserve">[2017 – </w:t>
      </w:r>
      <w:r w:rsidR="008E01FB">
        <w:rPr>
          <w:sz w:val="22"/>
          <w:szCs w:val="22"/>
        </w:rPr>
        <w:t>2022</w:t>
      </w:r>
      <w:r w:rsidR="008E01FB"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73D7E3E3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</w:t>
      </w:r>
      <w:r w:rsidR="00F42855">
        <w:rPr>
          <w:sz w:val="22"/>
          <w:szCs w:val="22"/>
        </w:rPr>
        <w:t xml:space="preserve"> </w:t>
      </w:r>
      <w:r>
        <w:rPr>
          <w:sz w:val="22"/>
          <w:szCs w:val="22"/>
        </w:rPr>
        <w:t>experiences</w:t>
      </w:r>
    </w:p>
    <w:p w14:paraId="599D4B44" w14:textId="3DD947EE" w:rsidR="009F4527" w:rsidRPr="00FD3538" w:rsidRDefault="009F4527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="00172607">
        <w:rPr>
          <w:snapToGrid w:val="0"/>
          <w:sz w:val="22"/>
        </w:rPr>
        <w:t xml:space="preserve">  module</w:t>
      </w:r>
      <w:r w:rsidRPr="00FD3538">
        <w:rPr>
          <w:snapToGrid w:val="0"/>
          <w:sz w:val="22"/>
        </w:rPr>
        <w:t xml:space="preserve"> topic</w:t>
      </w:r>
      <w:r w:rsidR="00172607">
        <w:rPr>
          <w:snapToGrid w:val="0"/>
          <w:sz w:val="22"/>
        </w:rPr>
        <w:t>s</w:t>
      </w:r>
      <w:r w:rsidRPr="00FD3538">
        <w:rPr>
          <w:snapToGrid w:val="0"/>
          <w:sz w:val="22"/>
        </w:rPr>
        <w:t>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FE7DC3">
        <w:rPr>
          <w:snapToGrid w:val="0"/>
          <w:sz w:val="22"/>
        </w:rPr>
        <w:t>present</w:t>
      </w:r>
      <w:r w:rsidRPr="00FD3538">
        <w:rPr>
          <w:snapToGrid w:val="0"/>
          <w:sz w:val="22"/>
        </w:rPr>
        <w:t>]</w:t>
      </w:r>
    </w:p>
    <w:p w14:paraId="03553AAC" w14:textId="2774F898" w:rsidR="00D40A53" w:rsidRPr="00FD3538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0C86640" w14:textId="56612D75" w:rsidR="00B22E1A" w:rsidRPr="00D0093A" w:rsidRDefault="002D53E4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B22E1A" w:rsidRPr="00D0093A">
        <w:rPr>
          <w:sz w:val="24"/>
          <w:szCs w:val="24"/>
        </w:rPr>
        <w:t>entoring</w:t>
      </w:r>
      <w:r w:rsidR="00B22E1A">
        <w:rPr>
          <w:sz w:val="24"/>
          <w:szCs w:val="24"/>
        </w:rPr>
        <w:t xml:space="preserve"> experience</w:t>
      </w:r>
    </w:p>
    <w:p w14:paraId="2B524123" w14:textId="284EF5AE" w:rsidR="00EF380E" w:rsidRDefault="00EF380E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Supervisory committee of a MSc student</w:t>
      </w:r>
      <w:r w:rsidR="002D53E4">
        <w:rPr>
          <w:sz w:val="22"/>
          <w:szCs w:val="22"/>
          <w:lang w:eastAsia="en-CA"/>
        </w:rPr>
        <w:t xml:space="preserve"> (Ming Cao)</w:t>
      </w:r>
      <w:r>
        <w:rPr>
          <w:sz w:val="22"/>
          <w:szCs w:val="22"/>
          <w:lang w:eastAsia="en-CA"/>
        </w:rPr>
        <w:t xml:space="preserve"> in IRES</w:t>
      </w:r>
      <w:r>
        <w:rPr>
          <w:sz w:val="22"/>
          <w:szCs w:val="22"/>
          <w:lang w:eastAsia="en-CA"/>
        </w:rPr>
        <w:tab/>
        <w:t xml:space="preserve">[2024.2 </w:t>
      </w:r>
      <w:r w:rsidRPr="00D774A3">
        <w:rPr>
          <w:sz w:val="22"/>
          <w:szCs w:val="22"/>
        </w:rPr>
        <w:t xml:space="preserve">– </w:t>
      </w:r>
      <w:r>
        <w:rPr>
          <w:sz w:val="22"/>
          <w:szCs w:val="22"/>
          <w:lang w:eastAsia="en-CA"/>
        </w:rPr>
        <w:t>present]</w:t>
      </w:r>
    </w:p>
    <w:p w14:paraId="5391D0C8" w14:textId="77777777" w:rsidR="00B22E1A" w:rsidRPr="00FD3538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 for UBC undergraduate students</w:t>
      </w:r>
      <w:r w:rsidRPr="00FD3538">
        <w:rPr>
          <w:snapToGrid w:val="0"/>
          <w:sz w:val="22"/>
        </w:rPr>
        <w:tab/>
        <w:t>[2022 – 2023]</w:t>
      </w:r>
    </w:p>
    <w:p w14:paraId="31067BCE" w14:textId="2116104C" w:rsidR="00B22E1A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 graduate student project. CPSC 532L</w:t>
      </w:r>
      <w:r>
        <w:rPr>
          <w:snapToGrid w:val="0"/>
          <w:sz w:val="22"/>
        </w:rPr>
        <w:t>:</w:t>
      </w:r>
      <w:r w:rsidRPr="00FD3538">
        <w:rPr>
          <w:snapToGrid w:val="0"/>
          <w:sz w:val="22"/>
        </w:rPr>
        <w:t xml:space="preserve"> Artificial Intelligence for Social Impact</w:t>
      </w:r>
      <w:r w:rsidRPr="00FD3538">
        <w:rPr>
          <w:snapToGrid w:val="0"/>
          <w:sz w:val="22"/>
        </w:rPr>
        <w:tab/>
        <w:t>[2020</w:t>
      </w:r>
      <w:r>
        <w:rPr>
          <w:snapToGrid w:val="0"/>
          <w:sz w:val="22"/>
        </w:rPr>
        <w:t>]</w:t>
      </w:r>
    </w:p>
    <w:p w14:paraId="3F99E72D" w14:textId="77777777" w:rsidR="002D53E4" w:rsidRDefault="002D53E4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</w:p>
    <w:p w14:paraId="52A76057" w14:textId="1898B173" w:rsidR="002D53E4" w:rsidRPr="00D0093A" w:rsidRDefault="002D53E4" w:rsidP="002D53E4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4"/>
          <w:szCs w:val="24"/>
        </w:rPr>
      </w:pPr>
      <w:r w:rsidRPr="00D0093A">
        <w:rPr>
          <w:sz w:val="24"/>
          <w:szCs w:val="24"/>
        </w:rPr>
        <w:t>Service</w:t>
      </w:r>
    </w:p>
    <w:p w14:paraId="768E6C80" w14:textId="007ED599" w:rsidR="002D53E4" w:rsidRPr="00A22441" w:rsidRDefault="002D53E4" w:rsidP="00493B64">
      <w:pPr>
        <w:pStyle w:val="DefaultText"/>
        <w:tabs>
          <w:tab w:val="right" w:pos="10490"/>
        </w:tabs>
        <w:spacing w:line="360" w:lineRule="auto"/>
        <w:ind w:leftChars="70" w:left="168"/>
        <w:jc w:val="center"/>
        <w:rPr>
          <w:sz w:val="22"/>
          <w:szCs w:val="22"/>
          <w:u w:val="single"/>
          <w:lang w:eastAsia="en-CA"/>
        </w:rPr>
      </w:pPr>
      <w:r w:rsidRPr="00A22441">
        <w:rPr>
          <w:sz w:val="22"/>
          <w:szCs w:val="22"/>
          <w:u w:val="single"/>
          <w:lang w:eastAsia="en-CA"/>
        </w:rPr>
        <w:t>Departmental service</w:t>
      </w:r>
    </w:p>
    <w:p w14:paraId="619048F3" w14:textId="771B8A1D" w:rsidR="002D53E4" w:rsidRDefault="002D53E4" w:rsidP="002D53E4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IRES </w:t>
      </w:r>
      <w:r w:rsidRPr="002C735B">
        <w:rPr>
          <w:sz w:val="22"/>
          <w:szCs w:val="22"/>
          <w:lang w:eastAsia="en-CA"/>
        </w:rPr>
        <w:t>Departmental committee</w:t>
      </w:r>
      <w:r>
        <w:rPr>
          <w:sz w:val="22"/>
          <w:szCs w:val="22"/>
          <w:lang w:eastAsia="en-CA"/>
        </w:rPr>
        <w:t xml:space="preserve"> on Decolonization, </w:t>
      </w:r>
      <w:r w:rsidRPr="00CD66E7">
        <w:rPr>
          <w:sz w:val="22"/>
          <w:szCs w:val="22"/>
          <w:lang w:eastAsia="en-CA"/>
        </w:rPr>
        <w:t xml:space="preserve">Equity, </w:t>
      </w:r>
      <w:r w:rsidRPr="00CD66E7">
        <w:rPr>
          <w:sz w:val="22"/>
          <w:szCs w:val="22"/>
        </w:rPr>
        <w:t>Diversity</w:t>
      </w:r>
      <w:r w:rsidRPr="00CD66E7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and</w:t>
      </w:r>
      <w:r w:rsidRPr="00CD66E7">
        <w:rPr>
          <w:sz w:val="22"/>
          <w:szCs w:val="22"/>
          <w:lang w:eastAsia="en-CA"/>
        </w:rPr>
        <w:t xml:space="preserve"> Inclusion</w:t>
      </w:r>
      <w:r>
        <w:rPr>
          <w:sz w:val="22"/>
          <w:szCs w:val="22"/>
          <w:lang w:eastAsia="en-CA"/>
        </w:rPr>
        <w:tab/>
        <w:t>[2023.10</w:t>
      </w:r>
      <w:r w:rsidRPr="00D774A3">
        <w:rPr>
          <w:sz w:val="22"/>
          <w:szCs w:val="22"/>
        </w:rPr>
        <w:t xml:space="preserve"> – </w:t>
      </w:r>
      <w:r>
        <w:rPr>
          <w:sz w:val="22"/>
          <w:szCs w:val="22"/>
          <w:lang w:eastAsia="en-CA"/>
        </w:rPr>
        <w:t>present]</w:t>
      </w:r>
    </w:p>
    <w:p w14:paraId="2E9707AD" w14:textId="77777777" w:rsidR="00A22441" w:rsidRPr="00A22441" w:rsidRDefault="00A22441" w:rsidP="002D53E4">
      <w:pPr>
        <w:pStyle w:val="DefaultText"/>
        <w:tabs>
          <w:tab w:val="right" w:pos="10490"/>
        </w:tabs>
        <w:spacing w:line="288" w:lineRule="auto"/>
        <w:ind w:leftChars="70" w:left="168"/>
        <w:rPr>
          <w:sz w:val="10"/>
          <w:szCs w:val="10"/>
          <w:lang w:eastAsia="en-CA"/>
        </w:rPr>
      </w:pPr>
    </w:p>
    <w:p w14:paraId="283B291C" w14:textId="772DBC09" w:rsidR="00A22441" w:rsidRDefault="00A22441" w:rsidP="00493B64">
      <w:pPr>
        <w:pStyle w:val="DefaultText"/>
        <w:tabs>
          <w:tab w:val="right" w:pos="10490"/>
        </w:tabs>
        <w:spacing w:line="360" w:lineRule="auto"/>
        <w:ind w:leftChars="70" w:left="168"/>
        <w:jc w:val="center"/>
        <w:rPr>
          <w:sz w:val="22"/>
          <w:szCs w:val="22"/>
          <w:u w:val="single"/>
          <w:lang w:eastAsia="en-CA"/>
        </w:rPr>
      </w:pPr>
      <w:r>
        <w:rPr>
          <w:sz w:val="22"/>
          <w:szCs w:val="22"/>
          <w:u w:val="single"/>
          <w:lang w:eastAsia="en-CA"/>
        </w:rPr>
        <w:t xml:space="preserve">Journal </w:t>
      </w:r>
      <w:proofErr w:type="gramStart"/>
      <w:r>
        <w:rPr>
          <w:sz w:val="22"/>
          <w:szCs w:val="22"/>
          <w:u w:val="single"/>
          <w:lang w:eastAsia="en-CA"/>
        </w:rPr>
        <w:t>reviewer</w:t>
      </w:r>
      <w:proofErr w:type="gramEnd"/>
    </w:p>
    <w:p w14:paraId="530C56EB" w14:textId="77777777" w:rsidR="00A22441" w:rsidRPr="002C735B" w:rsidRDefault="00A22441" w:rsidP="00A22441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i/>
          <w:iCs/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Pr="005222D0">
        <w:rPr>
          <w:i/>
          <w:iCs/>
          <w:sz w:val="22"/>
          <w:szCs w:val="22"/>
          <w:lang w:eastAsia="en-CA"/>
        </w:rPr>
        <w:t>Remote Sensing of Environment</w:t>
      </w:r>
    </w:p>
    <w:p w14:paraId="45D183C7" w14:textId="33DD64B8" w:rsidR="000502A7" w:rsidRPr="00D774A3" w:rsidRDefault="0012744C" w:rsidP="00493B64">
      <w:pPr>
        <w:pStyle w:val="Heading1"/>
        <w:pBdr>
          <w:bottom w:val="single" w:sz="4" w:space="1" w:color="auto"/>
        </w:pBdr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lastRenderedPageBreak/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6AA79AD3" w:rsidR="00E8604A" w:rsidRDefault="00DA3EC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</w:t>
      </w:r>
      <w:r w:rsidR="00B22E1A">
        <w:rPr>
          <w:snapToGrid w:val="0"/>
          <w:sz w:val="22"/>
        </w:rPr>
        <w:t>-</w:t>
      </w:r>
      <w:r w:rsidRPr="00B426D0">
        <w:rPr>
          <w:snapToGrid w:val="0"/>
          <w:sz w:val="22"/>
        </w:rPr>
        <w:t>Water.</w:t>
      </w:r>
      <w:r w:rsidR="00427237" w:rsidRPr="00B426D0">
        <w:rPr>
          <w:snapToGrid w:val="0"/>
          <w:sz w:val="22"/>
        </w:rPr>
        <w:t xml:space="preserve"> Idea contest for</w:t>
      </w:r>
      <w:r w:rsidR="006668E7">
        <w:rPr>
          <w:snapToGrid w:val="0"/>
          <w:sz w:val="22"/>
        </w:rPr>
        <w:t xml:space="preserve"> </w:t>
      </w:r>
      <w:r w:rsidR="00427237" w:rsidRPr="00B426D0">
        <w:rPr>
          <w:snapToGrid w:val="0"/>
          <w:sz w:val="22"/>
        </w:rPr>
        <w:t>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8EB3D72" w14:textId="77777777" w:rsidR="00A22441" w:rsidRPr="00A22441" w:rsidRDefault="00A22441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10"/>
          <w:szCs w:val="8"/>
        </w:rPr>
      </w:pPr>
    </w:p>
    <w:p w14:paraId="68C6D34B" w14:textId="7A660F77" w:rsidR="00A567DF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61D7730F" w14:textId="0D0A1C69" w:rsidR="00427237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40EF3F4F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A22441">
        <w:rPr>
          <w:snapToGrid w:val="0"/>
          <w:sz w:val="22"/>
        </w:rPr>
        <w:t xml:space="preserve">, and </w:t>
      </w: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</w:t>
      </w:r>
      <w:r w:rsidR="00A22441">
        <w:rPr>
          <w:snapToGrid w:val="0"/>
          <w:sz w:val="22"/>
        </w:rPr>
        <w:t xml:space="preserve">SNU </w:t>
      </w:r>
      <w:r w:rsidRPr="00B426D0">
        <w:rPr>
          <w:snapToGrid w:val="0"/>
          <w:sz w:val="22"/>
        </w:rPr>
        <w:t>Alumni Association</w:t>
      </w:r>
      <w:r w:rsidR="008A7C5B">
        <w:rPr>
          <w:snapToGrid w:val="0"/>
          <w:sz w:val="22"/>
        </w:rPr>
        <w:t>s</w:t>
      </w:r>
      <w:r w:rsidRPr="00B426D0">
        <w:rPr>
          <w:snapToGrid w:val="0"/>
          <w:sz w:val="22"/>
        </w:rPr>
        <w:t xml:space="preserve"> </w:t>
      </w:r>
      <w:r w:rsidR="00A22441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2D06B1B9" w14:textId="4D08787B" w:rsidR="00B22E1A" w:rsidRPr="00A22441" w:rsidRDefault="00A567DF" w:rsidP="00A22441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40E97D8" w14:textId="77777777" w:rsidR="00A22441" w:rsidRDefault="00A22441" w:rsidP="00A22441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0E0C6F77" w14:textId="5E39A227" w:rsidR="00A22441" w:rsidRPr="00D774A3" w:rsidRDefault="00A22441" w:rsidP="00A22441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proofErr w:type="gramStart"/>
      <w:r>
        <w:rPr>
          <w:sz w:val="22"/>
          <w:szCs w:val="22"/>
        </w:rPr>
        <w:t>interests</w:t>
      </w:r>
      <w:proofErr w:type="gramEnd"/>
    </w:p>
    <w:p w14:paraId="3D8763CC" w14:textId="1568246D" w:rsidR="00A22441" w:rsidRDefault="00AE1706" w:rsidP="00A22441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eco</w:t>
      </w:r>
      <w:r w:rsidR="00A22441">
        <w:rPr>
          <w:sz w:val="22"/>
          <w:szCs w:val="22"/>
        </w:rPr>
        <w:t>hydrology,</w:t>
      </w:r>
      <w:r w:rsidR="00A22441" w:rsidRPr="00BD6033">
        <w:rPr>
          <w:sz w:val="22"/>
          <w:szCs w:val="22"/>
        </w:rPr>
        <w:t xml:space="preserve"> </w:t>
      </w:r>
      <w:r w:rsidR="00A22441">
        <w:rPr>
          <w:sz w:val="22"/>
          <w:szCs w:val="22"/>
        </w:rPr>
        <w:t xml:space="preserve">micrometeorology, </w:t>
      </w:r>
      <w:proofErr w:type="spellStart"/>
      <w:r w:rsidR="00A22441">
        <w:rPr>
          <w:sz w:val="22"/>
          <w:szCs w:val="22"/>
        </w:rPr>
        <w:t>hydroclimatology</w:t>
      </w:r>
      <w:proofErr w:type="spellEnd"/>
      <w:r w:rsidR="00A22441">
        <w:rPr>
          <w:sz w:val="22"/>
          <w:szCs w:val="22"/>
        </w:rPr>
        <w:t>,</w:t>
      </w:r>
      <w:r w:rsidR="00A22441" w:rsidRPr="00BD6033">
        <w:rPr>
          <w:sz w:val="22"/>
          <w:szCs w:val="22"/>
        </w:rPr>
        <w:t xml:space="preserve"> </w:t>
      </w:r>
      <w:r w:rsidR="00A22441">
        <w:rPr>
          <w:sz w:val="22"/>
          <w:szCs w:val="22"/>
        </w:rPr>
        <w:t>land-atmosphere interactions, evapotranspiration, satellite remote sensing, eddy covariance, machine learning, climate change adaptation and mitigation</w:t>
      </w:r>
    </w:p>
    <w:p w14:paraId="6FFE12FB" w14:textId="611A0039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 xml:space="preserve">esearch </w:t>
      </w:r>
      <w:proofErr w:type="gramStart"/>
      <w:r w:rsidR="00ED051F" w:rsidRPr="00D774A3">
        <w:rPr>
          <w:sz w:val="22"/>
          <w:szCs w:val="22"/>
        </w:rPr>
        <w:t>project</w:t>
      </w:r>
      <w:r w:rsidR="00105498" w:rsidRPr="00D774A3">
        <w:rPr>
          <w:sz w:val="22"/>
          <w:szCs w:val="22"/>
        </w:rPr>
        <w:t>s</w:t>
      </w:r>
      <w:proofErr w:type="gramEnd"/>
    </w:p>
    <w:p w14:paraId="6A38EF92" w14:textId="323F4563" w:rsidR="00E8604A" w:rsidRPr="00D774A3" w:rsidRDefault="00590229" w:rsidP="006668E7">
      <w:pPr>
        <w:spacing w:line="360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24862472" w14:textId="77777777" w:rsidR="004C3E53" w:rsidRPr="004C3E53" w:rsidRDefault="004C3E5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6"/>
          <w:szCs w:val="6"/>
        </w:rPr>
      </w:pPr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6668E7">
      <w:pPr>
        <w:pStyle w:val="DefaultText"/>
        <w:tabs>
          <w:tab w:val="right" w:pos="10490"/>
        </w:tabs>
        <w:spacing w:after="240" w:line="288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2A38AE15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8A7C5B">
        <w:rPr>
          <w:sz w:val="22"/>
          <w:szCs w:val="22"/>
        </w:rPr>
        <w:t xml:space="preserve"> </w:t>
      </w:r>
    </w:p>
    <w:p w14:paraId="1ED66441" w14:textId="56D3FF36" w:rsidR="00493B64" w:rsidRPr="00493B64" w:rsidRDefault="00493B64" w:rsidP="00493B64">
      <w:pPr>
        <w:spacing w:before="60" w:after="120" w:line="240" w:lineRule="atLeast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493B64">
        <w:rPr>
          <w:sz w:val="22"/>
          <w:szCs w:val="22"/>
        </w:rPr>
        <w:t>Google Scholar H-index: 4, Google Scholar total citations: 17</w:t>
      </w:r>
      <w:r w:rsidR="00F36552">
        <w:rPr>
          <w:rFonts w:eastAsia="Malgun Gothic" w:hint="eastAsia"/>
          <w:sz w:val="22"/>
          <w:szCs w:val="22"/>
          <w:lang w:eastAsia="ko-KR"/>
        </w:rPr>
        <w:t>0</w:t>
      </w:r>
      <w:r w:rsidRPr="00493B64">
        <w:rPr>
          <w:sz w:val="22"/>
          <w:szCs w:val="22"/>
        </w:rPr>
        <w:t xml:space="preserve"> (March </w:t>
      </w:r>
      <w:r w:rsidR="00F36552">
        <w:rPr>
          <w:rFonts w:eastAsia="Malgun Gothic" w:hint="eastAsia"/>
          <w:sz w:val="22"/>
          <w:szCs w:val="22"/>
          <w:lang w:eastAsia="ko-KR"/>
        </w:rPr>
        <w:t>14</w:t>
      </w:r>
      <w:r w:rsidRPr="00493B64">
        <w:rPr>
          <w:sz w:val="22"/>
          <w:szCs w:val="22"/>
        </w:rPr>
        <w:t>, 2024)</w:t>
      </w:r>
    </w:p>
    <w:p w14:paraId="52C557EF" w14:textId="5B7B28BB" w:rsidR="0093289A" w:rsidRDefault="0093289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6668E7"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79018029" w:rsidR="0093289A" w:rsidRPr="0093289A" w:rsidRDefault="0093289A" w:rsidP="00B22E1A">
      <w:pPr>
        <w:pStyle w:val="ListParagraph"/>
        <w:spacing w:before="60" w:after="240" w:line="260" w:lineRule="atLeast"/>
        <w:ind w:leftChars="0" w:left="72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1D91E44A" w:rsidR="008E01FB" w:rsidRPr="00CD480C" w:rsidRDefault="008E01FB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r w:rsidR="006668E7">
        <w:rPr>
          <w:rFonts w:eastAsia="DFKai-SB"/>
          <w:sz w:val="22"/>
          <w:szCs w:val="22"/>
        </w:rPr>
        <w:br/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4A3D3AD" w:rsidR="00CD480C" w:rsidRPr="00CD480C" w:rsidRDefault="00CD480C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3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661E7FEB" w:rsidR="00DA2F24" w:rsidRPr="00FB4828" w:rsidRDefault="00DA2F24" w:rsidP="00B22E1A">
      <w:pPr>
        <w:pStyle w:val="ListParagraph"/>
        <w:spacing w:before="60" w:line="260" w:lineRule="atLeast"/>
        <w:ind w:leftChars="0" w:left="709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F36552">
        <w:rPr>
          <w:rFonts w:eastAsia="Malgun Gothic" w:hint="eastAsia"/>
          <w:bCs/>
          <w:sz w:val="22"/>
          <w:szCs w:val="22"/>
          <w:lang w:val="en-US" w:eastAsia="ko-KR"/>
        </w:rPr>
        <w:t>7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36222E81" w14:textId="45741D87" w:rsidR="006668E7" w:rsidRPr="00B22E1A" w:rsidRDefault="00EB4760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lang w:val="en-US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409AFB01" w:rsidR="00DA2F24" w:rsidRPr="00FB4828" w:rsidRDefault="00DA2F24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</w:t>
      </w:r>
      <w:r w:rsidR="00172607">
        <w:rPr>
          <w:rFonts w:eastAsia="DFKai-SB"/>
          <w:bCs/>
          <w:sz w:val="22"/>
          <w:szCs w:val="22"/>
          <w:lang w:val="en-US"/>
        </w:rPr>
        <w:t>13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5BC352B0" w:rsidR="009C562A" w:rsidRDefault="00BD2D39" w:rsidP="00B22E1A">
      <w:pPr>
        <w:pStyle w:val="ListParagraph"/>
        <w:spacing w:before="60" w:after="240" w:line="260" w:lineRule="atLeast"/>
        <w:ind w:leftChars="0" w:left="709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F36552">
        <w:rPr>
          <w:rFonts w:eastAsia="Malgun Gothic" w:hint="eastAsia"/>
          <w:bCs/>
          <w:sz w:val="22"/>
          <w:szCs w:val="22"/>
          <w:lang w:val="en-US" w:eastAsia="ko-KR"/>
        </w:rPr>
        <w:t>39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493B64">
      <w:pPr>
        <w:spacing w:before="60" w:line="260" w:lineRule="atLeast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5700DAA8" w14:textId="3DAB182D" w:rsidR="00FE7DC3" w:rsidRPr="00870B9B" w:rsidRDefault="00DE4D56" w:rsidP="00870B9B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F19D487" w:rsidR="00DE4D56" w:rsidRPr="00D774A3" w:rsidRDefault="00FE7DC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 and i</w:t>
      </w:r>
      <w:r w:rsidR="00BD6033">
        <w:rPr>
          <w:sz w:val="22"/>
          <w:szCs w:val="22"/>
        </w:rPr>
        <w:t>n preparation</w:t>
      </w:r>
    </w:p>
    <w:p w14:paraId="67D4AE1A" w14:textId="611A6DD3" w:rsidR="002D7A37" w:rsidRPr="00654DCC" w:rsidRDefault="002D7A37" w:rsidP="00FF632B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C387C">
        <w:rPr>
          <w:rFonts w:eastAsia="DFKai-SB"/>
          <w:sz w:val="22"/>
          <w:szCs w:val="22"/>
        </w:rPr>
        <w:t>Deciphering the role of evapotranspiration in declining relative humidity trends over land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  <w:u w:val="none"/>
        </w:rPr>
        <w:t xml:space="preserve">Preprint available at </w:t>
      </w:r>
      <w:proofErr w:type="spellStart"/>
      <w:r w:rsidR="00EF380E" w:rsidRP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EarthArXiv</w:t>
      </w:r>
      <w:proofErr w:type="spellEnd"/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870B9B">
        <w:rPr>
          <w:rStyle w:val="Hyperlink"/>
          <w:rFonts w:eastAsia="DFKai-SB"/>
          <w:color w:val="auto"/>
          <w:sz w:val="22"/>
          <w:szCs w:val="22"/>
          <w:u w:val="none"/>
        </w:rPr>
        <w:t xml:space="preserve">preprint </w:t>
      </w:r>
      <w:proofErr w:type="spellStart"/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EF380E"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  <w:u w:val="none"/>
        </w:rPr>
        <w:t>10.31223/X5XM5W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</w:rPr>
        <w:t>S</w:t>
      </w:r>
      <w:r w:rsidR="00FE7DC3" w:rsidRPr="00EF380E">
        <w:rPr>
          <w:rStyle w:val="Hyperlink"/>
          <w:rFonts w:eastAsia="DFKai-SB"/>
          <w:color w:val="auto"/>
          <w:sz w:val="22"/>
          <w:szCs w:val="22"/>
        </w:rPr>
        <w:t>ubmitted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8682EA0" w14:textId="4DF4335C" w:rsidR="00FF632B" w:rsidRDefault="00FF632B" w:rsidP="000F01C4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Water tower or water pump? </w:t>
      </w:r>
      <w:proofErr w:type="spellStart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Ethiopia. </w:t>
      </w:r>
      <w:r w:rsidR="00EF380E" w:rsidRPr="00EF380E">
        <w:rPr>
          <w:rStyle w:val="Hyperlink"/>
          <w:rFonts w:eastAsia="DFKai-SB"/>
          <w:color w:val="auto"/>
          <w:sz w:val="22"/>
          <w:szCs w:val="22"/>
        </w:rPr>
        <w:t>S</w:t>
      </w:r>
      <w:r w:rsidRPr="00EF380E">
        <w:rPr>
          <w:rStyle w:val="Hyperlink"/>
          <w:rFonts w:eastAsia="DFKai-SB"/>
          <w:color w:val="auto"/>
          <w:sz w:val="22"/>
          <w:szCs w:val="22"/>
        </w:rPr>
        <w:t>ubmitted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</w:p>
    <w:p w14:paraId="2DDDC314" w14:textId="446A4AFB" w:rsidR="00FE7DC3" w:rsidRPr="00FE7DC3" w:rsidRDefault="00FE7DC3" w:rsidP="00FE7DC3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García, M., Black, T. A. &amp; Johnson, M. S. </w:t>
      </w:r>
      <w:r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</w:rPr>
        <w:t>I</w:t>
      </w:r>
      <w:r w:rsidRPr="00EF380E">
        <w:rPr>
          <w:rStyle w:val="Hyperlink"/>
          <w:rFonts w:eastAsia="DFKai-SB"/>
          <w:color w:val="auto"/>
          <w:sz w:val="22"/>
          <w:szCs w:val="22"/>
        </w:rPr>
        <w:t>n preparation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(</w:t>
      </w:r>
      <w:r w:rsidR="00172607">
        <w:rPr>
          <w:rStyle w:val="Hyperlink"/>
          <w:rFonts w:eastAsia="DFKai-SB"/>
          <w:color w:val="auto"/>
          <w:sz w:val="22"/>
          <w:szCs w:val="22"/>
          <w:u w:val="none"/>
        </w:rPr>
        <w:t>9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0% complete)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7595B38F" w14:textId="523154E1" w:rsidR="00FE7DC3" w:rsidRPr="00952FDE" w:rsidRDefault="00FE7DC3" w:rsidP="00FE7DC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(2024)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he AGU Chapman Conference on Remote Sensing and the Water Cycle.</w:t>
      </w:r>
      <w:r w:rsid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Honolulu, Hawaii, USA (Poster)</w:t>
      </w:r>
    </w:p>
    <w:p w14:paraId="23184862" w14:textId="0A56058D" w:rsidR="00FE7DC3" w:rsidRPr="00FE7DC3" w:rsidRDefault="00FE7DC3" w:rsidP="00FE7DC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 w:rsidRPr="00FE7DC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FE7DC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(2024)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Water ‘tower’, ‘sponge’, or ‘pump’? Remote sensing-based </w:t>
      </w:r>
      <w:proofErr w:type="spellStart"/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</w:t>
      </w:r>
      <w:r w:rsidRPr="00FE7DC3">
        <w:t>Ethiopia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</w:t>
      </w:r>
      <w:r w:rsidRPr="00FE7DC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he AGU Chapman Conference on Remote Sensing and the Water Cycle.</w:t>
      </w:r>
      <w:r w:rsid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Honolulu, Hawaii, USA (Poster)</w:t>
      </w:r>
    </w:p>
    <w:p w14:paraId="0CA036D6" w14:textId="2C9151FB" w:rsidR="00FF632B" w:rsidRPr="00FF632B" w:rsidRDefault="00FF632B" w:rsidP="00FF632B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 w:rsidR="004E34E7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637535">
        <w:rPr>
          <w:rFonts w:eastAsia="DFKai-SB"/>
          <w:sz w:val="22"/>
          <w:szCs w:val="22"/>
        </w:rPr>
        <w:t>Changes in atmospheric state reveal long-</w:t>
      </w:r>
      <w:r w:rsidRPr="00FF632B">
        <w:rPr>
          <w:rStyle w:val="Hyperlink"/>
          <w:color w:val="auto"/>
          <w:u w:val="none"/>
        </w:rPr>
        <w:t>term</w:t>
      </w:r>
      <w:r w:rsidRPr="00637535">
        <w:rPr>
          <w:rFonts w:eastAsia="DFKai-SB"/>
          <w:sz w:val="22"/>
          <w:szCs w:val="22"/>
        </w:rPr>
        <w:t xml:space="preserve"> changes in evapotranspiration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AGU</w:t>
      </w:r>
      <w:r w:rsid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San Francisco,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California,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USA (Poster)</w:t>
      </w:r>
    </w:p>
    <w:p w14:paraId="280667CC" w14:textId="0C329C3B" w:rsidR="00D622EA" w:rsidRDefault="00D622E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lastRenderedPageBreak/>
        <w:t>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Le Corum, Montpellier, France (Poster)</w:t>
      </w:r>
    </w:p>
    <w:p w14:paraId="02E053F6" w14:textId="6B6FC33F" w:rsidR="00BF0E1F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3FDD5F84" w14:textId="5B8A7CF2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2A6D6B4B" w14:textId="72A396CE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71597039" w14:textId="10ED785B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3BCC69F1" w14:textId="18715886" w:rsidR="00767482" w:rsidRPr="00767482" w:rsidRDefault="00627BAD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6"/>
          <w:szCs w:val="6"/>
          <w:lang w:eastAsia="en-CA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05B14C67" w14:textId="77777777" w:rsidR="004D5F8C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</w:p>
    <w:p w14:paraId="7DCCAF74" w14:textId="77777777" w:rsidR="004D5F8C" w:rsidRPr="00D0093A" w:rsidRDefault="004D5F8C" w:rsidP="004D5F8C">
      <w:pPr>
        <w:pStyle w:val="Heading1"/>
        <w:pBdr>
          <w:bottom w:val="single" w:sz="4" w:space="1" w:color="auto"/>
        </w:pBdr>
        <w:spacing w:before="120"/>
        <w:jc w:val="both"/>
        <w:rPr>
          <w:rFonts w:eastAsiaTheme="minorEastAsia"/>
          <w:b w:val="0"/>
          <w:bCs/>
          <w:sz w:val="24"/>
          <w:szCs w:val="24"/>
        </w:rPr>
      </w:pPr>
      <w:r w:rsidRPr="00D0093A">
        <w:rPr>
          <w:bCs/>
          <w:sz w:val="24"/>
          <w:szCs w:val="24"/>
        </w:rPr>
        <w:t>Relevant skills</w:t>
      </w:r>
    </w:p>
    <w:p w14:paraId="30740381" w14:textId="3B1E3DE0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Computing skills: </w:t>
      </w:r>
      <w:r w:rsidR="001B6EF4">
        <w:rPr>
          <w:sz w:val="22"/>
          <w:szCs w:val="22"/>
          <w:lang w:eastAsia="en-CA"/>
        </w:rPr>
        <w:t xml:space="preserve">Advanced user of </w:t>
      </w:r>
      <w:r>
        <w:rPr>
          <w:sz w:val="22"/>
          <w:szCs w:val="22"/>
          <w:lang w:eastAsia="en-CA"/>
        </w:rPr>
        <w:t xml:space="preserve">R, Google Earth Engine, </w:t>
      </w:r>
      <w:proofErr w:type="spellStart"/>
      <w:r>
        <w:rPr>
          <w:sz w:val="22"/>
          <w:szCs w:val="22"/>
          <w:lang w:eastAsia="en-CA"/>
        </w:rPr>
        <w:t>Matlab</w:t>
      </w:r>
      <w:proofErr w:type="spellEnd"/>
      <w:r>
        <w:rPr>
          <w:sz w:val="22"/>
          <w:szCs w:val="22"/>
          <w:lang w:eastAsia="en-CA"/>
        </w:rPr>
        <w:t>, Python</w:t>
      </w:r>
    </w:p>
    <w:p w14:paraId="0ACD5730" w14:textId="77777777" w:rsidR="002D53E4" w:rsidRDefault="001B6EF4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Field instrumentation</w:t>
      </w:r>
      <w:r w:rsidR="004D5F8C">
        <w:rPr>
          <w:sz w:val="22"/>
          <w:szCs w:val="22"/>
          <w:lang w:eastAsia="en-CA"/>
        </w:rPr>
        <w:t xml:space="preserve">: </w:t>
      </w:r>
    </w:p>
    <w:p w14:paraId="6DB74A32" w14:textId="1C4128F7" w:rsidR="004D5F8C" w:rsidRDefault="004D5F8C" w:rsidP="002D53E4">
      <w:pPr>
        <w:pStyle w:val="DefaultText"/>
        <w:numPr>
          <w:ilvl w:val="0"/>
          <w:numId w:val="29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Eddy covariance system (field management and data processing)</w:t>
      </w:r>
    </w:p>
    <w:p w14:paraId="2811CB4F" w14:textId="5CDCE30F" w:rsidR="00B94C32" w:rsidRPr="00A22441" w:rsidRDefault="002D53E4" w:rsidP="00A22441">
      <w:pPr>
        <w:pStyle w:val="DefaultText"/>
        <w:numPr>
          <w:ilvl w:val="0"/>
          <w:numId w:val="29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Soil and meteorological sensors (soil thermometers, soil moisture tensiometers, net radiometer etc.)</w:t>
      </w:r>
      <w:r w:rsidR="001A1A87" w:rsidRPr="00A22441">
        <w:rPr>
          <w:sz w:val="22"/>
          <w:szCs w:val="22"/>
          <w:lang w:eastAsia="en-CA"/>
        </w:rPr>
        <w:tab/>
      </w:r>
    </w:p>
    <w:sectPr w:rsidR="00B94C32" w:rsidRPr="00A22441" w:rsidSect="009C7654">
      <w:footerReference w:type="even" r:id="rId11"/>
      <w:footerReference w:type="default" r:id="rId12"/>
      <w:pgSz w:w="12240" w:h="15840" w:code="1"/>
      <w:pgMar w:top="1134" w:right="851" w:bottom="1134" w:left="851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E5E9" w14:textId="77777777" w:rsidR="009C7654" w:rsidRDefault="009C7654">
      <w:r>
        <w:separator/>
      </w:r>
    </w:p>
  </w:endnote>
  <w:endnote w:type="continuationSeparator" w:id="0">
    <w:p w14:paraId="4567142D" w14:textId="77777777" w:rsidR="009C7654" w:rsidRDefault="009C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0FE8E9D3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172607">
      <w:rPr>
        <w:bCs/>
        <w:noProof/>
        <w:color w:val="808080" w:themeColor="background1" w:themeShade="80"/>
        <w:sz w:val="20"/>
        <w:szCs w:val="20"/>
        <w:lang w:eastAsia="da-DK"/>
      </w:rPr>
      <w:t>Mar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F36552">
      <w:rPr>
        <w:rFonts w:eastAsia="Malgun Gothic" w:hint="eastAsia"/>
        <w:bCs/>
        <w:noProof/>
        <w:color w:val="808080" w:themeColor="background1" w:themeShade="80"/>
        <w:sz w:val="20"/>
        <w:szCs w:val="20"/>
        <w:lang w:eastAsia="ko-KR"/>
      </w:rPr>
      <w:t>14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 w:rsidR="004D5F8C">
      <w:rPr>
        <w:bCs/>
        <w:noProof/>
        <w:color w:val="808080" w:themeColor="background1" w:themeShade="80"/>
        <w:sz w:val="20"/>
        <w:szCs w:val="20"/>
        <w:lang w:eastAsia="da-DK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D649" w14:textId="77777777" w:rsidR="009C7654" w:rsidRDefault="009C7654">
      <w:r>
        <w:separator/>
      </w:r>
    </w:p>
  </w:footnote>
  <w:footnote w:type="continuationSeparator" w:id="0">
    <w:p w14:paraId="7E28EE66" w14:textId="77777777" w:rsidR="009C7654" w:rsidRDefault="009C7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2937A23"/>
    <w:multiLevelType w:val="hybridMultilevel"/>
    <w:tmpl w:val="917E0864"/>
    <w:lvl w:ilvl="0" w:tplc="1009000F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9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10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1" w15:restartNumberingAfterBreak="0">
    <w:nsid w:val="23356817"/>
    <w:multiLevelType w:val="hybridMultilevel"/>
    <w:tmpl w:val="2C980C26"/>
    <w:lvl w:ilvl="0" w:tplc="1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2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5" w15:restartNumberingAfterBreak="0">
    <w:nsid w:val="41C02566"/>
    <w:multiLevelType w:val="hybridMultilevel"/>
    <w:tmpl w:val="C16CD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8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2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3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4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20"/>
  </w:num>
  <w:num w:numId="2" w16cid:durableId="417018994">
    <w:abstractNumId w:val="4"/>
  </w:num>
  <w:num w:numId="3" w16cid:durableId="712850983">
    <w:abstractNumId w:val="23"/>
  </w:num>
  <w:num w:numId="4" w16cid:durableId="454519493">
    <w:abstractNumId w:val="10"/>
  </w:num>
  <w:num w:numId="5" w16cid:durableId="1652057915">
    <w:abstractNumId w:val="7"/>
  </w:num>
  <w:num w:numId="6" w16cid:durableId="1645545798">
    <w:abstractNumId w:val="8"/>
  </w:num>
  <w:num w:numId="7" w16cid:durableId="1355184160">
    <w:abstractNumId w:val="22"/>
  </w:num>
  <w:num w:numId="8" w16cid:durableId="2102141070">
    <w:abstractNumId w:val="17"/>
  </w:num>
  <w:num w:numId="9" w16cid:durableId="1605310424">
    <w:abstractNumId w:val="16"/>
  </w:num>
  <w:num w:numId="10" w16cid:durableId="1723023539">
    <w:abstractNumId w:val="14"/>
  </w:num>
  <w:num w:numId="11" w16cid:durableId="1489438246">
    <w:abstractNumId w:val="9"/>
  </w:num>
  <w:num w:numId="12" w16cid:durableId="631516703">
    <w:abstractNumId w:val="2"/>
  </w:num>
  <w:num w:numId="13" w16cid:durableId="1120611994">
    <w:abstractNumId w:val="19"/>
  </w:num>
  <w:num w:numId="14" w16cid:durableId="1153185126">
    <w:abstractNumId w:val="13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4"/>
  </w:num>
  <w:num w:numId="19" w16cid:durableId="1642463779">
    <w:abstractNumId w:val="21"/>
  </w:num>
  <w:num w:numId="20" w16cid:durableId="1573076628">
    <w:abstractNumId w:val="5"/>
  </w:num>
  <w:num w:numId="21" w16cid:durableId="495458035">
    <w:abstractNumId w:val="18"/>
  </w:num>
  <w:num w:numId="22" w16cid:durableId="2063403174">
    <w:abstractNumId w:val="1"/>
  </w:num>
  <w:num w:numId="23" w16cid:durableId="1003514314">
    <w:abstractNumId w:val="6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2"/>
  </w:num>
  <w:num w:numId="27" w16cid:durableId="742529600">
    <w:abstractNumId w:val="15"/>
  </w:num>
  <w:num w:numId="28" w16cid:durableId="1380859212">
    <w:abstractNumId w:val="3"/>
  </w:num>
  <w:num w:numId="29" w16cid:durableId="4282619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2607"/>
    <w:rsid w:val="001771E8"/>
    <w:rsid w:val="0018154A"/>
    <w:rsid w:val="001821EC"/>
    <w:rsid w:val="001879A5"/>
    <w:rsid w:val="00190B26"/>
    <w:rsid w:val="001A1A87"/>
    <w:rsid w:val="001A3345"/>
    <w:rsid w:val="001B12BB"/>
    <w:rsid w:val="001B6EF4"/>
    <w:rsid w:val="001C2257"/>
    <w:rsid w:val="001D3F6D"/>
    <w:rsid w:val="001D56DC"/>
    <w:rsid w:val="001D77A3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382F"/>
    <w:rsid w:val="00274965"/>
    <w:rsid w:val="002758D7"/>
    <w:rsid w:val="002834A1"/>
    <w:rsid w:val="00286392"/>
    <w:rsid w:val="002943B6"/>
    <w:rsid w:val="00294BC7"/>
    <w:rsid w:val="00294F9B"/>
    <w:rsid w:val="002A0F4B"/>
    <w:rsid w:val="002A1665"/>
    <w:rsid w:val="002A3DE2"/>
    <w:rsid w:val="002B5045"/>
    <w:rsid w:val="002C024D"/>
    <w:rsid w:val="002C284C"/>
    <w:rsid w:val="002C67A0"/>
    <w:rsid w:val="002C735B"/>
    <w:rsid w:val="002D117C"/>
    <w:rsid w:val="002D53E4"/>
    <w:rsid w:val="002D6727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4673F"/>
    <w:rsid w:val="00365A7F"/>
    <w:rsid w:val="00367262"/>
    <w:rsid w:val="003714F2"/>
    <w:rsid w:val="003858C4"/>
    <w:rsid w:val="00387792"/>
    <w:rsid w:val="003926D6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10412"/>
    <w:rsid w:val="00427237"/>
    <w:rsid w:val="00453BB7"/>
    <w:rsid w:val="00457259"/>
    <w:rsid w:val="0046019F"/>
    <w:rsid w:val="00464D24"/>
    <w:rsid w:val="00477C06"/>
    <w:rsid w:val="004851FC"/>
    <w:rsid w:val="004879AF"/>
    <w:rsid w:val="00493B64"/>
    <w:rsid w:val="004975BA"/>
    <w:rsid w:val="004A0690"/>
    <w:rsid w:val="004A3FBA"/>
    <w:rsid w:val="004A7CBC"/>
    <w:rsid w:val="004C3E53"/>
    <w:rsid w:val="004D440B"/>
    <w:rsid w:val="004D5F8C"/>
    <w:rsid w:val="004E1FF6"/>
    <w:rsid w:val="004E2DA5"/>
    <w:rsid w:val="004E34E7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577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C387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3F3"/>
    <w:rsid w:val="006417BC"/>
    <w:rsid w:val="00654DCC"/>
    <w:rsid w:val="0066076E"/>
    <w:rsid w:val="00666322"/>
    <w:rsid w:val="006668E7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96397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12CD3"/>
    <w:rsid w:val="00846FB3"/>
    <w:rsid w:val="008478BA"/>
    <w:rsid w:val="008555F7"/>
    <w:rsid w:val="0086743B"/>
    <w:rsid w:val="00870B9B"/>
    <w:rsid w:val="00871FA4"/>
    <w:rsid w:val="008769F5"/>
    <w:rsid w:val="008838F6"/>
    <w:rsid w:val="00884685"/>
    <w:rsid w:val="00892E38"/>
    <w:rsid w:val="008A7C5B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C7654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441"/>
    <w:rsid w:val="00A22BDC"/>
    <w:rsid w:val="00A2555F"/>
    <w:rsid w:val="00A34F7F"/>
    <w:rsid w:val="00A35CFD"/>
    <w:rsid w:val="00A37F99"/>
    <w:rsid w:val="00A4224A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1706"/>
    <w:rsid w:val="00AE4763"/>
    <w:rsid w:val="00AE729E"/>
    <w:rsid w:val="00AF0DC8"/>
    <w:rsid w:val="00AF2138"/>
    <w:rsid w:val="00AF290F"/>
    <w:rsid w:val="00AF77A1"/>
    <w:rsid w:val="00B1743C"/>
    <w:rsid w:val="00B22E1A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A4277"/>
    <w:rsid w:val="00BB3884"/>
    <w:rsid w:val="00BC000D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453B5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D66E7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257C2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15C"/>
    <w:rsid w:val="00D85276"/>
    <w:rsid w:val="00D86167"/>
    <w:rsid w:val="00D9628B"/>
    <w:rsid w:val="00DA047B"/>
    <w:rsid w:val="00DA08B1"/>
    <w:rsid w:val="00DA23FD"/>
    <w:rsid w:val="00DA2F24"/>
    <w:rsid w:val="00DA3ECA"/>
    <w:rsid w:val="00DC020D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40B3"/>
    <w:rsid w:val="00E76524"/>
    <w:rsid w:val="00E77F2C"/>
    <w:rsid w:val="00E811DC"/>
    <w:rsid w:val="00E82267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380E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552"/>
    <w:rsid w:val="00F36D55"/>
    <w:rsid w:val="00F41761"/>
    <w:rsid w:val="00F420C5"/>
    <w:rsid w:val="00F4285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D78AC"/>
    <w:rsid w:val="00FE4DA3"/>
    <w:rsid w:val="00FE5E2A"/>
    <w:rsid w:val="00FE76D8"/>
    <w:rsid w:val="00FE7DC3"/>
    <w:rsid w:val="00FF19EB"/>
    <w:rsid w:val="00FF1B47"/>
    <w:rsid w:val="00FF632B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864</TotalTime>
  <Pages>4</Pages>
  <Words>1547</Words>
  <Characters>9940</Characters>
  <Application>Microsoft Office Word</Application>
  <DocSecurity>0</DocSecurity>
  <Lines>82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八十八年度行政院國家科學委員會專題研究計畫申請書</vt:lpstr>
    </vt:vector>
  </TitlesOfParts>
  <Company/>
  <LinksUpToDate>false</LinksUpToDate>
  <CharactersWithSpaces>11465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yeonuk_CV</dc:title>
  <dc:creator>yeonuk</dc:creator>
  <cp:lastModifiedBy>yeonuk@student.ubc.ca</cp:lastModifiedBy>
  <cp:revision>72</cp:revision>
  <cp:lastPrinted>2020-02-06T20:19:00Z</cp:lastPrinted>
  <dcterms:created xsi:type="dcterms:W3CDTF">2022-07-05T21:58:00Z</dcterms:created>
  <dcterms:modified xsi:type="dcterms:W3CDTF">2024-03-14T23:01:00Z</dcterms:modified>
</cp:coreProperties>
</file>