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摘要"/>
    <w:p>
      <w:pPr>
        <w:pStyle w:val="Heading1"/>
      </w:pPr>
      <w:r>
        <w:rPr>
          <w:rFonts w:hint="eastAsia"/>
        </w:rPr>
        <w:t xml:space="preserve">摘要</w:t>
      </w:r>
    </w:p>
    <w:p>
      <w:pPr>
        <w:pStyle w:val="FirstParagraph"/>
      </w:pPr>
      <w:r>
        <w:rPr>
          <w:rFonts w:hint="eastAsia"/>
        </w:rPr>
        <w:t xml:space="preserve">高效准确的锂离子电池健康状态估计，对保障电池安全运行和支持资源受限电池管理系统的在线应用至关重要。然而，现有估计方法往往依赖跨电池稳定性有限的健康指标和资源开销较大的模型结构。为此，本文提出一种轻量化的SOH估计框架。首先，提出组级健康指标选择算法，从多源候选指标中选取跨电池稳健的健康指标，并减少特征冗余。随后，我们提出集成小核与大核深度可分离卷积的预测网络MS-AgentNet，旨在解决传统Transformer注意力机制的二次计算开销。其中，小核卷积与ReLU²智能体注意力组成局部—全局融合注意力模块，在捕获局部退化特征与长程退化依赖的同时，将注意力复杂度由二次降至线性。大核卷积则用于提取长尺度退化特征，与小核卷积共同以较低参数开销融合多尺度和多通道特征，增强特征多样性。我们在四个涵盖不同化学体系和运行条件的公开电池数据集上，将所提模型与多种主流深度学习模型进行了比较。实验结果表明，MS-AgentNet总体上取得了更优的综合性能，同时保持了较低的计算与存储开销，进一步体现了其面向资源受限电池管理系统的轻量化优势。</w:t>
      </w:r>
    </w:p>
    <w:p>
      <w:pPr>
        <w:pStyle w:val="BodyText"/>
      </w:pPr>
      <w:r>
        <w:rPr>
          <w:rFonts w:hint="eastAsia"/>
          <w:b/>
          <w:bCs/>
        </w:rPr>
        <w:t xml:space="preserve">关键词：</w:t>
      </w:r>
      <w:r>
        <w:t xml:space="preserve"> </w:t>
      </w:r>
      <w:r>
        <w:rPr>
          <w:rFonts w:hint="eastAsia"/>
        </w:rPr>
        <w:t xml:space="preserve">锂离子电池；健康状态估计；线性复杂度；深度特征融合；轻量化深度学习</w:t>
      </w:r>
    </w:p>
    <w:bookmarkEnd w:id="9"/>
    <w:bookmarkStart w:id="12" w:name="引言"/>
    <w:p>
      <w:pPr>
        <w:pStyle w:val="Heading1"/>
      </w:pPr>
      <w:r>
        <w:rPr>
          <w:rStyle w:val="SectionNumber"/>
        </w:rPr>
        <w:t xml:space="preserve">1</w:t>
      </w:r>
      <w:r>
        <w:tab/>
      </w:r>
      <w:r>
        <w:rPr>
          <w:rFonts w:hint="eastAsia"/>
        </w:rPr>
        <w:t xml:space="preserve">引言</w:t>
      </w:r>
    </w:p>
    <w:p>
      <w:pPr>
        <w:pStyle w:val="FirstParagraph"/>
      </w:pPr>
      <w:r>
        <w:rPr>
          <w:rFonts w:hint="eastAsia"/>
        </w:rPr>
        <w:t xml:space="preserve">锂离子电池凭借高能量密度、长循环寿命和低自放电率等优势，已广泛应用于电动汽车、便携式电子设备和规模化储能等领域[</w:t>
      </w:r>
      <w:hyperlink w:anchor="b_ref1">
        <w:r>
          <w:rPr>
            <w:rStyle w:val="Hyperlink"/>
          </w:rPr>
          <w:t xml:space="preserve">1</w:t>
        </w:r>
      </w:hyperlink>
      <w:r>
        <w:t xml:space="preserve">–</w:t>
      </w:r>
      <w:hyperlink w:anchor="b_ref4">
        <w:r>
          <w:rPr>
            <w:rStyle w:val="Hyperlink"/>
          </w:rPr>
          <w:t xml:space="preserve">4</w:t>
        </w:r>
      </w:hyperlink>
      <w:r>
        <w:rPr>
          <w:rFonts w:hint="eastAsia"/>
        </w:rPr>
        <w:t xml:space="preserve">]，是支撑新能源交通、智能终端和能源存储行业发展的重要储能技术。尽管如此，电池在长期运行中仍存在不可忽视的安全风险。充放电循环与复杂工况会引发固体电解质界面（solid</w:t>
      </w:r>
      <w:r>
        <w:t xml:space="preserve"> electrolyte interphase, </w:t>
      </w:r>
      <w:r>
        <w:rPr>
          <w:rFonts w:hint="eastAsia"/>
        </w:rPr>
        <w:t xml:space="preserve">SEI）膜增厚、活性锂损失和电极结构衰退等老化现象[</w:t>
      </w:r>
      <w:hyperlink w:anchor="b_ref5">
        <w:r>
          <w:rPr>
            <w:rStyle w:val="Hyperlink"/>
          </w:rPr>
          <w:t xml:space="preserve">5</w:t>
        </w:r>
      </w:hyperlink>
      <w:r>
        <w:t xml:space="preserve">,</w:t>
      </w:r>
      <w:hyperlink w:anchor="b_ref6">
        <w:r>
          <w:rPr>
            <w:rStyle w:val="Hyperlink"/>
          </w:rPr>
          <w:t xml:space="preserve">6</w:t>
        </w:r>
      </w:hyperlink>
      <w:r>
        <w:rPr>
          <w:rFonts w:hint="eastAsia"/>
        </w:rPr>
        <w:t xml:space="preserve">]，进而导致容量衰减和性能下降，严重时将诱发短路、热失控等故障[</w:t>
      </w:r>
      <w:hyperlink w:anchor="b_ref7">
        <w:r>
          <w:rPr>
            <w:rStyle w:val="Hyperlink"/>
          </w:rPr>
          <w:t xml:space="preserve">7</w:t>
        </w:r>
      </w:hyperlink>
      <w:r>
        <w:t xml:space="preserve">,</w:t>
      </w:r>
      <w:hyperlink w:anchor="b_ref8">
        <w:r>
          <w:rPr>
            <w:rStyle w:val="Hyperlink"/>
          </w:rPr>
          <w:t xml:space="preserve">8</w:t>
        </w:r>
      </w:hyperlink>
      <w:r>
        <w:rPr>
          <w:rFonts w:hint="eastAsia"/>
        </w:rPr>
        <w:t xml:space="preserve">]。因此，精确估计锂离子电池的健康状态对于保障电池的安全性、可靠性和运行性能至关重要。</w:t>
      </w:r>
    </w:p>
    <w:p>
      <w:pPr>
        <w:pStyle w:val="BodyText"/>
      </w:pPr>
      <w:r>
        <w:rPr>
          <w:rFonts w:hint="eastAsia"/>
        </w:rPr>
        <w:t xml:space="preserve">容量衰减是电池老化最直观的特征，健康状态（state</w:t>
      </w:r>
      <w:r>
        <w:t xml:space="preserve"> of health, </w:t>
      </w:r>
      <w:r>
        <w:rPr>
          <w:rFonts w:hint="eastAsia"/>
        </w:rPr>
        <w:t xml:space="preserve">SOH）通常采用容量保持率定义[</w:t>
      </w:r>
      <w:hyperlink w:anchor="b_ref13">
        <w:r>
          <w:rPr>
            <w:rStyle w:val="Hyperlink"/>
          </w:rPr>
          <w:t xml:space="preserve">13</w:t>
        </w:r>
      </w:hyperlink>
      <w:r>
        <w:t xml:space="preserve">,</w:t>
      </w:r>
      <w:hyperlink w:anchor="b_ref14">
        <w:r>
          <w:rPr>
            <w:rStyle w:val="Hyperlink"/>
          </w:rPr>
          <w:t xml:space="preserve">14</w:t>
        </w:r>
      </w:hyperlink>
      <w:r>
        <w:rPr>
          <w:rFonts w:hint="eastAsia"/>
        </w:rPr>
        <w:t xml:space="preserve">]。但电池最大可用容量的精确测算需要完整或近似完整的充放电循环，难以满足在线监测需求[</w:t>
      </w:r>
      <w:hyperlink w:anchor="b_ref10">
        <w:r>
          <w:rPr>
            <w:rStyle w:val="Hyperlink"/>
          </w:rPr>
          <w:t xml:space="preserve">10</w:t>
        </w:r>
      </w:hyperlink>
      <w:r>
        <w:t xml:space="preserve">,</w:t>
      </w:r>
      <w:hyperlink w:anchor="b_ref11">
        <w:r>
          <w:rPr>
            <w:rStyle w:val="Hyperlink"/>
          </w:rPr>
          <w:t xml:space="preserve">11</w:t>
        </w:r>
      </w:hyperlink>
      <w:r>
        <w:rPr>
          <w:rFonts w:hint="eastAsia"/>
        </w:rPr>
        <w:t xml:space="preserve">]。因此，从可观测运行信号中间接估计SOH已成为在线健康监测的关键途径。然而，复杂工况增加了退化信息稳定提取的难度，而电池管理系统（battery</w:t>
      </w:r>
      <w:r>
        <w:t xml:space="preserve"> management system, </w:t>
      </w:r>
      <w:r>
        <w:rPr>
          <w:rFonts w:hint="eastAsia"/>
        </w:rPr>
        <w:t xml:space="preserve">BMS）严格的计算与存储限制又制约了模型复杂度，使在线SOH估计面临退化信息提取与模型计算效率的双重挑战[</w:t>
      </w:r>
      <w:hyperlink w:anchor="b_ref31">
        <w:r>
          <w:rPr>
            <w:rStyle w:val="Hyperlink"/>
          </w:rPr>
          <w:t xml:space="preserve">31</w:t>
        </w:r>
      </w:hyperlink>
      <w:r>
        <w:t xml:space="preserve">]。</w:t>
      </w:r>
    </w:p>
    <w:bookmarkStart w:id="10" w:name="文献综述"/>
    <w:p>
      <w:pPr>
        <w:pStyle w:val="Heading2"/>
      </w:pPr>
      <w:r>
        <w:rPr>
          <w:rStyle w:val="SectionNumber"/>
        </w:rPr>
        <w:t xml:space="preserve">1.1</w:t>
      </w:r>
      <w:r>
        <w:tab/>
      </w:r>
      <w:r>
        <w:rPr>
          <w:rFonts w:hint="eastAsia"/>
        </w:rPr>
        <w:t xml:space="preserve">文献综述</w:t>
      </w:r>
    </w:p>
    <w:p>
      <w:pPr>
        <w:pStyle w:val="FirstParagraph"/>
      </w:pPr>
      <w:r>
        <w:rPr>
          <w:rFonts w:hint="eastAsia"/>
        </w:rPr>
        <w:t xml:space="preserve">近期的健康状态估计方法主要分为模型驱动和数据驱动两类[</w:t>
      </w:r>
      <w:hyperlink w:anchor="b_ref10">
        <w:r>
          <w:rPr>
            <w:rStyle w:val="Hyperlink"/>
          </w:rPr>
          <w:t xml:space="preserve">10</w:t>
        </w:r>
      </w:hyperlink>
      <w:r>
        <w:t xml:space="preserve">–</w:t>
      </w:r>
      <w:hyperlink w:anchor="b_ref12">
        <w:r>
          <w:rPr>
            <w:rStyle w:val="Hyperlink"/>
          </w:rPr>
          <w:t xml:space="preserve">12</w:t>
        </w:r>
      </w:hyperlink>
      <w:r>
        <w:rPr>
          <w:rFonts w:hint="eastAsia"/>
        </w:rPr>
        <w:t xml:space="preserve">]。前者包括电化学模型和等效电路模型，后者包括传统机器学习和深度学习方法。</w:t>
      </w:r>
    </w:p>
    <w:p>
      <w:pPr>
        <w:pStyle w:val="BodyText"/>
      </w:pPr>
      <w:r>
        <w:rPr>
          <w:rFonts w:hint="eastAsia"/>
        </w:rPr>
        <w:t xml:space="preserve">模型驱动方法通过数学方程或等效电路模拟电池内部的电化学机制[</w:t>
      </w:r>
      <w:hyperlink w:anchor="b_ref19">
        <w:r>
          <w:rPr>
            <w:rStyle w:val="Hyperlink"/>
          </w:rPr>
          <w:t xml:space="preserve">19</w:t>
        </w:r>
      </w:hyperlink>
      <w:r>
        <w:rPr>
          <w:rFonts w:hint="eastAsia"/>
        </w:rPr>
        <w:t xml:space="preserve">]。其中，电化学模型以微分方程表示电池的反应与退化过程。例如，Li等人[</w:t>
      </w:r>
      <w:hyperlink w:anchor="b_ref21">
        <w:r>
          <w:rPr>
            <w:rStyle w:val="Hyperlink"/>
          </w:rPr>
          <w:t xml:space="preserve">21</w:t>
        </w:r>
      </w:hyperlink>
      <w:r>
        <w:rPr>
          <w:rFonts w:hint="eastAsia"/>
        </w:rPr>
        <w:t xml:space="preserve">]基于单粒子模型（SPM），构建了同时考虑化学退化与机械损伤的SOH估计框架。虽然这类模型具有较好的物理可解释性和估计精度，但求解复杂方程需要较多计算资源，颗粒半径、扩散系数等参数也难以获取，限制了其在资源受限BMS中的在线应用[</w:t>
      </w:r>
      <w:hyperlink w:anchor="b_ref20">
        <w:r>
          <w:rPr>
            <w:rStyle w:val="Hyperlink"/>
          </w:rPr>
          <w:t xml:space="preserve">20</w:t>
        </w:r>
      </w:hyperlink>
      <w:r>
        <w:t xml:space="preserve">,</w:t>
      </w:r>
      <w:hyperlink w:anchor="b_ref22">
        <w:r>
          <w:rPr>
            <w:rStyle w:val="Hyperlink"/>
          </w:rPr>
          <w:t xml:space="preserve">22</w:t>
        </w:r>
      </w:hyperlink>
      <w:r>
        <w:t xml:space="preserve">,</w:t>
      </w:r>
      <w:hyperlink w:anchor="b_ref23">
        <w:r>
          <w:rPr>
            <w:rStyle w:val="Hyperlink"/>
          </w:rPr>
          <w:t xml:space="preserve">23</w:t>
        </w:r>
      </w:hyperlink>
      <w:r>
        <w:rPr>
          <w:rFonts w:hint="eastAsia"/>
        </w:rPr>
        <w:t xml:space="preserve">]。相比之下，等效电路模型（ECM）将复杂的电化学过程简化为由电阻、电容等元件组成的电路，以模拟电池充放电动态特性[</w:t>
      </w:r>
      <w:hyperlink w:anchor="b_ref19">
        <w:r>
          <w:rPr>
            <w:rStyle w:val="Hyperlink"/>
          </w:rPr>
          <w:t xml:space="preserve">19</w:t>
        </w:r>
      </w:hyperlink>
      <w:r>
        <w:rPr>
          <w:rFonts w:hint="eastAsia"/>
        </w:rPr>
        <w:t xml:space="preserve">]。例如，Chen等人[</w:t>
      </w:r>
      <w:hyperlink w:anchor="b_ref24">
        <w:r>
          <w:rPr>
            <w:rStyle w:val="Hyperlink"/>
          </w:rPr>
          <w:t xml:space="preserve">24</w:t>
        </w:r>
      </w:hyperlink>
      <w:r>
        <w:rPr>
          <w:rFonts w:hint="eastAsia"/>
        </w:rPr>
        <w:t xml:space="preserve">]采用递推最小二乘法辨识Thevenin模型参数，并根据欧姆内阻与容量衰减的关系估计SOH。这种简化降低了模型的计算开销，但也使其难以全面刻画电池内部状态的变化。与电化学模型相比，ECM的估计精度可能较低，且依赖于所选电路结构与模型参数。此外，ECM参数对温度和充放电倍率等工况高度敏感，使其难以在整个老化周期内保持良好的估计鲁棒性[</w:t>
      </w:r>
      <w:hyperlink w:anchor="b_ref19">
        <w:r>
          <w:rPr>
            <w:rStyle w:val="Hyperlink"/>
          </w:rPr>
          <w:t xml:space="preserve">19</w:t>
        </w:r>
      </w:hyperlink>
      <w:r>
        <w:t xml:space="preserve">]。</w:t>
      </w:r>
    </w:p>
    <w:p>
      <w:pPr>
        <w:pStyle w:val="BodyText"/>
      </w:pPr>
      <w:r>
        <w:rPr>
          <w:rFonts w:hint="eastAsia"/>
        </w:rPr>
        <w:t xml:space="preserve">相较于模型驱动方法，数据驱动方法无需建立详细的电化学模型或深入分析电池内部的反应及老化机制[</w:t>
      </w:r>
      <w:hyperlink w:anchor="b_ref11">
        <w:r>
          <w:rPr>
            <w:rStyle w:val="Hyperlink"/>
          </w:rPr>
          <w:t xml:space="preserve">11</w:t>
        </w:r>
      </w:hyperlink>
      <w:r>
        <w:t xml:space="preserve">,</w:t>
      </w:r>
      <w:hyperlink w:anchor="b_ref14">
        <w:r>
          <w:rPr>
            <w:rStyle w:val="Hyperlink"/>
          </w:rPr>
          <w:t xml:space="preserve">14</w:t>
        </w:r>
      </w:hyperlink>
      <w:r>
        <w:rPr>
          <w:rFonts w:hint="eastAsia"/>
        </w:rPr>
        <w:t xml:space="preserve">]。这类方法利用历史运行数据训练模型，将提取的健康指标映射为SOH估计值。早期研究主要采用传统机器学习模型进行电池状态估计与寿命预测[</w:t>
      </w:r>
      <w:hyperlink w:anchor="b_ref25">
        <w:r>
          <w:rPr>
            <w:rStyle w:val="Hyperlink"/>
          </w:rPr>
          <w:t xml:space="preserve">25</w:t>
        </w:r>
      </w:hyperlink>
      <w:r>
        <w:rPr>
          <w:rFonts w:hint="eastAsia"/>
        </w:rPr>
        <w:t xml:space="preserve">]。例如，Fei等人[</w:t>
      </w:r>
      <w:hyperlink w:anchor="b_ref26">
        <w:r>
          <w:rPr>
            <w:rStyle w:val="Hyperlink"/>
          </w:rPr>
          <w:t xml:space="preserve">26</w:t>
        </w:r>
      </w:hyperlink>
      <w:r>
        <w:rPr>
          <w:rFonts w:hint="eastAsia"/>
        </w:rPr>
        <w:t xml:space="preserve">]从前100个循环的充放电数据中构造42个特征，经筛选后输入弹性网络、高斯过程回归（GPR）、支持向量机（SVM）、随机森林（RF）、梯度提升回归树（GBRT）和神经网络（NN）六种模型，比较其早期寿命预测表现。Li等人[</w:t>
      </w:r>
      <w:hyperlink w:anchor="b_ref27">
        <w:r>
          <w:rPr>
            <w:rStyle w:val="Hyperlink"/>
          </w:rPr>
          <w:t xml:space="preserve">27</w:t>
        </w:r>
      </w:hyperlink>
      <w:r>
        <w:rPr>
          <w:rFonts w:hint="eastAsia"/>
        </w:rPr>
        <w:t xml:space="preserve">]则利用局部充电过程中的电压和容量数据，通过随机森林实现在线容量估计。然而，当面对来自在线监测和历史循环的非线性、波动性数据时，传统机器学习模型因其结构限制而难以提供高性能。</w:t>
      </w:r>
    </w:p>
    <w:p>
      <w:pPr>
        <w:pStyle w:val="BodyText"/>
      </w:pPr>
      <w:r>
        <w:rPr>
          <w:rFonts w:hint="eastAsia"/>
        </w:rPr>
        <w:t xml:space="preserve">随着深度学习的快速发展，研究者进一步采用多层神经网络，利用其较强的非线性表征能力捕捉复杂的电池退化模式，以提高估计精度[</w:t>
      </w:r>
      <w:hyperlink w:anchor="b_ref14">
        <w:r>
          <w:rPr>
            <w:rStyle w:val="Hyperlink"/>
          </w:rPr>
          <w:t xml:space="preserve">14</w:t>
        </w:r>
      </w:hyperlink>
      <w:r>
        <w:rPr>
          <w:rFonts w:hint="eastAsia"/>
        </w:rPr>
        <w:t xml:space="preserve">]。卷积神经网络（CNN）、循环神经网络（RNN）和Transformer是其中常用的模型。CNN利用卷积核提取局部特征，并通过池化操作降低特征维度。例如，Qian等人[</w:t>
      </w:r>
      <w:hyperlink w:anchor="b_ref29">
        <w:r>
          <w:rPr>
            <w:rStyle w:val="Hyperlink"/>
          </w:rPr>
          <w:t xml:space="preserve">29</w:t>
        </w:r>
      </w:hyperlink>
      <w:r>
        <w:rPr>
          <w:rFonts w:hint="eastAsia"/>
        </w:rPr>
        <w:t xml:space="preserve">]将随机选取的充电曲线片段输入一维CNN，用于电池容量估计。结果表明，该方法在随机片段输入条件下取得了较低的容量估计误差。Lee等人[</w:t>
      </w:r>
      <w:hyperlink w:anchor="b_ref30">
        <w:r>
          <w:rPr>
            <w:rStyle w:val="Hyperlink"/>
          </w:rPr>
          <w:t xml:space="preserve">30</w:t>
        </w:r>
      </w:hyperlink>
      <w:r>
        <w:rPr>
          <w:rFonts w:hint="eastAsia"/>
        </w:rPr>
        <w:t xml:space="preserve">]则将跨循环的容量衰减序列转换为二维图像，并采用二维CNN估计SOH。</w:t>
      </w:r>
    </w:p>
    <w:p>
      <w:pPr>
        <w:pStyle w:val="BodyText"/>
      </w:pPr>
      <w:r>
        <w:rPr>
          <w:rFonts w:hint="eastAsia"/>
        </w:rPr>
        <w:t xml:space="preserve">然而，传统CNN的单层卷积受局部感受野限制，相距较远的特征通常需要经过多层卷积才能融合[</w:t>
      </w:r>
      <w:hyperlink w:anchor="b_ref31">
        <w:r>
          <w:rPr>
            <w:rStyle w:val="Hyperlink"/>
          </w:rPr>
          <w:t xml:space="preserve">31</w:t>
        </w:r>
      </w:hyperlink>
      <w:r>
        <w:rPr>
          <w:rFonts w:hint="eastAsia"/>
        </w:rPr>
        <w:t xml:space="preserve">]。为建立这些远距离联系，RNN通过隐藏状态将历史信息传递到后续时间步；其变体长短期记忆网络（LSTM）和门控循环单元（GRU）进一步利用门控机制选择性地保留和更新历史信息，以捕捉长期依赖[</w:t>
      </w:r>
      <w:hyperlink w:anchor="b_ref14">
        <w:r>
          <w:rPr>
            <w:rStyle w:val="Hyperlink"/>
          </w:rPr>
          <w:t xml:space="preserve">14</w:t>
        </w:r>
      </w:hyperlink>
      <w:r>
        <w:rPr>
          <w:rFonts w:hint="eastAsia"/>
        </w:rPr>
        <w:t xml:space="preserve">]。为同时利用局部特征与历史信息，研究者将CNN与循环网络相结合。例如，Xu等人[</w:t>
      </w:r>
      <w:hyperlink w:anchor="b_ref41">
        <w:r>
          <w:rPr>
            <w:rStyle w:val="Hyperlink"/>
          </w:rPr>
          <w:t xml:space="preserve">41</w:t>
        </w:r>
      </w:hyperlink>
      <w:r>
        <w:rPr>
          <w:rFonts w:hint="eastAsia"/>
        </w:rPr>
        <w:t xml:space="preserve">]将CNN提取的特征输入LSTM，利用LSTM的时序记忆能力估计SOH。Tian等人[</w:t>
      </w:r>
      <w:hyperlink w:anchor="b_ref42">
        <w:r>
          <w:rPr>
            <w:rStyle w:val="Hyperlink"/>
          </w:rPr>
          <w:t xml:space="preserve">42</w:t>
        </w:r>
      </w:hyperlink>
      <w:r>
        <w:rPr>
          <w:rFonts w:hint="eastAsia"/>
        </w:rPr>
        <w:t xml:space="preserve">]在CNN与BiLSTM的组合中进一步引入注意力机制，构建了CNN-BiLSTM-AM预测模型。Zheng等人[</w:t>
      </w:r>
      <w:hyperlink w:anchor="b_ref33">
        <w:r>
          <w:rPr>
            <w:rStyle w:val="Hyperlink"/>
          </w:rPr>
          <w:t xml:space="preserve">33</w:t>
        </w:r>
      </w:hyperlink>
      <w:r>
        <w:rPr>
          <w:rFonts w:hint="eastAsia"/>
        </w:rPr>
        <w:t xml:space="preserve">]则采用CNN-GRU，根据随机充电过程中的电压、电流和温度曲线片段估计SOH。尽管如此，这类模型中的隐藏状态仍需按时间步串行更新，限制了训练和推理过程中的并行计算[</w:t>
      </w:r>
      <w:hyperlink w:anchor="b_ref31">
        <w:r>
          <w:rPr>
            <w:rStyle w:val="Hyperlink"/>
          </w:rPr>
          <w:t xml:space="preserve">31</w:t>
        </w:r>
      </w:hyperlink>
      <w:r>
        <w:t xml:space="preserve">]。</w:t>
      </w:r>
    </w:p>
    <w:p>
      <w:pPr>
        <w:pStyle w:val="BodyText"/>
      </w:pPr>
      <w:r>
        <w:rPr>
          <w:rFonts w:hint="eastAsia"/>
        </w:rPr>
        <w:t xml:space="preserve">为解决这一问题，Vaswani等人[</w:t>
      </w:r>
      <w:hyperlink w:anchor="b_ref34">
        <w:r>
          <w:rPr>
            <w:rStyle w:val="Hyperlink"/>
          </w:rPr>
          <w:t xml:space="preserve">34</w:t>
        </w:r>
      </w:hyperlink>
      <w:r>
        <w:rPr>
          <w:rFonts w:hint="eastAsia"/>
        </w:rPr>
        <w:t xml:space="preserve">]提出了Transformer。该模型避免循环递推，利用自注意力直接建立不同序列位置之间的联系，在捕捉长程依赖的同时支持并行计算。例如，Park和Kim[</w:t>
      </w:r>
      <w:hyperlink w:anchor="b_ref38">
        <w:r>
          <w:rPr>
            <w:rStyle w:val="Hyperlink"/>
          </w:rPr>
          <w:t xml:space="preserve">38</w:t>
        </w:r>
      </w:hyperlink>
      <w:r>
        <w:rPr>
          <w:rFonts w:hint="eastAsia"/>
        </w:rPr>
        <w:t xml:space="preserve">]采用物理先验引导的Transformer估计电池长期SOH；Chen等人[</w:t>
      </w:r>
      <w:hyperlink w:anchor="b_ref37">
        <w:r>
          <w:rPr>
            <w:rStyle w:val="Hyperlink"/>
          </w:rPr>
          <w:t xml:space="preserve">37</w:t>
        </w:r>
      </w:hyperlink>
      <w:r>
        <w:rPr>
          <w:rFonts w:hint="eastAsia"/>
        </w:rPr>
        <w:t xml:space="preserve">]则在视觉Transformer中加入维度变换层等结构，使其适用于电池SOH估计。研究者还将Transformer与卷积或循环网络相结合，以提高预测精度。Gu等人[</w:t>
      </w:r>
      <w:hyperlink w:anchor="b_ref35">
        <w:r>
          <w:rPr>
            <w:rStyle w:val="Hyperlink"/>
          </w:rPr>
          <w:t xml:space="preserve">35</w:t>
        </w:r>
      </w:hyperlink>
      <w:r>
        <w:rPr>
          <w:rFonts w:hint="eastAsia"/>
        </w:rPr>
        <w:t xml:space="preserve">]采用CNN提取局部特征，并结合Transformer捕捉长程依赖。Jia等人[</w:t>
      </w:r>
      <w:hyperlink w:anchor="b_ref32">
        <w:r>
          <w:rPr>
            <w:rStyle w:val="Hyperlink"/>
          </w:rPr>
          <w:t xml:space="preserve">32</w:t>
        </w:r>
      </w:hyperlink>
      <w:r>
        <w:rPr>
          <w:rFonts w:hint="eastAsia"/>
        </w:rPr>
        <w:t xml:space="preserve">]将BiGRU与Transformer结合，实验表明该模型在所用电池数据上具有较好的预测精度、鲁棒性和泛化表现。Bai和Wang[</w:t>
      </w:r>
      <w:hyperlink w:anchor="b_ref36">
        <w:r>
          <w:rPr>
            <w:rStyle w:val="Hyperlink"/>
          </w:rPr>
          <w:t xml:space="preserve">36</w:t>
        </w:r>
      </w:hyperlink>
      <w:r>
        <w:rPr>
          <w:rFonts w:hint="eastAsia"/>
        </w:rPr>
        <w:t xml:space="preserve">]则提出卷积Transformer框架，从电压和电流信号中提取局部细节，并通过自注意力建立局部特征之间的全局联系。然而，现有方法多通过集成其他模块或模型提高Transformer的预测精度，这种性能提升往往以增加参数量和计算开销为代价[</w:t>
      </w:r>
      <w:hyperlink w:anchor="b_ref31">
        <w:r>
          <w:rPr>
            <w:rStyle w:val="Hyperlink"/>
          </w:rPr>
          <w:t xml:space="preserve">31</w:t>
        </w:r>
      </w:hyperlink>
      <w:r>
        <w:rPr>
          <w:rFonts w:hint="eastAsia"/>
        </w:rPr>
        <w:t xml:space="preserve">]。与此同时，标准自注意力的计算瓶颈依然存在：它需要计算所有序列位置之间的两两关系，时间和存储复杂度随序列长度</w:t>
      </w:r>
      <m:oMath>
        <m:r>
          <w:rPr>
            <w:rFonts w:ascii="Cambria Math" w:hAnsi="Cambria Math"/>
            <w:sz w:val="22"/>
          </w:rPr>
          <m:t>N</m:t>
        </m:r>
      </m:oMath>
      <w:r>
        <w:rPr>
          <w:rFonts w:hint="eastAsia"/>
        </w:rPr>
        <w:t xml:space="preserve">呈二次增长，即</w:t>
      </w:r>
      <m:oMath>
        <m:r>
          <w:rPr>
            <w:rFonts w:ascii="Cambria Math" w:hAnsi="Cambria Math"/>
            <w:sz w:val="22"/>
          </w:rPr>
          <m:t>O</m:t>
        </m:r>
        <m:r>
          <w:rPr>
            <w:rFonts w:ascii="Cambria Math" w:hAnsi="Cambria Math"/>
            <w:sz w:val="22"/>
          </w:rPr>
          <m:rPr>
            <m:sty m:val="p"/>
          </m:rPr>
          <m:t>(</m:t>
        </m:r>
        <m:sSup>
          <m:e>
            <m:r>
              <w:rPr>
                <w:rFonts w:ascii="Cambria Math" w:hAnsi="Cambria Math"/>
                <w:sz w:val="22"/>
              </w:rPr>
              <m:t>N</m:t>
            </m:r>
          </m:e>
          <m:sup>
            <m:r>
              <w:rPr>
                <w:rFonts w:ascii="Cambria Math" w:hAnsi="Cambria Math"/>
                <w:sz w:val="22"/>
              </w:rPr>
              <m:t>2</m:t>
            </m:r>
          </m:sup>
        </m:sSup>
        <m:r>
          <w:rPr>
            <w:rFonts w:ascii="Cambria Math" w:hAnsi="Cambria Math"/>
            <w:sz w:val="22"/>
          </w:rPr>
          <m:rPr>
            <m:sty m:val="p"/>
          </m:rPr>
          <m:t>)</m:t>
        </m:r>
      </m:oMath>
      <w:r>
        <w:t xml:space="preserve">[</w:t>
      </w:r>
      <w:hyperlink w:anchor="b_ref39">
        <w:r>
          <w:rPr>
            <w:rStyle w:val="Hyperlink"/>
          </w:rPr>
          <w:t xml:space="preserve">39</w:t>
        </w:r>
      </w:hyperlink>
      <w:r>
        <w:t xml:space="preserve">,</w:t>
      </w:r>
      <w:hyperlink w:anchor="b_ref40">
        <w:r>
          <w:rPr>
            <w:rStyle w:val="Hyperlink"/>
          </w:rPr>
          <w:t xml:space="preserve">40</w:t>
        </w:r>
      </w:hyperlink>
      <w:r>
        <w:rPr>
          <w:rFonts w:hint="eastAsia"/>
        </w:rPr>
        <w:t xml:space="preserve">]。这些计算与存储需求增加了模型在资源受限BMS中的在线应用难度[</w:t>
      </w:r>
      <w:hyperlink w:anchor="b_ref31">
        <w:r>
          <w:rPr>
            <w:rStyle w:val="Hyperlink"/>
          </w:rPr>
          <w:t xml:space="preserve">31</w:t>
        </w:r>
      </w:hyperlink>
      <w:r>
        <w:t xml:space="preserve">]。</w:t>
      </w:r>
    </w:p>
    <w:p>
      <w:pPr>
        <w:pStyle w:val="BodyText"/>
      </w:pPr>
      <w:r>
        <w:rPr>
          <w:rFonts w:hint="eastAsia"/>
        </w:rPr>
        <w:t xml:space="preserve">除了预测模型，健康指标的提取与选择对SOH估计的准确性同样至关重要。这些指标主要从电池循环过程中的电压、电流、温度、时间和内阻等运行数据及其衍生曲线中提取[</w:t>
      </w:r>
      <w:hyperlink w:anchor="b_ref47">
        <w:r>
          <w:rPr>
            <w:rStyle w:val="Hyperlink"/>
          </w:rPr>
          <w:t xml:space="preserve">47</w:t>
        </w:r>
      </w:hyperlink>
      <w:r>
        <w:t xml:space="preserve">–</w:t>
      </w:r>
      <w:hyperlink w:anchor="b_ref50">
        <w:r>
          <w:rPr>
            <w:rStyle w:val="Hyperlink"/>
          </w:rPr>
          <w:t xml:space="preserve">50</w:t>
        </w:r>
      </w:hyperlink>
      <w:r>
        <w:rPr>
          <w:rFonts w:hint="eastAsia"/>
        </w:rPr>
        <w:t xml:space="preserve">]。其中，部分内阻指标需要通过阻抗谱测试获得，测试过程耗时且依赖专用仪器[</w:t>
      </w:r>
      <w:hyperlink w:anchor="b_ref64">
        <w:r>
          <w:rPr>
            <w:rStyle w:val="Hyperlink"/>
          </w:rPr>
          <w:t xml:space="preserve">64</w:t>
        </w:r>
      </w:hyperlink>
      <w:r>
        <w:rPr>
          <w:rFonts w:hint="eastAsia"/>
        </w:rPr>
        <w:t xml:space="preserve">]。温度指标虽然包含电池退化信息，但也会受到环境温度和充放电倍率的影响，其在不同工况下的稳定性受到限制[</w:t>
      </w:r>
      <w:hyperlink w:anchor="b_ref64">
        <w:r>
          <w:rPr>
            <w:rStyle w:val="Hyperlink"/>
          </w:rPr>
          <w:t xml:space="preserve">64</w:t>
        </w:r>
      </w:hyperlink>
      <w:r>
        <w:rPr>
          <w:rFonts w:hint="eastAsia"/>
        </w:rPr>
        <w:t xml:space="preserve">]。增量容量曲线能够反映电池老化引起的电压平台变化，但计算该曲线需要进行微分运算，容易放大采样噪声。为获得可靠的曲线特征，通常需要进行平滑处理[</w:t>
      </w:r>
      <w:hyperlink w:anchor="b_ref28">
        <w:r>
          <w:rPr>
            <w:rStyle w:val="Hyperlink"/>
          </w:rPr>
          <w:t xml:space="preserve">28</w:t>
        </w:r>
      </w:hyperlink>
      <w:r>
        <w:t xml:space="preserve">,</w:t>
      </w:r>
      <w:hyperlink w:anchor="b_ref50">
        <w:r>
          <w:rPr>
            <w:rStyle w:val="Hyperlink"/>
          </w:rPr>
          <w:t xml:space="preserve">50</w:t>
        </w:r>
      </w:hyperlink>
      <w:r>
        <w:rPr>
          <w:rFonts w:hint="eastAsia"/>
        </w:rPr>
        <w:t xml:space="preserve">]。例如，Wen等人[</w:t>
      </w:r>
      <w:hyperlink w:anchor="b_ref50">
        <w:r>
          <w:rPr>
            <w:rStyle w:val="Hyperlink"/>
          </w:rPr>
          <w:t xml:space="preserve">50</w:t>
        </w:r>
      </w:hyperlink>
      <w:r>
        <w:rPr>
          <w:rFonts w:hint="eastAsia"/>
        </w:rPr>
        <w:t xml:space="preserve">]从平滑后的增量容量曲线中提取峰值、峰位和峰形斜率等候选特征，并根据相关性分析选择峰值作为BP神经网络输入。</w:t>
      </w:r>
    </w:p>
    <w:p>
      <w:pPr>
        <w:pStyle w:val="BodyText"/>
      </w:pPr>
      <w:r>
        <w:rPr>
          <w:rFonts w:hint="eastAsia"/>
        </w:rPr>
        <w:t xml:space="preserve">相比之下，时间类健康指标无需微分处理，提取过程更为简单。其中，恒流充电时间（CCCT）可由所选电压区间两端对应时刻的差值获得。Richardson等人[</w:t>
      </w:r>
      <w:hyperlink w:anchor="b_ref28">
        <w:r>
          <w:rPr>
            <w:rStyle w:val="Hyperlink"/>
          </w:rPr>
          <w:t xml:space="preserve">28</w:t>
        </w:r>
      </w:hyperlink>
      <w:r>
        <w:rPr>
          <w:rFonts w:hint="eastAsia"/>
        </w:rPr>
        <w:t xml:space="preserve">]利用恒流充电曲线中不同电压区间的时间特征估计电池容量，Lin等人[</w:t>
      </w:r>
      <w:hyperlink w:anchor="b_ref63">
        <w:r>
          <w:rPr>
            <w:rStyle w:val="Hyperlink"/>
          </w:rPr>
          <w:t xml:space="preserve">63</w:t>
        </w:r>
      </w:hyperlink>
      <w:r>
        <w:rPr>
          <w:rFonts w:hint="eastAsia"/>
        </w:rPr>
        <w:t xml:space="preserve">]则将CCCT作为随机森林的输入，估计电池SOH。由于时间特征与容量之间的相关性会受到所选电压区间影响，相关研究通常需要进一步确定合适的特征提取区间。Tian等人[</w:t>
      </w:r>
      <w:hyperlink w:anchor="b_ref51">
        <w:r>
          <w:rPr>
            <w:rStyle w:val="Hyperlink"/>
          </w:rPr>
          <w:t xml:space="preserve">51</w:t>
        </w:r>
      </w:hyperlink>
      <w:r>
        <w:rPr>
          <w:rFonts w:hint="eastAsia"/>
        </w:rPr>
        <w:t xml:space="preserve">]通过优化充电电压区间，提高所提取健康指标与容量之间的相关性。在充电时间特征的区间选择中，Li等人[</w:t>
      </w:r>
      <w:hyperlink w:anchor="b_ref31">
        <w:r>
          <w:rPr>
            <w:rStyle w:val="Hyperlink"/>
          </w:rPr>
          <w:t xml:space="preserve">31</w:t>
        </w:r>
      </w:hyperlink>
      <w:r>
        <w:rPr>
          <w:rFonts w:hint="eastAsia"/>
        </w:rPr>
        <w:t xml:space="preserve">]逐步缩小电压窗口，并利用组内多节电池的皮尔逊相关系数（PCC）评价候选区间，以从更短的充电片段中提取与SOH高度相关的时间特征。</w:t>
      </w:r>
    </w:p>
    <w:p>
      <w:pPr>
        <w:pStyle w:val="BodyText"/>
      </w:pPr>
      <w:r>
        <w:rPr>
          <w:rFonts w:hint="eastAsia"/>
        </w:rPr>
        <w:t xml:space="preserve">不同运行数据及其衍生曲线能够从不同方面反映电池退化。为更充分地利用这些信息，一些研究从多种运行信号中构建候选健康指标，并进一步优化模型输入。例如，Dai等人[</w:t>
      </w:r>
      <w:hyperlink w:anchor="b_ref48">
        <w:r>
          <w:rPr>
            <w:rStyle w:val="Hyperlink"/>
          </w:rPr>
          <w:t xml:space="preserve">48</w:t>
        </w:r>
      </w:hyperlink>
      <w:r>
        <w:rPr>
          <w:rFonts w:hint="eastAsia"/>
        </w:rPr>
        <w:t xml:space="preserve">]从电压、电流、温度以及增量容量、差分热伏安曲线中提取健康指标，并计算这些指标在各循环下的均值、中位数等统计特征，随后通过比较不同统计特征组合的估计误差确定用于SOH估计的输入。Lin等人[</w:t>
      </w:r>
      <w:hyperlink w:anchor="b_ref55">
        <w:r>
          <w:rPr>
            <w:rStyle w:val="Hyperlink"/>
          </w:rPr>
          <w:t xml:space="preserve">55</w:t>
        </w:r>
      </w:hyperlink>
      <w:r>
        <w:rPr>
          <w:rFonts w:hint="eastAsia"/>
        </w:rPr>
        <w:t xml:space="preserve">]从电学、热学和电化学等角度构建多类特征，采用主成分分析进行降维，并利用模拟退火算法优化保留的特征维数，从而减少冗余并改善SOH估计表现。</w:t>
      </w:r>
    </w:p>
    <w:p>
      <w:pPr>
        <w:pStyle w:val="BodyText"/>
      </w:pPr>
      <w:r>
        <w:rPr>
          <w:rFonts w:hint="eastAsia"/>
        </w:rPr>
        <w:t xml:space="preserve">单一健康指标所反映的退化信息相对有限，多源特征能够从不同方面补充电池退化的描述。然而，增加候选指标并不必然提高估计精度，表征能力较弱、跨电池表现不稳定或相互重复的指标，可能限制多源信息的有效利用，并增加模型的学习负担。因此，有必要设计相应的健康指标筛选算法，将SOH相关性、跨电池表现与冗余关系纳入统一的评价与筛选过程，保留具有稳定表征能力的指标，减少弱相关和重复信息的输入，以帮助模型更有效地学习电池退化规律。</w:t>
      </w:r>
    </w:p>
    <w:p>
      <w:pPr>
        <w:pStyle w:val="BodyText"/>
      </w:pPr>
      <w:r>
        <w:rPr>
          <w:rFonts w:hint="eastAsia"/>
        </w:rPr>
        <w:t xml:space="preserve">现有SOH估计方法之间的比较总结于</w:t>
      </w:r>
      <w:hyperlink w:anchor="b_tab_soh_method_comparison">
        <w:r>
          <w:rPr>
            <w:rStyle w:val="Hyperlink"/>
          </w:rPr>
          <w:t xml:space="preserve">Table 1</w:t>
        </w:r>
      </w:hyperlink>
      <w:r>
        <w:rPr>
          <w:rFonts w:hint="eastAsia"/>
        </w:rPr>
        <w:t xml:space="preserve">。具体而言，重点考察各方法是否充分利用电池运行数据中的退化信息，是否采用有效的健康指标提取与选择策略，是否通过针对性的模型设计兼顾估计性能与计算效率，以及是否开展模型复杂度评价。在健康指标方面，不同电池在材料体系和运行条件上存在差异，所选指标能否在不同电池间保持稳定的退化表征能力仍需进一步关注。在模型方面，除估计性能外，模型复杂度同样直接关系到实际部署。近年来，深度模型架构发展的一个显著趋势是通过增加网络深度、扩大模型规模或引入更复杂的特征交互结构来增强表征能力。这些设计有助于提升模型对复杂退化规律的建模能力，但通常也伴随着更高的参数量、计算开销和存储需求。因此，面向计算能力、存储空间和实时性受到限制的BMS，SOH估计模型需要在保持有效表征能力的同时控制模型规模与资源开销，进一步向紧凑化和高效化方向发展。</w:t>
      </w:r>
    </w:p>
    <w:p>
      <w:pPr>
        <w:pStyle w:val="BodyText"/>
        <w:keepLines/>
        <w:spacing w:before="100" w:after="80"/>
        <w:ind w:firstLine="0"/>
        <w:jc w:val="center"/>
      </w:pPr>
      <w:bookmarkStart w:id="1001" w:name="b_tab_soh_method_comparison"/>
      <w:r>
        <w:drawing>
          <wp:inline>
            <wp:extent cx="6084000" cy="3663333"/>
            <wp:docPr id="1" name="Picture 1"/>
            <wp:cNvGraphicFramePr>
              <a:graphicFrameLocks noChangeAspect="1"/>
            </wp:cNvGraphicFramePr>
            <a:graphic>
              <a:graphicData uri="http://schemas.openxmlformats.org/drawingml/2006/picture">
                <pic:pic>
                  <pic:nvPicPr>
                    <pic:cNvPr id="0" name="table_01.png"/>
                    <pic:cNvPicPr/>
                  </pic:nvPicPr>
                  <pic:blipFill>
                    <a:blip r:embed="rId9"/>
                    <a:stretch>
                      <a:fillRect/>
                    </a:stretch>
                  </pic:blipFill>
                  <pic:spPr>
                    <a:xfrm>
                      <a:off x="0" y="0"/>
                      <a:ext cx="6084000" cy="3663333"/>
                    </a:xfrm>
                    <a:prstGeom prst="rect"/>
                  </pic:spPr>
                </pic:pic>
              </a:graphicData>
            </a:graphic>
          </wp:inline>
        </w:drawing>
      </w:r>
      <w:bookmarkEnd w:id="1001"/>
    </w:p>
    <w:bookmarkEnd w:id="10"/>
    <w:bookmarkStart w:id="11" w:name="挑战分析与贡献"/>
    <w:p>
      <w:pPr>
        <w:pStyle w:val="Heading2"/>
      </w:pPr>
      <w:r>
        <w:rPr>
          <w:rStyle w:val="SectionNumber"/>
        </w:rPr>
        <w:t xml:space="preserve">1.2</w:t>
      </w:r>
      <w:r>
        <w:tab/>
      </w:r>
      <w:r>
        <w:rPr>
          <w:rFonts w:hint="eastAsia"/>
        </w:rPr>
        <w:t xml:space="preserve">挑战分析与贡献</w:t>
      </w:r>
    </w:p>
    <w:p>
      <w:pPr>
        <w:pStyle w:val="FirstParagraph"/>
      </w:pPr>
      <w:r>
        <w:rPr>
          <w:rFonts w:hint="eastAsia"/>
        </w:rPr>
        <w:t xml:space="preserve">现有方法面临的主要挑战可归纳为以下三点。</w:t>
      </w:r>
    </w:p>
    <w:p>
      <w:pPr>
        <w:pStyle w:val="BodyText"/>
      </w:pPr>
      <w:r>
        <w:rPr>
          <w:rFonts w:hint="eastAsia"/>
        </w:rPr>
        <w:t xml:space="preserve">（1）</w:t>
      </w:r>
      <w:r>
        <w:rPr>
          <w:rFonts w:hint="eastAsia"/>
          <w:b/>
          <w:bCs/>
        </w:rPr>
        <w:t xml:space="preserve">健康指标的跨电池稳定性问题。</w:t>
      </w:r>
      <w:r>
        <w:t xml:space="preserve"> </w:t>
      </w:r>
      <w:r>
        <w:rPr>
          <w:rFonts w:hint="eastAsia"/>
        </w:rPr>
        <w:t xml:space="preserve">从多传感器收集的原始数据包含多样化的退化相关特征。候选健康指标与SOH之间的关联可能随电池个体而变化，在一节电池上表现良好的指标，在其他电池上未必保持相同的表征能力。PCC和斯皮尔曼相关系数（SCC）分别用于评价线性关联与单调关联，仅采用其中一种，难以同时考察这两方面的表现。此外，即使多个指标均与SOH具有较强关联，它们之间仍可能包含重复信息。因此，模型输入的确定需要结合不同电池上的相关性表现与指标间的冗余关系，减少选择结果对单节电池表现的依赖。</w:t>
      </w:r>
    </w:p>
    <w:p>
      <w:pPr>
        <w:pStyle w:val="BodyText"/>
      </w:pPr>
      <w:r>
        <w:rPr>
          <w:rFonts w:hint="eastAsia"/>
        </w:rPr>
        <w:t xml:space="preserve">（2）</w:t>
      </w:r>
      <w:r>
        <w:rPr>
          <w:rFonts w:hint="eastAsia"/>
          <w:b/>
          <w:bCs/>
        </w:rPr>
        <w:t xml:space="preserve">局部与长期退化信息的融合问题。</w:t>
      </w:r>
      <w:r>
        <w:t xml:space="preserve"> </w:t>
      </w:r>
      <w:r>
        <w:rPr>
          <w:rFonts w:hint="eastAsia"/>
        </w:rPr>
        <w:t xml:space="preserve">随着循环推进，电池容量整体呈下降趋势，并伴随相邻循环的波动和局部容量恢复。局部特征能够反映短期变化，但对长期衰减趋势的把握还需要建立跨循环联系；在聚合跨循环信息时，也需要保留局部退化细节，避免短期变化被弱化。因此，模型不仅需要提取不同时间尺度的退化特征，还需要使局部变化与长期趋势相互补充，以提高SOH估计的准确性。</w:t>
      </w:r>
    </w:p>
    <w:p>
      <w:pPr>
        <w:pStyle w:val="BodyText"/>
      </w:pPr>
      <w:r>
        <w:rPr>
          <w:rFonts w:hint="eastAsia"/>
        </w:rPr>
        <w:t xml:space="preserve">（3）</w:t>
      </w:r>
      <w:r>
        <w:rPr>
          <w:rFonts w:hint="eastAsia"/>
          <w:b/>
          <w:bCs/>
        </w:rPr>
        <w:t xml:space="preserve">计算复杂度限制。</w:t>
      </w:r>
      <w:r>
        <w:t xml:space="preserve"> </w:t>
      </w:r>
      <w:r>
        <w:rPr>
          <w:rFonts w:hint="eastAsia"/>
        </w:rPr>
        <w:t xml:space="preserve">许多现有深度学习模型通过增加网络深度或组合不同网络结构提高SOH估计精度。这些方法增加了模型参数和计算操作。循环结构需要按时间步依次计算，标准自注意力需要计算所有序列位置之间的两两关系，其时间和存储开销随序列长度呈二次增长。这些开销加重了资源受限BMS的运行负担，限制了在线SOH估计模型的部署。</w:t>
      </w:r>
    </w:p>
    <w:p>
      <w:pPr>
        <w:pStyle w:val="BodyText"/>
      </w:pPr>
      <w:r>
        <w:rPr>
          <w:rFonts w:hint="eastAsia"/>
        </w:rPr>
        <w:t xml:space="preserve">为应对上述挑战，本文提出一种以MS-AgentNet为核心的锂离子电池SOH估计框架。该框架从健康指标构建和轻量模型设计两个层面展开，分别通过组级标定与筛选提高模型输入的跨电池稳定性，并以较低计算开销提取局部变化和长期趋势，主要贡献如下。</w:t>
      </w:r>
    </w:p>
    <w:p>
      <w:pPr>
        <w:pStyle w:val="BodyText"/>
      </w:pPr>
      <w:r>
        <w:rPr>
          <w:rFonts w:hint="eastAsia"/>
        </w:rPr>
        <w:t xml:space="preserve">（1）</w:t>
      </w:r>
      <w:r>
        <w:rPr>
          <w:rFonts w:hint="eastAsia"/>
          <w:b/>
          <w:bCs/>
        </w:rPr>
        <w:t xml:space="preserve">提出组级健康指标选择算法。</w:t>
      </w:r>
      <w:r>
        <w:t xml:space="preserve"> </w:t>
      </w:r>
      <w:r>
        <w:rPr>
          <w:rFonts w:hint="eastAsia"/>
        </w:rPr>
        <w:t xml:space="preserve">该算法以特征开发电池集合上的相关性结果为依据，综合评价多类候选健康指标与SOH的关联及指标间的冗余。利用MS-CCCT标定其中充电时间特征的电压窗口，再通过PCC/SCC双阈值与冗余约束筛选候选指标。统一的筛选规则为各数据集确定相应的健康指标组合，入选指标在同一数据集的其他电池上仍保持较强的线性和单调相关性。</w:t>
      </w:r>
    </w:p>
    <w:p>
      <w:pPr>
        <w:pStyle w:val="BodyText"/>
      </w:pPr>
      <w:r>
        <w:rPr>
          <w:rFonts w:hint="eastAsia"/>
        </w:rPr>
        <w:t xml:space="preserve">（2）</w:t>
      </w:r>
      <w:r>
        <w:rPr>
          <w:rFonts w:hint="eastAsia"/>
          <w:b/>
          <w:bCs/>
        </w:rPr>
        <w:t xml:space="preserve">构建轻量级局部—全局网络MS-AgentNet。</w:t>
      </w:r>
      <w:r>
        <w:t xml:space="preserve"> </w:t>
      </w:r>
      <w:r>
        <w:rPr>
          <w:rFonts w:hint="eastAsia"/>
        </w:rPr>
        <w:t xml:space="preserve">设计轻量级局部—全局融合注意力模块（SLFA），将小核深度可分离卷积与ReLU</w:t>
      </w:r>
      <m:oMath>
        <m:sSup>
          <m:e>
            <m:r>
              <w:rPr>
                <w:rFonts w:ascii="Cambria Math" w:hAnsi="Cambria Math"/>
                <w:sz w:val="22"/>
              </w:rPr>
              <m:t>​</m:t>
            </m:r>
          </m:e>
          <m:sup>
            <m:r>
              <w:rPr>
                <w:rFonts w:ascii="Cambria Math" w:hAnsi="Cambria Math"/>
                <w:sz w:val="22"/>
              </w:rPr>
              <m:t>2</m:t>
            </m:r>
          </m:sup>
        </m:sSup>
      </m:oMath>
      <w:r>
        <w:rPr>
          <w:rFonts w:hint="eastAsia"/>
        </w:rPr>
        <w:t xml:space="preserve">智能体注意力相结合，以较低的参数开销融合局部退化特征与长期依赖。所构建的注意力机制将计算复杂度由</w:t>
      </w:r>
      <m:oMath>
        <m:r>
          <w:rPr>
            <w:rFonts w:ascii="Cambria Math" w:hAnsi="Cambria Math"/>
            <w:sz w:val="22"/>
          </w:rPr>
          <m:t>O</m:t>
        </m:r>
        <m:r>
          <w:rPr>
            <w:rFonts w:ascii="Cambria Math" w:hAnsi="Cambria Math"/>
            <w:sz w:val="22"/>
          </w:rPr>
          <m:rPr>
            <m:sty m:val="p"/>
          </m:rPr>
          <m:t>(</m:t>
        </m:r>
        <m:sSup>
          <m:e>
            <m:r>
              <w:rPr>
                <w:rFonts w:ascii="Cambria Math" w:hAnsi="Cambria Math"/>
                <w:sz w:val="22"/>
              </w:rPr>
              <m:t>N</m:t>
            </m:r>
          </m:e>
          <m:sup>
            <m:r>
              <w:rPr>
                <w:rFonts w:ascii="Cambria Math" w:hAnsi="Cambria Math"/>
                <w:sz w:val="22"/>
              </w:rPr>
              <m:t>2</m:t>
            </m:r>
          </m:sup>
        </m:sSup>
        <m:r>
          <w:rPr>
            <w:rFonts w:ascii="Cambria Math" w:hAnsi="Cambria Math"/>
            <w:sz w:val="22"/>
          </w:rPr>
          <m:rPr>
            <m:sty m:val="p"/>
          </m:rPr>
          <m:t>)</m:t>
        </m:r>
      </m:oMath>
      <w:r>
        <w:rPr>
          <w:rFonts w:hint="eastAsia"/>
        </w:rPr>
        <w:t xml:space="preserve">降低至</w:t>
      </w:r>
      <m:oMath>
        <m:r>
          <w:rPr>
            <w:rFonts w:ascii="Cambria Math" w:hAnsi="Cambria Math"/>
            <w:sz w:val="22"/>
          </w:rPr>
          <m:t>O</m:t>
        </m:r>
        <m:r>
          <w:rPr>
            <w:rFonts w:ascii="Cambria Math" w:hAnsi="Cambria Math"/>
            <w:sz w:val="22"/>
          </w:rPr>
          <m:rPr>
            <m:sty m:val="p"/>
          </m:rPr>
          <m:t>(</m:t>
        </m:r>
        <m:r>
          <w:rPr>
            <w:rFonts w:ascii="Cambria Math" w:hAnsi="Cambria Math"/>
            <w:sz w:val="22"/>
          </w:rPr>
          <m:t>N</m:t>
        </m:r>
        <m:r>
          <w:rPr>
            <w:rFonts w:ascii="Cambria Math" w:hAnsi="Cambria Math"/>
            <w:sz w:val="22"/>
          </w:rPr>
          <m:rPr>
            <m:sty m:val="p"/>
          </m:rPr>
          <m:t>)</m:t>
        </m:r>
      </m:oMath>
      <w:r>
        <w:rPr>
          <w:rFonts w:hint="eastAsia"/>
        </w:rPr>
        <w:t xml:space="preserve">。模型进一步引入大核深度可分离卷积，与小核卷积共同提取不同时间尺度的退化特征。上述设计将局部特征提取与全局信息交互整合于紧凑的网络结构中，在提高SOH估计精度的同时降低了计算与存储开销。</w:t>
      </w:r>
    </w:p>
    <w:p>
      <w:pPr>
        <w:pStyle w:val="BodyText"/>
      </w:pPr>
      <w:r>
        <w:rPr>
          <w:rFonts w:hint="eastAsia"/>
        </w:rPr>
        <w:t xml:space="preserve">（3）</w:t>
      </w:r>
      <w:r>
        <w:rPr>
          <w:rFonts w:hint="eastAsia"/>
          <w:b/>
          <w:bCs/>
        </w:rPr>
        <w:t xml:space="preserve">开展多数据集综合验证。</w:t>
      </w:r>
      <w:r>
        <w:t xml:space="preserve"> </w:t>
      </w:r>
      <w:r>
        <w:rPr>
          <w:rFonts w:hint="eastAsia"/>
        </w:rPr>
        <w:t xml:space="preserve">在具有不同材料、容量和充放电协议的多个公开数据集上开展实验，并结合模块消融与复杂度分析，综合评估所提方法的估计精度、计算效率及跨电池泛化能力。进一步通过跨数据集迁移实验考察模型的跨域适应能力。结果表明，所提模型在保持较高SOH估计精度的同时，具有较低的计算量和存储开销。</w:t>
      </w:r>
    </w:p>
    <w:p>
      <w:pPr>
        <w:pStyle w:val="BodyText"/>
        <w:keepNext/>
        <w:keepLines/>
        <w:spacing w:before="100" w:after="80"/>
        <w:ind w:firstLine="0"/>
        <w:jc w:val="center"/>
      </w:pPr>
      <w:bookmarkStart w:id="1002" w:name="b_fig_2_1"/>
      <w:r>
        <w:drawing>
          <wp:inline>
            <wp:extent cx="6084000" cy="7116303"/>
            <wp:docPr id="2" name="Picture 2"/>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6084000" cy="7116303"/>
                    </a:xfrm>
                    <a:prstGeom prst="rect"/>
                  </pic:spPr>
                </pic:pic>
              </a:graphicData>
            </a:graphic>
          </wp:inline>
        </w:drawing>
      </w:r>
      <w:bookmarkEnd w:id="1002"/>
    </w:p>
    <w:p>
      <w:pPr>
        <w:ind w:firstLine="0"/>
        <w:jc w:val="center"/>
      </w:pPr>
      <w:r>
        <w:rPr>
          <w:sz w:val="18"/>
        </w:rPr>
        <w:t>Fig. 1. Flowchart of the developed SOH estimation approach.</w:t>
      </w:r>
    </w:p>
    <w:bookmarkEnd w:id="11"/>
    <w:bookmarkEnd w:id="12"/>
    <w:bookmarkStart w:id="22" w:name="方法基础与数据准备"/>
    <w:p>
      <w:pPr>
        <w:pStyle w:val="Heading1"/>
      </w:pPr>
      <w:r>
        <w:rPr>
          <w:rStyle w:val="SectionNumber"/>
        </w:rPr>
        <w:t xml:space="preserve">2</w:t>
      </w:r>
      <w:r>
        <w:tab/>
      </w:r>
      <w:r>
        <w:rPr>
          <w:rFonts w:hint="eastAsia"/>
        </w:rPr>
        <w:t xml:space="preserve">方法基础与数据准备</w:t>
      </w:r>
    </w:p>
    <w:bookmarkStart w:id="13" w:name="健康状态估计框架概述"/>
    <w:p>
      <w:pPr>
        <w:pStyle w:val="Heading2"/>
      </w:pPr>
      <w:r>
        <w:rPr>
          <w:rStyle w:val="SectionNumber"/>
        </w:rPr>
        <w:t xml:space="preserve">2.1</w:t>
      </w:r>
      <w:r>
        <w:tab/>
      </w:r>
      <w:r>
        <w:rPr>
          <w:rFonts w:hint="eastAsia"/>
        </w:rPr>
        <w:t xml:space="preserve">健康状态估计框架概述</w:t>
      </w:r>
    </w:p>
    <w:p>
      <w:pPr>
        <w:pStyle w:val="FirstParagraph"/>
      </w:pPr>
      <w:r>
        <w:rPr>
          <w:rFonts w:hint="eastAsia"/>
        </w:rPr>
        <w:t xml:space="preserve">为统一后续实验中的计算口径，SOH</w:t>
      </w:r>
      <w:r>
        <w:t xml:space="preserve"> </w:t>
      </w:r>
      <w:r>
        <w:rPr>
          <w:rFonts w:hint="eastAsia"/>
        </w:rPr>
        <w:t xml:space="preserve">按容量保持率进行计算，即电池当前可用容量与额定容量之比[</w:t>
      </w:r>
      <w:hyperlink w:anchor="b_ref13">
        <w:r>
          <w:rPr>
            <w:rStyle w:val="Hyperlink"/>
          </w:rPr>
          <w:t xml:space="preserve">13</w:t>
        </w:r>
      </w:hyperlink>
      <w:r>
        <w:t xml:space="preserve">,</w:t>
      </w:r>
      <w:hyperlink w:anchor="b_ref14">
        <w:r>
          <w:rPr>
            <w:rStyle w:val="Hyperlink"/>
          </w:rPr>
          <w:t xml:space="preserve">14</w:t>
        </w:r>
      </w:hyperlink>
      <w:r>
        <w:rPr>
          <w:rFonts w:hint="eastAsia"/>
        </w:rPr>
        <w:t xml:space="preserve">]：</w:t>
      </w:r>
    </w:p>
    <w:p>
      <w:pPr>
        <w:pStyle w:val="BodyText"/>
        <w:keepLines/>
        <w:tabs>
          <w:tab w:pos="4791" w:val="center"/>
          <w:tab w:pos="9581" w:val="right"/>
        </w:tabs>
        <w:spacing w:before="100" w:after="100"/>
        <w:ind w:firstLine="0"/>
        <w:jc w:val="left"/>
      </w:pPr>
      <w:bookmarkStart w:id="1003" w:name="equation_1"/>
      <w:r>
        <w:tab/>
      </w:r>
      <m:oMath>
        <m:r>
          <w:rPr>
            <w:rFonts w:ascii="Cambria Math" w:hAnsi="Cambria Math"/>
            <w:sz w:val="22"/>
          </w:rPr>
          <m:rPr>
            <m:sty m:val="p"/>
          </m:rPr>
          <m:t>S</m:t>
        </m:r>
        <m:r>
          <w:rPr>
            <w:rFonts w:ascii="Cambria Math" w:hAnsi="Cambria Math"/>
            <w:sz w:val="22"/>
          </w:rPr>
          <m:rPr>
            <m:sty m:val="p"/>
          </m:rPr>
          <m:t>O</m:t>
        </m:r>
        <m:r>
          <w:rPr>
            <w:rFonts w:ascii="Cambria Math" w:hAnsi="Cambria Math"/>
            <w:sz w:val="22"/>
          </w:rPr>
          <m:rPr>
            <m:sty m:val="p"/>
          </m:rPr>
          <m:t>H</m:t>
        </m:r>
        <m:r>
          <w:rPr>
            <w:rFonts w:ascii="Cambria Math" w:hAnsi="Cambria Math"/>
            <w:sz w:val="22"/>
          </w:rPr>
          <m:rPr>
            <m:sty m:val="p"/>
          </m:rPr>
          <m:t>=</m:t>
        </m:r>
        <m:f>
          <m:fPr>
            <m:type m:val="bar"/>
          </m:fPr>
          <m:num>
            <m:sSub>
              <m:e>
                <m:r>
                  <w:rPr>
                    <w:rFonts w:ascii="Cambria Math" w:hAnsi="Cambria Math"/>
                    <w:sz w:val="22"/>
                  </w:rPr>
                  <m:t>C</m:t>
                </m:r>
              </m:e>
              <m:sub>
                <m:r>
                  <w:rPr>
                    <w:rFonts w:ascii="Cambria Math" w:hAnsi="Cambria Math"/>
                    <w:sz w:val="22"/>
                  </w:rPr>
                  <m:rPr>
                    <m:sty m:val="p"/>
                  </m:rPr>
                  <m:t>c</m:t>
                </m:r>
                <m:r>
                  <w:rPr>
                    <w:rFonts w:ascii="Cambria Math" w:hAnsi="Cambria Math"/>
                    <w:sz w:val="22"/>
                  </w:rPr>
                  <m:rPr>
                    <m:sty m:val="p"/>
                  </m:rPr>
                  <m:t>u</m:t>
                </m:r>
                <m:r>
                  <w:rPr>
                    <w:rFonts w:ascii="Cambria Math" w:hAnsi="Cambria Math"/>
                    <w:sz w:val="22"/>
                  </w:rPr>
                  <m:rPr>
                    <m:sty m:val="p"/>
                  </m:rPr>
                  <m:t>r</m:t>
                </m:r>
                <m:r>
                  <w:rPr>
                    <w:rFonts w:ascii="Cambria Math" w:hAnsi="Cambria Math"/>
                    <w:sz w:val="22"/>
                  </w:rPr>
                  <m:rPr>
                    <m:sty m:val="p"/>
                  </m:rPr>
                  <m:t>r</m:t>
                </m:r>
                <m:r>
                  <w:rPr>
                    <w:rFonts w:ascii="Cambria Math" w:hAnsi="Cambria Math"/>
                    <w:sz w:val="22"/>
                  </w:rPr>
                  <m:rPr>
                    <m:sty m:val="p"/>
                  </m:rPr>
                  <m:t>e</m:t>
                </m:r>
                <m:r>
                  <w:rPr>
                    <w:rFonts w:ascii="Cambria Math" w:hAnsi="Cambria Math"/>
                    <w:sz w:val="22"/>
                  </w:rPr>
                  <m:rPr>
                    <m:sty m:val="p"/>
                  </m:rPr>
                  <m:t>n</m:t>
                </m:r>
                <m:r>
                  <w:rPr>
                    <w:rFonts w:ascii="Cambria Math" w:hAnsi="Cambria Math"/>
                    <w:sz w:val="22"/>
                  </w:rPr>
                  <m:rPr>
                    <m:sty m:val="p"/>
                  </m:rPr>
                  <m:t>t</m:t>
                </m:r>
              </m:sub>
            </m:sSub>
          </m:num>
          <m:den>
            <m:sSub>
              <m:e>
                <m:r>
                  <w:rPr>
                    <w:rFonts w:ascii="Cambria Math" w:hAnsi="Cambria Math"/>
                    <w:sz w:val="22"/>
                  </w:rPr>
                  <m:t>C</m:t>
                </m:r>
              </m:e>
              <m:sub>
                <m:r>
                  <w:rPr>
                    <w:rFonts w:ascii="Cambria Math" w:hAnsi="Cambria Math"/>
                    <w:sz w:val="22"/>
                  </w:rPr>
                  <m:rPr>
                    <m:sty m:val="p"/>
                  </m:rPr>
                  <m:t>r</m:t>
                </m:r>
                <m:r>
                  <w:rPr>
                    <w:rFonts w:ascii="Cambria Math" w:hAnsi="Cambria Math"/>
                    <w:sz w:val="22"/>
                  </w:rPr>
                  <m:rPr>
                    <m:sty m:val="p"/>
                  </m:rPr>
                  <m:t>a</m:t>
                </m:r>
                <m:r>
                  <w:rPr>
                    <w:rFonts w:ascii="Cambria Math" w:hAnsi="Cambria Math"/>
                    <w:sz w:val="22"/>
                  </w:rPr>
                  <m:rPr>
                    <m:sty m:val="p"/>
                  </m:rPr>
                  <m:t>t</m:t>
                </m:r>
                <m:r>
                  <w:rPr>
                    <w:rFonts w:ascii="Cambria Math" w:hAnsi="Cambria Math"/>
                    <w:sz w:val="22"/>
                  </w:rPr>
                  <m:rPr>
                    <m:sty m:val="p"/>
                  </m:rPr>
                  <m:t>e</m:t>
                </m:r>
                <m:r>
                  <w:rPr>
                    <w:rFonts w:ascii="Cambria Math" w:hAnsi="Cambria Math"/>
                    <w:sz w:val="22"/>
                  </w:rPr>
                  <m:rPr>
                    <m:sty m:val="p"/>
                  </m:rPr>
                  <m:t>d</m:t>
                </m:r>
              </m:sub>
            </m:sSub>
          </m:den>
        </m:f>
        <m:r>
          <w:rPr>
            <w:rFonts w:ascii="Cambria Math" w:hAnsi="Cambria Math"/>
            <w:sz w:val="22"/>
          </w:rPr>
          <m:rPr>
            <m:sty m:val="p"/>
          </m:rPr>
          <m:t>×</m:t>
        </m:r>
        <m:r>
          <w:rPr>
            <w:rFonts w:ascii="Cambria Math" w:hAnsi="Cambria Math"/>
            <w:sz w:val="22"/>
          </w:rPr>
          <m:t>100</m:t>
        </m:r>
        <m:r>
          <w:rPr>
            <w:rFonts w:ascii="Cambria Math" w:hAnsi="Cambria Math"/>
            <w:sz w:val="22"/>
          </w:rPr>
          <m:rPr>
            <m:sty m:val="p"/>
          </m:rPr>
          <m:t>%</m:t>
        </m:r>
        <m:r>
          <w:rPr>
            <w:rFonts w:ascii="Cambria Math" w:hAnsi="Cambria Math"/>
            <w:sz w:val="22"/>
          </w:rPr>
          <m:rPr>
            <m:sty m:val="p"/>
          </m:rPr>
          <m:t>,</m:t>
        </m:r>
      </m:oMath>
      <w:r>
        <w:tab/>
        <w:t>(1)</w:t>
      </w:r>
      <w:bookmarkEnd w:id="1003"/>
    </w:p>
    <w:p>
      <w:pPr>
        <w:pStyle w:val="BodyText"/>
      </w:pPr>
      <w:r>
        <w:rPr>
          <w:rFonts w:hint="eastAsia"/>
        </w:rPr>
        <w:t xml:space="preserve">其中，</w:t>
      </w:r>
      <m:oMath>
        <m:sSub>
          <m:e>
            <m:r>
              <w:rPr>
                <w:rFonts w:ascii="Cambria Math" w:hAnsi="Cambria Math"/>
                <w:sz w:val="22"/>
              </w:rPr>
              <m:t>C</m:t>
            </m:r>
          </m:e>
          <m:sub>
            <m:r>
              <w:rPr>
                <w:rFonts w:ascii="Cambria Math" w:hAnsi="Cambria Math"/>
                <w:sz w:val="22"/>
              </w:rPr>
              <m:rPr>
                <m:sty m:val="p"/>
              </m:rPr>
              <m:t>c</m:t>
            </m:r>
            <m:r>
              <w:rPr>
                <w:rFonts w:ascii="Cambria Math" w:hAnsi="Cambria Math"/>
                <w:sz w:val="22"/>
              </w:rPr>
              <m:rPr>
                <m:sty m:val="p"/>
              </m:rPr>
              <m:t>u</m:t>
            </m:r>
            <m:r>
              <w:rPr>
                <w:rFonts w:ascii="Cambria Math" w:hAnsi="Cambria Math"/>
                <w:sz w:val="22"/>
              </w:rPr>
              <m:rPr>
                <m:sty m:val="p"/>
              </m:rPr>
              <m:t>r</m:t>
            </m:r>
            <m:r>
              <w:rPr>
                <w:rFonts w:ascii="Cambria Math" w:hAnsi="Cambria Math"/>
                <w:sz w:val="22"/>
              </w:rPr>
              <m:rPr>
                <m:sty m:val="p"/>
              </m:rPr>
              <m:t>r</m:t>
            </m:r>
            <m:r>
              <w:rPr>
                <w:rFonts w:ascii="Cambria Math" w:hAnsi="Cambria Math"/>
                <w:sz w:val="22"/>
              </w:rPr>
              <m:rPr>
                <m:sty m:val="p"/>
              </m:rPr>
              <m:t>e</m:t>
            </m:r>
            <m:r>
              <w:rPr>
                <w:rFonts w:ascii="Cambria Math" w:hAnsi="Cambria Math"/>
                <w:sz w:val="22"/>
              </w:rPr>
              <m:rPr>
                <m:sty m:val="p"/>
              </m:rPr>
              <m:t>n</m:t>
            </m:r>
            <m:r>
              <w:rPr>
                <w:rFonts w:ascii="Cambria Math" w:hAnsi="Cambria Math"/>
                <w:sz w:val="22"/>
              </w:rPr>
              <m:rPr>
                <m:sty m:val="p"/>
              </m:rPr>
              <m:t>t</m:t>
            </m:r>
          </m:sub>
        </m:sSub>
      </m:oMath>
      <w:r>
        <w:t xml:space="preserve"> </w:t>
      </w:r>
      <w:r>
        <w:rPr>
          <w:rFonts w:hint="eastAsia"/>
        </w:rPr>
        <w:t xml:space="preserve">和</w:t>
      </w:r>
      <w:r>
        <w:t xml:space="preserve"> </w:t>
      </w:r>
      <m:oMath>
        <m:sSub>
          <m:e>
            <m:r>
              <w:rPr>
                <w:rFonts w:ascii="Cambria Math" w:hAnsi="Cambria Math"/>
                <w:sz w:val="22"/>
              </w:rPr>
              <m:t>C</m:t>
            </m:r>
          </m:e>
          <m:sub>
            <m:r>
              <w:rPr>
                <w:rFonts w:ascii="Cambria Math" w:hAnsi="Cambria Math"/>
                <w:sz w:val="22"/>
              </w:rPr>
              <m:rPr>
                <m:sty m:val="p"/>
              </m:rPr>
              <m:t>r</m:t>
            </m:r>
            <m:r>
              <w:rPr>
                <w:rFonts w:ascii="Cambria Math" w:hAnsi="Cambria Math"/>
                <w:sz w:val="22"/>
              </w:rPr>
              <m:rPr>
                <m:sty m:val="p"/>
              </m:rPr>
              <m:t>a</m:t>
            </m:r>
            <m:r>
              <w:rPr>
                <w:rFonts w:ascii="Cambria Math" w:hAnsi="Cambria Math"/>
                <w:sz w:val="22"/>
              </w:rPr>
              <m:rPr>
                <m:sty m:val="p"/>
              </m:rPr>
              <m:t>t</m:t>
            </m:r>
            <m:r>
              <w:rPr>
                <w:rFonts w:ascii="Cambria Math" w:hAnsi="Cambria Math"/>
                <w:sz w:val="22"/>
              </w:rPr>
              <m:rPr>
                <m:sty m:val="p"/>
              </m:rPr>
              <m:t>e</m:t>
            </m:r>
            <m:r>
              <w:rPr>
                <w:rFonts w:ascii="Cambria Math" w:hAnsi="Cambria Math"/>
                <w:sz w:val="22"/>
              </w:rPr>
              <m:rPr>
                <m:sty m:val="p"/>
              </m:rPr>
              <m:t>d</m:t>
            </m:r>
          </m:sub>
        </m:sSub>
      </m:oMath>
      <w:r>
        <w:t xml:space="preserve"> </w:t>
      </w:r>
      <w:r>
        <w:rPr>
          <w:rFonts w:hint="eastAsia"/>
        </w:rPr>
        <w:t xml:space="preserve">分别表示电池当前可用容量和额定容量。</w:t>
      </w:r>
    </w:p>
    <w:p>
      <w:pPr>
        <w:pStyle w:val="BodyText"/>
      </w:pPr>
      <w:r>
        <w:rPr>
          <w:rFonts w:hint="eastAsia"/>
        </w:rPr>
        <w:t xml:space="preserve">所提出的健康状态估计框架如</w:t>
      </w:r>
      <w:hyperlink w:anchor="b_fig_2_1">
        <w:r>
          <w:rPr>
            <w:rStyle w:val="Hyperlink"/>
          </w:rPr>
          <w:t xml:space="preserve">Fig. 1</w:t>
        </w:r>
      </w:hyperlink>
      <w:r>
        <w:rPr>
          <w:rFonts w:hint="eastAsia"/>
        </w:rPr>
        <w:t xml:space="preserve">所示。</w:t>
      </w:r>
    </w:p>
    <w:p>
      <w:pPr>
        <w:pStyle w:val="BodyText"/>
      </w:pPr>
      <w:r>
        <w:rPr>
          <w:rFonts w:hint="eastAsia"/>
        </w:rPr>
        <w:t xml:space="preserve">（1）</w:t>
      </w:r>
      <w:r>
        <w:rPr>
          <w:rFonts w:hint="eastAsia"/>
          <w:b/>
          <w:bCs/>
        </w:rPr>
        <w:t xml:space="preserve">数据获取。</w:t>
      </w:r>
      <w:r>
        <w:t xml:space="preserve"> </w:t>
      </w:r>
      <w:r>
        <w:rPr>
          <w:rFonts w:hint="eastAsia"/>
        </w:rPr>
        <w:t xml:space="preserve">选取不同材料体系和运行工况下的公开电池老化数据，获取充放电过程中的电压、电流、温度、时间和容量等循环记录。</w:t>
      </w:r>
    </w:p>
    <w:p>
      <w:pPr>
        <w:pStyle w:val="BodyText"/>
      </w:pPr>
      <w:r>
        <w:rPr>
          <w:rFonts w:hint="eastAsia"/>
        </w:rPr>
        <w:t xml:space="preserve">（2）</w:t>
      </w:r>
      <w:r>
        <w:rPr>
          <w:rFonts w:hint="eastAsia"/>
          <w:b/>
          <w:bCs/>
        </w:rPr>
        <w:t xml:space="preserve">系统化特征工程。</w:t>
      </w:r>
      <w:r>
        <w:t xml:space="preserve"> </w:t>
      </w:r>
      <w:r>
        <w:rPr>
          <w:rFonts w:hint="eastAsia"/>
        </w:rPr>
        <w:t xml:space="preserve">基于上述数据构建多源候选健康指标池，采用所提出的组级健康指标选择算法确定模型输入。随后，采用滑动窗口划分健康指标时间序列，将各窗口与其下一循环的</w:t>
      </w:r>
      <w:r>
        <w:t xml:space="preserve"> SOH </w:t>
      </w:r>
      <w:r>
        <w:rPr>
          <w:rFonts w:hint="eastAsia"/>
        </w:rPr>
        <w:t xml:space="preserve">配对，形成输入样本及对应标签。</w:t>
      </w:r>
    </w:p>
    <w:p>
      <w:pPr>
        <w:pStyle w:val="BodyText"/>
      </w:pPr>
      <w:r>
        <w:rPr>
          <w:rFonts w:hint="eastAsia"/>
        </w:rPr>
        <w:t xml:space="preserve">（3）</w:t>
      </w:r>
      <w:r>
        <w:rPr>
          <w:rFonts w:hint="eastAsia"/>
          <w:b/>
          <w:bCs/>
        </w:rPr>
        <w:t xml:space="preserve">模型训练。</w:t>
      </w:r>
      <w:r>
        <w:t xml:space="preserve"> </w:t>
      </w:r>
      <w:r>
        <w:rPr>
          <w:rFonts w:hint="eastAsia"/>
        </w:rPr>
        <w:t xml:space="preserve">将筛选后的健康指标样本输入</w:t>
      </w:r>
      <w:r>
        <w:t xml:space="preserve"> </w:t>
      </w:r>
      <w:r>
        <w:rPr>
          <w:rFonts w:hint="eastAsia"/>
        </w:rPr>
        <w:t xml:space="preserve">MS-AgentNet，在训练电池上完成模型参数学习，并根据配置电池上的估计表现确定模型配置。</w:t>
      </w:r>
    </w:p>
    <w:p>
      <w:pPr>
        <w:pStyle w:val="BodyText"/>
      </w:pPr>
      <w:r>
        <w:rPr>
          <w:rFonts w:hint="eastAsia"/>
        </w:rPr>
        <w:t xml:space="preserve">（4）</w:t>
      </w:r>
      <w:r>
        <w:rPr>
          <w:rFonts w:hint="eastAsia"/>
          <w:b/>
          <w:bCs/>
        </w:rPr>
        <w:t xml:space="preserve">性能评价。</w:t>
      </w:r>
      <w:r>
        <w:t xml:space="preserve"> </w:t>
      </w:r>
      <w:r>
        <w:rPr>
          <w:rFonts w:hint="eastAsia"/>
        </w:rPr>
        <w:t xml:space="preserve">将训练后的模型直接用于相应数据集的其他电池，比较不同模型的</w:t>
      </w:r>
      <w:r>
        <w:t xml:space="preserve"> SOH </w:t>
      </w:r>
      <w:r>
        <w:rPr>
          <w:rFonts w:hint="eastAsia"/>
        </w:rPr>
        <w:t xml:space="preserve">估计精度、跨电池泛化性能及计算与存储开销。进一步通过消融实验分析关键模块的作用，并通过跨数据集迁移实验考察模型的跨域适应能力。</w:t>
      </w:r>
    </w:p>
    <w:bookmarkEnd w:id="13"/>
    <w:bookmarkStart w:id="17" w:name="典型电池数据集"/>
    <w:p>
      <w:pPr>
        <w:pStyle w:val="Heading2"/>
      </w:pPr>
      <w:r>
        <w:rPr>
          <w:rStyle w:val="SectionNumber"/>
        </w:rPr>
        <w:t xml:space="preserve">2.2</w:t>
      </w:r>
      <w:r>
        <w:tab/>
      </w:r>
      <w:r>
        <w:rPr>
          <w:rFonts w:hint="eastAsia"/>
        </w:rPr>
        <w:t xml:space="preserve">典型电池数据集</w:t>
      </w:r>
    </w:p>
    <w:p>
      <w:pPr>
        <w:pStyle w:val="FirstParagraph"/>
      </w:pPr>
      <w:r>
        <w:rPr>
          <w:rFonts w:hint="eastAsia"/>
        </w:rPr>
        <w:t xml:space="preserve">为考察所提方法在不同电池体系和运行条件下的泛化能力，选取</w:t>
      </w:r>
      <w:r>
        <w:t xml:space="preserve"> Oxford、CALCE CS2、CALCE CX2 </w:t>
      </w:r>
      <w:r>
        <w:rPr>
          <w:rFonts w:hint="eastAsia"/>
        </w:rPr>
        <w:t xml:space="preserve">和</w:t>
      </w:r>
      <w:r>
        <w:t xml:space="preserve"> MIT/Severson </w:t>
      </w:r>
      <w:r>
        <w:rPr>
          <w:rFonts w:hint="eastAsia"/>
        </w:rPr>
        <w:t xml:space="preserve">四组公开电池老化数据开展实验。这些数据集涵盖软包、方形和圆柱形电池，在材料体系、标称容量及运行条件等方面存在明显差异，可为模型在不同电池退化场景下的评估提供具有多样性的实验数据。各数据集的主要特性汇总于</w:t>
      </w:r>
      <w:hyperlink w:anchor="b_tab_2_1">
        <w:r>
          <w:rPr>
            <w:rStyle w:val="Hyperlink"/>
          </w:rPr>
          <w:t xml:space="preserve">Table 2</w:t>
        </w:r>
      </w:hyperlink>
      <w:r>
        <w:t xml:space="preserve">。</w:t>
      </w:r>
      <w:hyperlink w:anchor="b_fig_2_2">
        <w:r>
          <w:rPr>
            <w:rStyle w:val="Hyperlink"/>
          </w:rPr>
          <w:t xml:space="preserve">Fig. 2</w:t>
        </w:r>
      </w:hyperlink>
      <w:r>
        <w:rPr>
          <w:rFonts w:hint="eastAsia"/>
        </w:rPr>
        <w:t xml:space="preserve">(a)–(d)展示了所选电池的容量衰减曲线，</w:t>
      </w:r>
      <w:hyperlink w:anchor="b_fig_2_2">
        <w:r>
          <w:rPr>
            <w:rStyle w:val="Hyperlink"/>
          </w:rPr>
          <w:t xml:space="preserve">Fig. 2</w:t>
        </w:r>
      </w:hyperlink>
      <w:r>
        <w:rPr>
          <w:rFonts w:hint="eastAsia"/>
        </w:rPr>
        <w:t xml:space="preserve">(e)–(h)给出了各数据集中代表性电池在不同</w:t>
      </w:r>
      <w:r>
        <w:t xml:space="preserve"> SOH </w:t>
      </w:r>
      <w:r>
        <w:rPr>
          <w:rFonts w:hint="eastAsia"/>
        </w:rPr>
        <w:t xml:space="preserve">水平下的充电电压曲线。各数据集的具体情况如下。</w:t>
      </w:r>
    </w:p>
    <w:bookmarkStart w:id="14" w:name="oxford数据集"/>
    <w:p>
      <w:pPr>
        <w:pStyle w:val="Heading3"/>
      </w:pPr>
      <w:r>
        <w:rPr>
          <w:rFonts w:hint="eastAsia"/>
        </w:rPr>
        <w:t xml:space="preserve">（1）Oxford数据集</w:t>
      </w:r>
    </w:p>
    <w:p>
      <w:pPr>
        <w:pStyle w:val="FirstParagraph"/>
      </w:pPr>
      <w:r>
        <w:t xml:space="preserve">Oxford </w:t>
      </w:r>
      <w:r>
        <w:rPr>
          <w:rFonts w:hint="eastAsia"/>
        </w:rPr>
        <w:t xml:space="preserve">数据集由牛津大学电池智能实验室提供，包含</w:t>
      </w:r>
      <w:r>
        <w:t xml:space="preserve"> 8 </w:t>
      </w:r>
      <w:r>
        <w:rPr>
          <w:rFonts w:hint="eastAsia"/>
        </w:rPr>
        <w:t xml:space="preserve">节</w:t>
      </w:r>
      <w:r>
        <w:t xml:space="preserve"> Kokam SLPB533459H4 </w:t>
      </w:r>
      <w:r>
        <w:rPr>
          <w:rFonts w:hint="eastAsia"/>
        </w:rPr>
        <w:t xml:space="preserve">锂离子软包电池的老化数据，每节电池的标称容量为</w:t>
      </w:r>
      <w:r>
        <w:t xml:space="preserve"> 0.74 Ah[</w:t>
      </w:r>
      <w:hyperlink w:anchor="b_ref28">
        <w:r>
          <w:rPr>
            <w:rStyle w:val="Hyperlink"/>
          </w:rPr>
          <w:t xml:space="preserve">28</w:t>
        </w:r>
      </w:hyperlink>
      <w:r>
        <w:rPr>
          <w:rFonts w:hint="eastAsia"/>
        </w:rPr>
        <w:t xml:space="preserve">]。该类电池的正极材料为镍钴酸锂（NCO）和钴酸锂（LCO）的混合物，负极材料为石墨[</w:t>
      </w:r>
      <w:hyperlink w:anchor="b_ref60">
        <w:r>
          <w:rPr>
            <w:rStyle w:val="Hyperlink"/>
          </w:rPr>
          <w:t xml:space="preserve">60</w:t>
        </w:r>
      </w:hyperlink>
      <w:r>
        <w:rPr>
          <w:rFonts w:hint="eastAsia"/>
        </w:rPr>
        <w:t xml:space="preserve">]。老化实验在</w:t>
      </w:r>
      <w:r>
        <w:t xml:space="preserve"> 40 ℃ </w:t>
      </w:r>
      <w:r>
        <w:rPr>
          <w:rFonts w:hint="eastAsia"/>
        </w:rPr>
        <w:t xml:space="preserve">的恒温环境下进行。电池采用恒流–恒压方式充电至</w:t>
      </w:r>
      <w:r>
        <w:t xml:space="preserve"> 4.2 </w:t>
      </w:r>
      <w:r>
        <w:rPr>
          <w:rFonts w:hint="eastAsia"/>
        </w:rPr>
        <w:t xml:space="preserve">V，随后按照源自城市</w:t>
      </w:r>
      <w:r>
        <w:t xml:space="preserve"> ARTEMIS </w:t>
      </w:r>
      <w:r>
        <w:rPr>
          <w:rFonts w:hint="eastAsia"/>
        </w:rPr>
        <w:t xml:space="preserve">工况的动态电流曲线进行放电，直至电压降至</w:t>
      </w:r>
      <w:r>
        <w:t xml:space="preserve"> 2.7 V[</w:t>
      </w:r>
      <w:hyperlink w:anchor="b_ref28">
        <w:r>
          <w:rPr>
            <w:rStyle w:val="Hyperlink"/>
          </w:rPr>
          <w:t xml:space="preserve">28</w:t>
        </w:r>
      </w:hyperlink>
      <w:r>
        <w:t xml:space="preserve">,</w:t>
      </w:r>
      <w:hyperlink w:anchor="b_ref61">
        <w:r>
          <w:rPr>
            <w:rStyle w:val="Hyperlink"/>
          </w:rPr>
          <w:t xml:space="preserve">61</w:t>
        </w:r>
      </w:hyperlink>
      <w:r>
        <w:rPr>
          <w:rFonts w:hint="eastAsia"/>
        </w:rPr>
        <w:t xml:space="preserve">]。实验纳入</w:t>
      </w:r>
      <w:r>
        <w:t xml:space="preserve"> Cell1–Cell8 </w:t>
      </w:r>
      <w:r>
        <w:rPr>
          <w:rFonts w:hint="eastAsia"/>
        </w:rPr>
        <w:t xml:space="preserve">共</w:t>
      </w:r>
      <w:r>
        <w:t xml:space="preserve"> 8 </w:t>
      </w:r>
      <w:r>
        <w:rPr>
          <w:rFonts w:hint="eastAsia"/>
        </w:rPr>
        <w:t xml:space="preserve">节电池的循环老化记录。</w:t>
      </w:r>
    </w:p>
    <w:bookmarkEnd w:id="14"/>
    <w:bookmarkStart w:id="15" w:name="calce数据集"/>
    <w:p>
      <w:pPr>
        <w:pStyle w:val="Heading3"/>
      </w:pPr>
      <w:r>
        <w:rPr>
          <w:rFonts w:hint="eastAsia"/>
        </w:rPr>
        <w:t xml:space="preserve">（2）CALCE数据集</w:t>
      </w:r>
    </w:p>
    <w:p>
      <w:pPr>
        <w:pStyle w:val="FirstParagraph"/>
      </w:pPr>
      <w:r>
        <w:t xml:space="preserve">CALCE </w:t>
      </w:r>
      <w:r>
        <w:rPr>
          <w:rFonts w:hint="eastAsia"/>
        </w:rPr>
        <w:t xml:space="preserve">数据集由马里兰大学先进生命周期工程中心提供，包括</w:t>
      </w:r>
      <w:r>
        <w:t xml:space="preserve"> CS2 </w:t>
      </w:r>
      <w:r>
        <w:rPr>
          <w:rFonts w:hint="eastAsia"/>
        </w:rPr>
        <w:t xml:space="preserve">和</w:t>
      </w:r>
      <w:r>
        <w:t xml:space="preserve"> CX2 </w:t>
      </w:r>
      <w:r>
        <w:rPr>
          <w:rFonts w:hint="eastAsia"/>
        </w:rPr>
        <w:t xml:space="preserve">两组方形锂离子电池的老化数据[</w:t>
      </w:r>
      <w:hyperlink w:anchor="b_ref18">
        <w:r>
          <w:rPr>
            <w:rStyle w:val="Hyperlink"/>
          </w:rPr>
          <w:t xml:space="preserve">18</w:t>
        </w:r>
      </w:hyperlink>
      <w:r>
        <w:t xml:space="preserve">,</w:t>
      </w:r>
      <w:hyperlink w:anchor="b_ref61">
        <w:r>
          <w:rPr>
            <w:rStyle w:val="Hyperlink"/>
          </w:rPr>
          <w:t xml:space="preserve">61</w:t>
        </w:r>
      </w:hyperlink>
      <w:r>
        <w:rPr>
          <w:rFonts w:hint="eastAsia"/>
        </w:rPr>
        <w:t xml:space="preserve">]。两组电池均采用钴酸锂（LCO）作为正极材料，其中</w:t>
      </w:r>
      <w:r>
        <w:t xml:space="preserve"> CS2 </w:t>
      </w:r>
      <w:r>
        <w:rPr>
          <w:rFonts w:hint="eastAsia"/>
        </w:rPr>
        <w:t xml:space="preserve">电池的标称容量为</w:t>
      </w:r>
      <w:r>
        <w:t xml:space="preserve"> 1.1 </w:t>
      </w:r>
      <w:r>
        <w:rPr>
          <w:rFonts w:hint="eastAsia"/>
        </w:rPr>
        <w:t xml:space="preserve">Ah，CX2</w:t>
      </w:r>
      <w:r>
        <w:t xml:space="preserve"> </w:t>
      </w:r>
      <w:r>
        <w:rPr>
          <w:rFonts w:hint="eastAsia"/>
        </w:rPr>
        <w:t xml:space="preserve">电池的标称容量为</w:t>
      </w:r>
      <w:r>
        <w:t xml:space="preserve"> 1.35 </w:t>
      </w:r>
      <w:r>
        <w:rPr>
          <w:rFonts w:hint="eastAsia"/>
        </w:rPr>
        <w:t xml:space="preserve">Ah。老化实验均在室温条件下开展，电池采用恒流–恒压方式充电至</w:t>
      </w:r>
      <w:r>
        <w:t xml:space="preserve"> 4.2 V。CS2 </w:t>
      </w:r>
      <w:r>
        <w:rPr>
          <w:rFonts w:hint="eastAsia"/>
        </w:rPr>
        <w:t xml:space="preserve">和</w:t>
      </w:r>
      <w:r>
        <w:t xml:space="preserve"> CX2 </w:t>
      </w:r>
      <w:r>
        <w:rPr>
          <w:rFonts w:hint="eastAsia"/>
        </w:rPr>
        <w:t xml:space="preserve">均以</w:t>
      </w:r>
      <w:r>
        <w:t xml:space="preserve"> 1C </w:t>
      </w:r>
      <w:r>
        <w:rPr>
          <w:rFonts w:hint="eastAsia"/>
        </w:rPr>
        <w:t xml:space="preserve">恒流放电至</w:t>
      </w:r>
      <w:r>
        <w:t xml:space="preserve"> 2.7 </w:t>
      </w:r>
      <w:r>
        <w:rPr>
          <w:rFonts w:hint="eastAsia"/>
        </w:rPr>
        <w:t xml:space="preserve">V。实验覆盖</w:t>
      </w:r>
      <w:r>
        <w:t xml:space="preserve"> CS2_36–CS2_38 </w:t>
      </w:r>
      <w:r>
        <w:rPr>
          <w:rFonts w:hint="eastAsia"/>
        </w:rPr>
        <w:t xml:space="preserve">和</w:t>
      </w:r>
      <w:r>
        <w:t xml:space="preserve"> CX2_36–CX2_38 </w:t>
      </w:r>
      <w:r>
        <w:rPr>
          <w:rFonts w:hint="eastAsia"/>
        </w:rPr>
        <w:t xml:space="preserve">共</w:t>
      </w:r>
      <w:r>
        <w:t xml:space="preserve"> 6 </w:t>
      </w:r>
      <w:r>
        <w:rPr>
          <w:rFonts w:hint="eastAsia"/>
        </w:rPr>
        <w:t xml:space="preserve">节电池的循环老化记录。</w:t>
      </w:r>
    </w:p>
    <w:bookmarkEnd w:id="15"/>
    <w:bookmarkStart w:id="16" w:name="mitseverson数据集"/>
    <w:p>
      <w:pPr>
        <w:pStyle w:val="Heading3"/>
      </w:pPr>
      <w:r>
        <w:rPr>
          <w:rFonts w:hint="eastAsia"/>
        </w:rPr>
        <w:t xml:space="preserve">（3）MIT/Severson数据集</w:t>
      </w:r>
    </w:p>
    <w:p>
      <w:pPr>
        <w:pStyle w:val="FirstParagraph"/>
      </w:pPr>
      <w:r>
        <w:t xml:space="preserve">MIT/Severson </w:t>
      </w:r>
      <w:r>
        <w:rPr>
          <w:rFonts w:hint="eastAsia"/>
        </w:rPr>
        <w:t xml:space="preserve">数据集由麻省理工学院、斯坦福大学和丰田研究院联合发布[</w:t>
      </w:r>
      <w:hyperlink w:anchor="b_ref62">
        <w:r>
          <w:rPr>
            <w:rStyle w:val="Hyperlink"/>
          </w:rPr>
          <w:t xml:space="preserve">62</w:t>
        </w:r>
      </w:hyperlink>
      <w:r>
        <w:rPr>
          <w:rFonts w:hint="eastAsia"/>
        </w:rPr>
        <w:t xml:space="preserve">]。该数据集采用</w:t>
      </w:r>
      <w:r>
        <w:t xml:space="preserve"> A123 APR18650M1A </w:t>
      </w:r>
      <w:r>
        <w:rPr>
          <w:rFonts w:hint="eastAsia"/>
        </w:rPr>
        <w:t xml:space="preserve">型</w:t>
      </w:r>
      <w:r>
        <w:t xml:space="preserve"> 18650 </w:t>
      </w:r>
      <w:r>
        <w:rPr>
          <w:rFonts w:hint="eastAsia"/>
        </w:rPr>
        <w:t xml:space="preserve">圆柱形锂离子电池，每节电池的标称容量约为</w:t>
      </w:r>
      <w:r>
        <w:t xml:space="preserve"> 1.1 </w:t>
      </w:r>
      <w:r>
        <w:rPr>
          <w:rFonts w:hint="eastAsia"/>
        </w:rPr>
        <w:t xml:space="preserve">Ah，正极材料为磷酸铁锂（LFP），负极材料为石墨。老化实验在</w:t>
      </w:r>
      <w:r>
        <w:t xml:space="preserve"> 30 ℃ </w:t>
      </w:r>
      <w:r>
        <w:rPr>
          <w:rFonts w:hint="eastAsia"/>
        </w:rPr>
        <w:t xml:space="preserve">的恒温环境下开展。实验纳入</w:t>
      </w:r>
      <w:r>
        <w:t xml:space="preserve"> b3c8、b3c13 </w:t>
      </w:r>
      <w:r>
        <w:rPr>
          <w:rFonts w:hint="eastAsia"/>
        </w:rPr>
        <w:t xml:space="preserve">和</w:t>
      </w:r>
      <w:r>
        <w:t xml:space="preserve"> b3c29 </w:t>
      </w:r>
      <w:r>
        <w:rPr>
          <w:rFonts w:hint="eastAsia"/>
        </w:rPr>
        <w:t xml:space="preserve">三节电池。三节电池均采用两步快速充电策略，其中</w:t>
      </w:r>
      <w:r>
        <w:t xml:space="preserve"> b3c8 </w:t>
      </w:r>
      <w:r>
        <w:rPr>
          <w:rFonts w:hint="eastAsia"/>
        </w:rPr>
        <w:t xml:space="preserve">采用</w:t>
      </w:r>
      <w:r>
        <w:t xml:space="preserve"> </w:t>
      </w:r>
      <w:r>
        <w:rPr>
          <w:rFonts w:hint="eastAsia"/>
        </w:rPr>
        <w:t xml:space="preserve">5.3C（54%</w:t>
      </w:r>
      <w:r>
        <w:t xml:space="preserve"> </w:t>
      </w:r>
      <w:r>
        <w:rPr>
          <w:rFonts w:hint="eastAsia"/>
        </w:rPr>
        <w:t xml:space="preserve">SOC）–4C</w:t>
      </w:r>
      <w:r>
        <w:t xml:space="preserve"> </w:t>
      </w:r>
      <w:r>
        <w:rPr>
          <w:rFonts w:hint="eastAsia"/>
        </w:rPr>
        <w:t xml:space="preserve">策略，b3c13</w:t>
      </w:r>
      <w:r>
        <w:t xml:space="preserve"> </w:t>
      </w:r>
      <w:r>
        <w:rPr>
          <w:rFonts w:hint="eastAsia"/>
        </w:rPr>
        <w:t xml:space="preserve">和</w:t>
      </w:r>
      <w:r>
        <w:t xml:space="preserve"> b3c29 </w:t>
      </w:r>
      <w:r>
        <w:rPr>
          <w:rFonts w:hint="eastAsia"/>
        </w:rPr>
        <w:t xml:space="preserve">采用</w:t>
      </w:r>
      <w:r>
        <w:t xml:space="preserve"> </w:t>
      </w:r>
      <w:r>
        <w:rPr>
          <w:rFonts w:hint="eastAsia"/>
        </w:rPr>
        <w:t xml:space="preserve">5.6C（36%</w:t>
      </w:r>
      <w:r>
        <w:t xml:space="preserve"> </w:t>
      </w:r>
      <w:r>
        <w:rPr>
          <w:rFonts w:hint="eastAsia"/>
        </w:rPr>
        <w:t xml:space="preserve">SOC）–4.3C</w:t>
      </w:r>
      <w:r>
        <w:t xml:space="preserve"> </w:t>
      </w:r>
      <w:r>
        <w:rPr>
          <w:rFonts w:hint="eastAsia"/>
        </w:rPr>
        <w:t xml:space="preserve">策略。达到</w:t>
      </w:r>
      <w:r>
        <w:t xml:space="preserve"> 80% SOC </w:t>
      </w:r>
      <w:r>
        <w:rPr>
          <w:rFonts w:hint="eastAsia"/>
        </w:rPr>
        <w:t xml:space="preserve">后，电池以</w:t>
      </w:r>
      <w:r>
        <w:t xml:space="preserve"> 1C </w:t>
      </w:r>
      <w:r>
        <w:rPr>
          <w:rFonts w:hint="eastAsia"/>
        </w:rPr>
        <w:t xml:space="preserve">恒流充电至</w:t>
      </w:r>
      <w:r>
        <w:t xml:space="preserve"> 3.6 </w:t>
      </w:r>
      <w:r>
        <w:rPr>
          <w:rFonts w:hint="eastAsia"/>
        </w:rPr>
        <w:t xml:space="preserve">V，随后转入恒压充电。放电过程采用</w:t>
      </w:r>
      <w:r>
        <w:t xml:space="preserve"> 4C </w:t>
      </w:r>
      <w:r>
        <w:rPr>
          <w:rFonts w:hint="eastAsia"/>
        </w:rPr>
        <w:t xml:space="preserve">恒流方式，截止电压为</w:t>
      </w:r>
      <w:r>
        <w:t xml:space="preserve"> 2.0 V。</w:t>
      </w:r>
    </w:p>
    <w:p>
      <w:pPr>
        <w:pStyle w:val="BodyText"/>
        <w:keepLines/>
        <w:spacing w:before="100" w:after="80"/>
        <w:ind w:firstLine="0"/>
        <w:jc w:val="center"/>
      </w:pPr>
      <w:bookmarkStart w:id="1004" w:name="b_tab_2_1"/>
      <w:r>
        <w:drawing>
          <wp:inline>
            <wp:extent cx="6084000" cy="3396244"/>
            <wp:docPr id="3" name="Picture 3"/>
            <wp:cNvGraphicFramePr>
              <a:graphicFrameLocks noChangeAspect="1"/>
            </wp:cNvGraphicFramePr>
            <a:graphic>
              <a:graphicData uri="http://schemas.openxmlformats.org/drawingml/2006/picture">
                <pic:pic>
                  <pic:nvPicPr>
                    <pic:cNvPr id="0" name="table_02.png"/>
                    <pic:cNvPicPr/>
                  </pic:nvPicPr>
                  <pic:blipFill>
                    <a:blip r:embed="rId11"/>
                    <a:stretch>
                      <a:fillRect/>
                    </a:stretch>
                  </pic:blipFill>
                  <pic:spPr>
                    <a:xfrm>
                      <a:off x="0" y="0"/>
                      <a:ext cx="6084000" cy="3396244"/>
                    </a:xfrm>
                    <a:prstGeom prst="rect"/>
                  </pic:spPr>
                </pic:pic>
              </a:graphicData>
            </a:graphic>
          </wp:inline>
        </w:drawing>
      </w:r>
      <w:bookmarkEnd w:id="1004"/>
    </w:p>
    <w:p>
      <w:pPr>
        <w:pStyle w:val="BodyText"/>
        <w:keepNext/>
        <w:keepLines/>
        <w:spacing w:before="100" w:after="80"/>
        <w:ind w:firstLine="0"/>
        <w:jc w:val="center"/>
      </w:pPr>
      <w:bookmarkStart w:id="1005" w:name="b_fig_2_2"/>
      <w:r>
        <w:drawing>
          <wp:inline>
            <wp:extent cx="6084000" cy="2542243"/>
            <wp:docPr id="4" name="Picture 4"/>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6084000" cy="2542243"/>
                    </a:xfrm>
                    <a:prstGeom prst="rect"/>
                  </pic:spPr>
                </pic:pic>
              </a:graphicData>
            </a:graphic>
          </wp:inline>
        </w:drawing>
      </w:r>
      <w:bookmarkEnd w:id="1005"/>
    </w:p>
    <w:p>
      <w:pPr>
        <w:ind w:firstLine="0"/>
        <w:jc w:val="center"/>
      </w:pPr>
      <w:r>
        <w:rPr>
          <w:sz w:val="18"/>
        </w:rPr>
        <w:t>Fig. 2. Four battery datasets: (a)–(d) capacity degradation curves of Oxford, CALCE CS2, CALCE CX2, and MIT/Severson cells, respectively; (e)–(h) charging voltage curves of the four datasets in the same order.</w:t>
      </w:r>
    </w:p>
    <w:bookmarkEnd w:id="16"/>
    <w:bookmarkEnd w:id="17"/>
    <w:bookmarkStart w:id="21" w:name="特征工程"/>
    <w:p>
      <w:pPr>
        <w:pStyle w:val="Heading2"/>
      </w:pPr>
      <w:r>
        <w:rPr>
          <w:rStyle w:val="SectionNumber"/>
        </w:rPr>
        <w:t xml:space="preserve">2.3</w:t>
      </w:r>
      <w:r>
        <w:tab/>
      </w:r>
      <w:r>
        <w:rPr>
          <w:rFonts w:hint="eastAsia"/>
        </w:rPr>
        <w:t xml:space="preserve">特征工程</w:t>
      </w:r>
    </w:p>
    <w:p>
      <w:pPr>
        <w:pStyle w:val="FirstParagraph"/>
      </w:pPr>
      <w:r>
        <w:rPr>
          <w:rFonts w:hint="eastAsia"/>
        </w:rPr>
        <w:t xml:space="preserve">本节围绕</w:t>
      </w:r>
      <w:r>
        <w:t xml:space="preserve"> SOH </w:t>
      </w:r>
      <w:r>
        <w:rPr>
          <w:rFonts w:hint="eastAsia"/>
        </w:rPr>
        <w:t xml:space="preserve">估计模型的输入构建展开。一方面，基于充放电数据建立多源候选健康指标池；另一方面，提出组级健康指标选择方法，利用</w:t>
      </w:r>
      <w:r>
        <w:t xml:space="preserve"> MS-CCCT </w:t>
      </w:r>
      <w:r>
        <w:rPr>
          <w:rFonts w:hint="eastAsia"/>
        </w:rPr>
        <w:t xml:space="preserve">标定</w:t>
      </w:r>
      <w:r>
        <w:t xml:space="preserve"> CCCT </w:t>
      </w:r>
      <w:r>
        <w:rPr>
          <w:rFonts w:hint="eastAsia"/>
        </w:rPr>
        <w:t xml:space="preserve">电压窗口，并结合特征开发电池集合上的</w:t>
      </w:r>
      <w:r>
        <w:t xml:space="preserve"> PCC/SCC </w:t>
      </w:r>
      <w:r>
        <w:rPr>
          <w:rFonts w:hint="eastAsia"/>
        </w:rPr>
        <w:t xml:space="preserve">评价结果实现双阈值准入与冗余剔除，确定各数据集对应的模型输入。</w:t>
      </w:r>
    </w:p>
    <w:bookmarkStart w:id="18" w:name="健康指标提取"/>
    <w:p>
      <w:pPr>
        <w:pStyle w:val="Heading3"/>
      </w:pPr>
      <w:r>
        <w:rPr>
          <w:rStyle w:val="SectionNumber"/>
        </w:rPr>
        <w:t xml:space="preserve">2.3.1</w:t>
      </w:r>
      <w:r>
        <w:tab/>
      </w:r>
      <w:r>
        <w:rPr>
          <w:rFonts w:hint="eastAsia"/>
        </w:rPr>
        <w:t xml:space="preserve">健康指标提取</w:t>
      </w:r>
    </w:p>
    <w:p>
      <w:pPr>
        <w:pStyle w:val="FirstParagraph"/>
      </w:pPr>
      <w:r>
        <w:rPr>
          <w:rFonts w:hint="eastAsia"/>
        </w:rPr>
        <w:t xml:space="preserve">基于电池循环采集的电压、电流、温度、时间与容量数据，构建充电电压–时间（CVT）、增量容量（IC）、微分温度–电压（DTV）和微分温度–容量（DTC）特征曲线，如</w:t>
      </w:r>
      <w:hyperlink w:anchor="b_fig_2_3">
        <w:r>
          <w:rPr>
            <w:rStyle w:val="Hyperlink"/>
          </w:rPr>
          <w:t xml:space="preserve">Fig. 3</w:t>
        </w:r>
      </w:hyperlink>
      <w:r>
        <w:rPr>
          <w:rFonts w:hint="eastAsia"/>
        </w:rPr>
        <w:t xml:space="preserve">(a)–(d)所示。根据曲线随老化的变化特性，提取时长、幅值、特征位置和分布宽度等特征；同时计算窗口放电容量与充放电能量效率，形成包含</w:t>
      </w:r>
      <w:r>
        <w:t xml:space="preserve"> 15 </w:t>
      </w:r>
      <w:r>
        <w:rPr>
          <w:rFonts w:hint="eastAsia"/>
        </w:rPr>
        <w:t xml:space="preserve">项候选健康指标的指标池[</w:t>
      </w:r>
      <w:hyperlink w:anchor="b_ref52">
        <w:r>
          <w:rPr>
            <w:rStyle w:val="Hyperlink"/>
          </w:rPr>
          <w:t xml:space="preserve">52</w:t>
        </w:r>
      </w:hyperlink>
      <w:r>
        <w:t xml:space="preserve">,</w:t>
      </w:r>
      <w:hyperlink w:anchor="b_ref63">
        <w:r>
          <w:rPr>
            <w:rStyle w:val="Hyperlink"/>
          </w:rPr>
          <w:t xml:space="preserve">63</w:t>
        </w:r>
      </w:hyperlink>
      <w:r>
        <w:t xml:space="preserve">–</w:t>
      </w:r>
      <w:hyperlink w:anchor="b_ref65">
        <w:r>
          <w:rPr>
            <w:rStyle w:val="Hyperlink"/>
          </w:rPr>
          <w:t xml:space="preserve">65</w:t>
        </w:r>
      </w:hyperlink>
      <w:r>
        <w:rPr>
          <w:rFonts w:hint="eastAsia"/>
        </w:rPr>
        <w:t xml:space="preserve">]。各指标的定义与分类见</w:t>
      </w:r>
      <w:hyperlink w:anchor="b_tab_2_2">
        <w:r>
          <w:rPr>
            <w:rStyle w:val="Hyperlink"/>
          </w:rPr>
          <w:t xml:space="preserve">Table 3</w:t>
        </w:r>
      </w:hyperlink>
      <w:r>
        <w:t xml:space="preserve">。</w:t>
      </w:r>
    </w:p>
    <w:p>
      <w:pPr>
        <w:pStyle w:val="BodyText"/>
      </w:pPr>
      <w:r>
        <w:rPr>
          <w:rFonts w:hint="eastAsia"/>
        </w:rPr>
        <w:t xml:space="preserve">充电电压–时间（CVT）曲线记录恒流充电阶段端电压随时间的变化，可由电压与时间采样直接获取。随循环推进，CVT</w:t>
      </w:r>
      <w:r>
        <w:t xml:space="preserve"> </w:t>
      </w:r>
      <w:r>
        <w:rPr>
          <w:rFonts w:hint="eastAsia"/>
        </w:rPr>
        <w:t xml:space="preserve">曲线沿时间轴逐渐偏移，如</w:t>
      </w:r>
      <w:hyperlink w:anchor="b_fig_2_3">
        <w:r>
          <w:rPr>
            <w:rStyle w:val="Hyperlink"/>
          </w:rPr>
          <w:t xml:space="preserve">Fig. 3</w:t>
        </w:r>
      </w:hyperlink>
      <w:r>
        <w:rPr>
          <w:rFonts w:hint="eastAsia"/>
        </w:rPr>
        <w:t xml:space="preserve">(a)所示。该偏移表现为固定电压区间内的充电时长随老化持续变化。电池老化引起的极化增大和容量衰减会共同改变这一充电过程[</w:t>
      </w:r>
      <w:hyperlink w:anchor="b_ref63">
        <w:r>
          <w:rPr>
            <w:rStyle w:val="Hyperlink"/>
          </w:rPr>
          <w:t xml:space="preserve">63</w:t>
        </w:r>
      </w:hyperlink>
      <w:r>
        <w:t xml:space="preserve">,</w:t>
      </w:r>
      <w:hyperlink w:anchor="b_ref64">
        <w:r>
          <w:rPr>
            <w:rStyle w:val="Hyperlink"/>
          </w:rPr>
          <w:t xml:space="preserve">64</w:t>
        </w:r>
      </w:hyperlink>
      <w:r>
        <w:rPr>
          <w:rFonts w:hint="eastAsia"/>
        </w:rPr>
        <w:t xml:space="preserve">]，据此定义</w:t>
      </w:r>
      <w:r>
        <w:t xml:space="preserve"> </w:t>
      </w:r>
      <w:r>
        <w:rPr>
          <w:rFonts w:hint="eastAsia"/>
        </w:rPr>
        <w:t xml:space="preserve">CCCT：</w:t>
      </w:r>
    </w:p>
    <w:p>
      <w:pPr>
        <w:pStyle w:val="BodyText"/>
        <w:keepLines/>
        <w:tabs>
          <w:tab w:pos="4791" w:val="center"/>
          <w:tab w:pos="9581" w:val="right"/>
        </w:tabs>
        <w:spacing w:before="100" w:after="100"/>
        <w:ind w:firstLine="0"/>
        <w:jc w:val="left"/>
      </w:pPr>
      <w:bookmarkStart w:id="1006" w:name="equation_2"/>
      <w:r>
        <w:tab/>
      </w:r>
      <m:oMath>
        <m:r>
          <w:rPr>
            <w:rFonts w:ascii="Cambria Math" w:hAnsi="Cambria Math"/>
            <w:sz w:val="22"/>
          </w:rPr>
          <m:t>C</m:t>
        </m:r>
        <m:r>
          <w:rPr>
            <w:rFonts w:ascii="Cambria Math" w:hAnsi="Cambria Math"/>
            <w:sz w:val="22"/>
          </w:rPr>
          <m:t>C</m:t>
        </m:r>
        <m:r>
          <w:rPr>
            <w:rFonts w:ascii="Cambria Math" w:hAnsi="Cambria Math"/>
            <w:sz w:val="22"/>
          </w:rPr>
          <m:t>C</m:t>
        </m:r>
        <m:r>
          <w:rPr>
            <w:rFonts w:ascii="Cambria Math" w:hAnsi="Cambria Math"/>
            <w:sz w:val="22"/>
          </w:rPr>
          <m:t>T</m:t>
        </m:r>
        <m:r>
          <w:rPr>
            <w:rFonts w:ascii="Cambria Math" w:hAnsi="Cambria Math"/>
            <w:sz w:val="22"/>
          </w:rPr>
          <m:rPr>
            <m:sty m:val="p"/>
          </m:rPr>
          <m:t>(</m:t>
        </m:r>
        <m:sSub>
          <m:e>
            <m:r>
              <w:rPr>
                <w:rFonts w:ascii="Cambria Math" w:hAnsi="Cambria Math"/>
                <w:sz w:val="22"/>
              </w:rPr>
              <m:t>V</m:t>
            </m:r>
          </m:e>
          <m:sub>
            <m:r>
              <w:rPr>
                <w:rFonts w:ascii="Cambria Math" w:hAnsi="Cambria Math"/>
                <w:sz w:val="22"/>
              </w:rPr>
              <m:t>1</m:t>
            </m:r>
          </m:sub>
        </m:sSub>
        <m:r>
          <w:rPr>
            <w:rFonts w:ascii="Cambria Math" w:hAnsi="Cambria Math"/>
            <w:sz w:val="22"/>
          </w:rPr>
          <m:rPr>
            <m:sty m:val="p"/>
          </m:rPr>
          <m:t>,</m:t>
        </m:r>
        <m:sSub>
          <m:e>
            <m:r>
              <w:rPr>
                <w:rFonts w:ascii="Cambria Math" w:hAnsi="Cambria Math"/>
                <w:sz w:val="22"/>
              </w:rPr>
              <m:t>V</m:t>
            </m:r>
          </m:e>
          <m:sub>
            <m:r>
              <w:rPr>
                <w:rFonts w:ascii="Cambria Math" w:hAnsi="Cambria Math"/>
                <w:sz w:val="22"/>
              </w:rPr>
              <m:t>2</m:t>
            </m:r>
          </m:sub>
        </m:sSub>
        <m:r>
          <w:rPr>
            <w:rFonts w:ascii="Cambria Math" w:hAnsi="Cambria Math"/>
            <w:sz w:val="22"/>
          </w:rPr>
          <m:rPr>
            <m:sty m:val="p"/>
          </m:rPr>
          <m:t>)</m:t>
        </m:r>
        <m:r>
          <w:rPr>
            <w:rFonts w:ascii="Cambria Math" w:hAnsi="Cambria Math"/>
            <w:sz w:val="22"/>
          </w:rPr>
          <m:rPr>
            <m:sty m:val="p"/>
          </m:rPr>
          <m:t>=</m:t>
        </m:r>
        <m:r>
          <w:rPr>
            <w:rFonts w:ascii="Cambria Math" w:hAnsi="Cambria Math"/>
            <w:sz w:val="22"/>
          </w:rPr>
          <m:t>t</m:t>
        </m:r>
        <m:r>
          <w:rPr>
            <w:rFonts w:ascii="Cambria Math" w:hAnsi="Cambria Math"/>
            <w:sz w:val="22"/>
          </w:rPr>
          <m:rPr>
            <m:sty m:val="p"/>
          </m:rPr>
          <m:t>(</m:t>
        </m:r>
        <m:sSub>
          <m:e>
            <m:r>
              <w:rPr>
                <w:rFonts w:ascii="Cambria Math" w:hAnsi="Cambria Math"/>
                <w:sz w:val="22"/>
              </w:rPr>
              <m:t>V</m:t>
            </m:r>
          </m:e>
          <m:sub>
            <m:r>
              <w:rPr>
                <w:rFonts w:ascii="Cambria Math" w:hAnsi="Cambria Math"/>
                <w:sz w:val="22"/>
              </w:rPr>
              <m:t>2</m:t>
            </m:r>
          </m:sub>
        </m:sSub>
        <m:r>
          <w:rPr>
            <w:rFonts w:ascii="Cambria Math" w:hAnsi="Cambria Math"/>
            <w:sz w:val="22"/>
          </w:rPr>
          <m:rPr>
            <m:sty m:val="p"/>
          </m:rPr>
          <m:t>)</m:t>
        </m:r>
        <m:r>
          <w:rPr>
            <w:rFonts w:ascii="Cambria Math" w:hAnsi="Cambria Math"/>
            <w:sz w:val="22"/>
          </w:rPr>
          <m:rPr>
            <m:sty m:val="p"/>
          </m:rPr>
          <m:t>−</m:t>
        </m:r>
        <m:r>
          <w:rPr>
            <w:rFonts w:ascii="Cambria Math" w:hAnsi="Cambria Math"/>
            <w:sz w:val="22"/>
          </w:rPr>
          <m:t>t</m:t>
        </m:r>
        <m:r>
          <w:rPr>
            <w:rFonts w:ascii="Cambria Math" w:hAnsi="Cambria Math"/>
            <w:sz w:val="22"/>
          </w:rPr>
          <m:rPr>
            <m:sty m:val="p"/>
          </m:rPr>
          <m:t>(</m:t>
        </m:r>
        <m:sSub>
          <m:e>
            <m:r>
              <w:rPr>
                <w:rFonts w:ascii="Cambria Math" w:hAnsi="Cambria Math"/>
                <w:sz w:val="22"/>
              </w:rPr>
              <m:t>V</m:t>
            </m:r>
          </m:e>
          <m:sub>
            <m:r>
              <w:rPr>
                <w:rFonts w:ascii="Cambria Math" w:hAnsi="Cambria Math"/>
                <w:sz w:val="22"/>
              </w:rPr>
              <m:t>1</m:t>
            </m:r>
          </m:sub>
        </m:sSub>
        <m:r>
          <w:rPr>
            <w:rFonts w:ascii="Cambria Math" w:hAnsi="Cambria Math"/>
            <w:sz w:val="22"/>
          </w:rPr>
          <m:rPr>
            <m:sty m:val="p"/>
          </m:rPr>
          <m:t>)</m:t>
        </m:r>
        <m:r>
          <w:rPr>
            <w:rFonts w:ascii="Cambria Math" w:hAnsi="Cambria Math"/>
            <w:sz w:val="22"/>
          </w:rPr>
          <m:rPr>
            <m:sty m:val="p"/>
          </m:rPr>
          <m:t>,</m:t>
        </m:r>
      </m:oMath>
      <w:r>
        <w:tab/>
        <w:t>(2)</w:t>
      </w:r>
      <w:bookmarkEnd w:id="1006"/>
    </w:p>
    <w:p>
      <w:pPr>
        <w:pStyle w:val="BodyText"/>
      </w:pPr>
      <w:r>
        <w:rPr>
          <w:rFonts w:hint="eastAsia"/>
        </w:rPr>
        <w:t xml:space="preserve">式中，</w:t>
      </w:r>
      <m:oMath>
        <m:r>
          <w:rPr>
            <w:rFonts w:ascii="Cambria Math" w:hAnsi="Cambria Math"/>
            <w:sz w:val="22"/>
          </w:rPr>
          <m:t>t</m:t>
        </m:r>
        <m:r>
          <w:rPr>
            <w:rFonts w:ascii="Cambria Math" w:hAnsi="Cambria Math"/>
            <w:sz w:val="22"/>
          </w:rPr>
          <m:rPr>
            <m:sty m:val="p"/>
          </m:rPr>
          <m:t>(</m:t>
        </m:r>
        <m:sSub>
          <m:e>
            <m:r>
              <w:rPr>
                <w:rFonts w:ascii="Cambria Math" w:hAnsi="Cambria Math"/>
                <w:sz w:val="22"/>
              </w:rPr>
              <m:t>V</m:t>
            </m:r>
          </m:e>
          <m:sub>
            <m:r>
              <w:rPr>
                <w:rFonts w:ascii="Cambria Math" w:hAnsi="Cambria Math"/>
                <w:sz w:val="22"/>
              </w:rPr>
              <m:t>1</m:t>
            </m:r>
          </m:sub>
        </m:sSub>
        <m:r>
          <w:rPr>
            <w:rFonts w:ascii="Cambria Math" w:hAnsi="Cambria Math"/>
            <w:sz w:val="22"/>
          </w:rPr>
          <m:rPr>
            <m:sty m:val="p"/>
          </m:rPr>
          <m:t>)</m:t>
        </m:r>
      </m:oMath>
      <w:r>
        <w:t xml:space="preserve">、</w:t>
      </w:r>
      <m:oMath>
        <m:r>
          <w:rPr>
            <w:rFonts w:ascii="Cambria Math" w:hAnsi="Cambria Math"/>
            <w:sz w:val="22"/>
          </w:rPr>
          <m:t>t</m:t>
        </m:r>
        <m:r>
          <w:rPr>
            <w:rFonts w:ascii="Cambria Math" w:hAnsi="Cambria Math"/>
            <w:sz w:val="22"/>
          </w:rPr>
          <m:rPr>
            <m:sty m:val="p"/>
          </m:rPr>
          <m:t>(</m:t>
        </m:r>
        <m:sSub>
          <m:e>
            <m:r>
              <w:rPr>
                <w:rFonts w:ascii="Cambria Math" w:hAnsi="Cambria Math"/>
                <w:sz w:val="22"/>
              </w:rPr>
              <m:t>V</m:t>
            </m:r>
          </m:e>
          <m:sub>
            <m:r>
              <w:rPr>
                <w:rFonts w:ascii="Cambria Math" w:hAnsi="Cambria Math"/>
                <w:sz w:val="22"/>
              </w:rPr>
              <m:t>2</m:t>
            </m:r>
          </m:sub>
        </m:sSub>
        <m:r>
          <w:rPr>
            <w:rFonts w:ascii="Cambria Math" w:hAnsi="Cambria Math"/>
            <w:sz w:val="22"/>
          </w:rPr>
          <m:rPr>
            <m:sty m:val="p"/>
          </m:rPr>
          <m:t>)</m:t>
        </m:r>
      </m:oMath>
      <w:r>
        <w:t xml:space="preserve"> </w:t>
      </w:r>
      <w:r>
        <w:rPr>
          <w:rFonts w:hint="eastAsia"/>
        </w:rPr>
        <w:t xml:space="preserve">分别为充电电压达到</w:t>
      </w:r>
      <w:r>
        <w:t xml:space="preserve"> </w:t>
      </w:r>
      <m:oMath>
        <m:sSub>
          <m:e>
            <m:r>
              <w:rPr>
                <w:rFonts w:ascii="Cambria Math" w:hAnsi="Cambria Math"/>
                <w:sz w:val="22"/>
              </w:rPr>
              <m:t>V</m:t>
            </m:r>
          </m:e>
          <m:sub>
            <m:r>
              <w:rPr>
                <w:rFonts w:ascii="Cambria Math" w:hAnsi="Cambria Math"/>
                <w:sz w:val="22"/>
              </w:rPr>
              <m:t>1</m:t>
            </m:r>
          </m:sub>
        </m:sSub>
      </m:oMath>
      <w:r>
        <w:t xml:space="preserve">、</w:t>
      </w:r>
      <m:oMath>
        <m:sSub>
          <m:e>
            <m:r>
              <w:rPr>
                <w:rFonts w:ascii="Cambria Math" w:hAnsi="Cambria Math"/>
                <w:sz w:val="22"/>
              </w:rPr>
              <m:t>V</m:t>
            </m:r>
          </m:e>
          <m:sub>
            <m:r>
              <w:rPr>
                <w:rFonts w:ascii="Cambria Math" w:hAnsi="Cambria Math"/>
                <w:sz w:val="22"/>
              </w:rPr>
              <m:t>2</m:t>
            </m:r>
          </m:sub>
        </m:sSub>
      </m:oMath>
      <w:r>
        <w:t xml:space="preserve"> </w:t>
      </w:r>
      <w:r>
        <w:rPr>
          <w:rFonts w:hint="eastAsia"/>
        </w:rPr>
        <w:t xml:space="preserve">的时刻。CCCT</w:t>
      </w:r>
      <w:r>
        <w:t xml:space="preserve"> </w:t>
      </w:r>
      <w:r>
        <w:rPr>
          <w:rFonts w:hint="eastAsia"/>
        </w:rPr>
        <w:t xml:space="preserve">的电压区间由</w:t>
      </w:r>
      <w:r>
        <w:t xml:space="preserve"> MS-CCCT </w:t>
      </w:r>
      <w:r>
        <w:rPr>
          <w:rFonts w:hint="eastAsia"/>
        </w:rPr>
        <w:t xml:space="preserve">标定，具体方法见第</w:t>
      </w:r>
      <w:r>
        <w:t xml:space="preserve"> </w:t>
      </w:r>
      <w:hyperlink w:anchor="b_sec_ms_ccct">
        <w:r>
          <w:rPr>
            <w:rStyle w:val="Hyperlink"/>
          </w:rPr>
          <w:t xml:space="preserve">2.3.2</w:t>
        </w:r>
      </w:hyperlink>
      <w:r>
        <w:t xml:space="preserve"> </w:t>
      </w:r>
      <w:r>
        <w:rPr>
          <w:rFonts w:hint="eastAsia"/>
        </w:rPr>
        <w:t xml:space="preserve">节，标定所得充电时长特征记为</w:t>
      </w:r>
      <w:r>
        <w:t xml:space="preserve"> HI1。</w:t>
      </w:r>
    </w:p>
    <w:p>
      <w:pPr>
        <w:pStyle w:val="BodyText"/>
      </w:pPr>
      <w:r>
        <w:rPr>
          <w:rFonts w:hint="eastAsia"/>
        </w:rPr>
        <w:t xml:space="preserve">除充电时序特征外，容量随电压的变化同样包含电池退化信息。增量容量（IC）曲线是解析电池电化学退化的经典分析手段。该方法对容量关于电压求导，将平缓的充电电压平台转化为辨识度更高的特征峰，其位置与形状会随电池老化发生变化[</w:t>
      </w:r>
      <w:hyperlink w:anchor="b_ref50">
        <w:r>
          <w:rPr>
            <w:rStyle w:val="Hyperlink"/>
          </w:rPr>
          <w:t xml:space="preserve">50</w:t>
        </w:r>
      </w:hyperlink>
      <w:r>
        <w:t xml:space="preserve">,</w:t>
      </w:r>
      <w:hyperlink w:anchor="b_ref64">
        <w:r>
          <w:rPr>
            <w:rStyle w:val="Hyperlink"/>
          </w:rPr>
          <w:t xml:space="preserve">64</w:t>
        </w:r>
      </w:hyperlink>
      <w:r>
        <w:t xml:space="preserve">]。IC </w:t>
      </w:r>
      <w:r>
        <w:rPr>
          <w:rFonts w:hint="eastAsia"/>
        </w:rPr>
        <w:t xml:space="preserve">的具体表达式为：</w:t>
      </w:r>
    </w:p>
    <w:p>
      <w:pPr>
        <w:pStyle w:val="BodyText"/>
        <w:keepLines/>
        <w:tabs>
          <w:tab w:pos="4791" w:val="center"/>
          <w:tab w:pos="9581" w:val="right"/>
        </w:tabs>
        <w:spacing w:before="100" w:after="100"/>
        <w:ind w:firstLine="0"/>
        <w:jc w:val="left"/>
      </w:pPr>
      <w:bookmarkStart w:id="1007" w:name="equation_3"/>
      <w:r>
        <w:tab/>
      </w:r>
      <m:oMath>
        <m:r>
          <w:rPr>
            <w:rFonts w:ascii="Cambria Math" w:hAnsi="Cambria Math"/>
            <w:sz w:val="22"/>
          </w:rPr>
          <m:t>I</m:t>
        </m:r>
        <m:r>
          <w:rPr>
            <w:rFonts w:ascii="Cambria Math" w:hAnsi="Cambria Math"/>
            <w:sz w:val="22"/>
          </w:rPr>
          <m:t>C</m:t>
        </m:r>
        <m:r>
          <w:rPr>
            <w:rFonts w:ascii="Cambria Math" w:hAnsi="Cambria Math"/>
            <w:sz w:val="22"/>
          </w:rPr>
          <m:rPr>
            <m:sty m:val="p"/>
          </m:rPr>
          <m:t>=</m:t>
        </m:r>
        <m:f>
          <m:fPr>
            <m:type m:val="bar"/>
          </m:fPr>
          <m:num>
            <m:r>
              <w:rPr>
                <w:rFonts w:ascii="Cambria Math" w:hAnsi="Cambria Math"/>
                <w:sz w:val="22"/>
              </w:rPr>
              <m:t>d</m:t>
            </m:r>
            <m:r>
              <w:rPr>
                <w:rFonts w:ascii="Cambria Math" w:hAnsi="Cambria Math"/>
                <w:sz w:val="22"/>
              </w:rPr>
              <m:t>Q</m:t>
            </m:r>
          </m:num>
          <m:den>
            <m:r>
              <w:rPr>
                <w:rFonts w:ascii="Cambria Math" w:hAnsi="Cambria Math"/>
                <w:sz w:val="22"/>
              </w:rPr>
              <m:t>d</m:t>
            </m:r>
            <m:r>
              <w:rPr>
                <w:rFonts w:ascii="Cambria Math" w:hAnsi="Cambria Math"/>
                <w:sz w:val="22"/>
              </w:rPr>
              <m:t>V</m:t>
            </m:r>
          </m:den>
        </m:f>
        <m:r>
          <w:rPr>
            <w:rFonts w:ascii="Cambria Math" w:hAnsi="Cambria Math"/>
            <w:sz w:val="22"/>
          </w:rPr>
          <m:rPr>
            <m:sty m:val="p"/>
          </m:rPr>
          <m:t>≈</m:t>
        </m:r>
        <m:f>
          <m:fPr>
            <m:type m:val="bar"/>
          </m:fPr>
          <m:num>
            <m:sSub>
              <m:e>
                <m:r>
                  <w:rPr>
                    <w:rFonts w:ascii="Cambria Math" w:hAnsi="Cambria Math"/>
                    <w:sz w:val="22"/>
                  </w:rPr>
                  <m:t>Q</m:t>
                </m:r>
              </m:e>
              <m:sub>
                <m:r>
                  <w:rPr>
                    <w:rFonts w:ascii="Cambria Math" w:hAnsi="Cambria Math"/>
                    <w:sz w:val="22"/>
                  </w:rPr>
                  <m:t>k</m:t>
                </m:r>
                <m:r>
                  <w:rPr>
                    <w:rFonts w:ascii="Cambria Math" w:hAnsi="Cambria Math"/>
                    <w:sz w:val="22"/>
                  </w:rPr>
                  <m:rPr>
                    <m:sty m:val="p"/>
                  </m:rPr>
                  <m:t>+</m:t>
                </m:r>
                <m:r>
                  <w:rPr>
                    <w:rFonts w:ascii="Cambria Math" w:hAnsi="Cambria Math"/>
                    <w:sz w:val="22"/>
                  </w:rPr>
                  <m:t>N</m:t>
                </m:r>
              </m:sub>
            </m:sSub>
            <m:r>
              <w:rPr>
                <w:rFonts w:ascii="Cambria Math" w:hAnsi="Cambria Math"/>
                <w:sz w:val="22"/>
              </w:rPr>
              <m:rPr>
                <m:sty m:val="p"/>
              </m:rPr>
              <m:t>−</m:t>
            </m:r>
            <m:sSub>
              <m:e>
                <m:r>
                  <w:rPr>
                    <w:rFonts w:ascii="Cambria Math" w:hAnsi="Cambria Math"/>
                    <w:sz w:val="22"/>
                  </w:rPr>
                  <m:t>Q</m:t>
                </m:r>
              </m:e>
              <m:sub>
                <m:r>
                  <w:rPr>
                    <w:rFonts w:ascii="Cambria Math" w:hAnsi="Cambria Math"/>
                    <w:sz w:val="22"/>
                  </w:rPr>
                  <m:t>k</m:t>
                </m:r>
              </m:sub>
            </m:sSub>
          </m:num>
          <m:den>
            <m:sSub>
              <m:e>
                <m:r>
                  <w:rPr>
                    <w:rFonts w:ascii="Cambria Math" w:hAnsi="Cambria Math"/>
                    <w:sz w:val="22"/>
                  </w:rPr>
                  <m:t>V</m:t>
                </m:r>
              </m:e>
              <m:sub>
                <m:r>
                  <w:rPr>
                    <w:rFonts w:ascii="Cambria Math" w:hAnsi="Cambria Math"/>
                    <w:sz w:val="22"/>
                  </w:rPr>
                  <m:t>k</m:t>
                </m:r>
                <m:r>
                  <w:rPr>
                    <w:rFonts w:ascii="Cambria Math" w:hAnsi="Cambria Math"/>
                    <w:sz w:val="22"/>
                  </w:rPr>
                  <m:rPr>
                    <m:sty m:val="p"/>
                  </m:rPr>
                  <m:t>+</m:t>
                </m:r>
                <m:r>
                  <w:rPr>
                    <w:rFonts w:ascii="Cambria Math" w:hAnsi="Cambria Math"/>
                    <w:sz w:val="22"/>
                  </w:rPr>
                  <m:t>N</m:t>
                </m:r>
              </m:sub>
            </m:sSub>
            <m:r>
              <w:rPr>
                <w:rFonts w:ascii="Cambria Math" w:hAnsi="Cambria Math"/>
                <w:sz w:val="22"/>
              </w:rPr>
              <m:rPr>
                <m:sty m:val="p"/>
              </m:rPr>
              <m:t>−</m:t>
            </m:r>
            <m:sSub>
              <m:e>
                <m:r>
                  <w:rPr>
                    <w:rFonts w:ascii="Cambria Math" w:hAnsi="Cambria Math"/>
                    <w:sz w:val="22"/>
                  </w:rPr>
                  <m:t>V</m:t>
                </m:r>
              </m:e>
              <m:sub>
                <m:r>
                  <w:rPr>
                    <w:rFonts w:ascii="Cambria Math" w:hAnsi="Cambria Math"/>
                    <w:sz w:val="22"/>
                  </w:rPr>
                  <m:t>k</m:t>
                </m:r>
              </m:sub>
            </m:sSub>
          </m:den>
        </m:f>
        <m:r>
          <w:rPr>
            <w:rFonts w:ascii="Cambria Math" w:hAnsi="Cambria Math"/>
            <w:sz w:val="22"/>
          </w:rPr>
          <m:rPr>
            <m:sty m:val="p"/>
          </m:rPr>
          <m:t>,</m:t>
        </m:r>
      </m:oMath>
      <w:r>
        <w:tab/>
        <w:t>(3)</w:t>
      </w:r>
      <w:bookmarkEnd w:id="1007"/>
    </w:p>
    <w:p>
      <w:pPr>
        <w:pStyle w:val="BodyText"/>
      </w:pPr>
      <w:r>
        <w:rPr>
          <w:rFonts w:hint="eastAsia"/>
        </w:rPr>
        <w:t xml:space="preserve">式中，</w:t>
      </w:r>
      <m:oMath>
        <m:sSub>
          <m:e>
            <m:r>
              <w:rPr>
                <w:rFonts w:ascii="Cambria Math" w:hAnsi="Cambria Math"/>
                <w:sz w:val="22"/>
              </w:rPr>
              <m:t>V</m:t>
            </m:r>
          </m:e>
          <m:sub>
            <m:r>
              <w:rPr>
                <w:rFonts w:ascii="Cambria Math" w:hAnsi="Cambria Math"/>
                <w:sz w:val="22"/>
              </w:rPr>
              <m:t>k</m:t>
            </m:r>
          </m:sub>
        </m:sSub>
      </m:oMath>
      <w:r>
        <w:t xml:space="preserve"> </w:t>
      </w:r>
      <w:r>
        <w:rPr>
          <w:rFonts w:hint="eastAsia"/>
        </w:rPr>
        <w:t xml:space="preserve">和</w:t>
      </w:r>
      <w:r>
        <w:t xml:space="preserve"> </w:t>
      </w:r>
      <m:oMath>
        <m:sSub>
          <m:e>
            <m:r>
              <w:rPr>
                <w:rFonts w:ascii="Cambria Math" w:hAnsi="Cambria Math"/>
                <w:sz w:val="22"/>
              </w:rPr>
              <m:t>Q</m:t>
            </m:r>
          </m:e>
          <m:sub>
            <m:r>
              <w:rPr>
                <w:rFonts w:ascii="Cambria Math" w:hAnsi="Cambria Math"/>
                <w:sz w:val="22"/>
              </w:rPr>
              <m:t>k</m:t>
            </m:r>
          </m:sub>
        </m:sSub>
      </m:oMath>
      <w:r>
        <w:t xml:space="preserve"> </w:t>
      </w:r>
      <w:r>
        <w:rPr>
          <w:rFonts w:hint="eastAsia"/>
        </w:rPr>
        <w:t xml:space="preserve">分别为第</w:t>
      </w:r>
      <w:r>
        <w:t xml:space="preserve"> </w:t>
      </w:r>
      <m:oMath>
        <m:r>
          <w:rPr>
            <w:rFonts w:ascii="Cambria Math" w:hAnsi="Cambria Math"/>
            <w:sz w:val="22"/>
          </w:rPr>
          <m:t>k</m:t>
        </m:r>
      </m:oMath>
      <w:r>
        <w:t xml:space="preserve"> </w:t>
      </w:r>
      <w:r>
        <w:rPr>
          <w:rFonts w:hint="eastAsia"/>
        </w:rPr>
        <w:t xml:space="preserve">个采样点的端电压和充电容量，</w:t>
      </w:r>
      <m:oMath>
        <m:r>
          <w:rPr>
            <w:rFonts w:ascii="Cambria Math" w:hAnsi="Cambria Math"/>
            <w:sz w:val="22"/>
          </w:rPr>
          <m:t>N</m:t>
        </m:r>
      </m:oMath>
      <w:r>
        <w:t xml:space="preserve"> </w:t>
      </w:r>
      <w:r>
        <w:rPr>
          <w:rFonts w:hint="eastAsia"/>
        </w:rPr>
        <w:t xml:space="preserve">为两个采样点之间的间隔。不同循环下，IC</w:t>
      </w:r>
      <w:r>
        <w:t xml:space="preserve"> </w:t>
      </w:r>
      <w:r>
        <w:rPr>
          <w:rFonts w:hint="eastAsia"/>
        </w:rPr>
        <w:t xml:space="preserve">曲线的峰值、特征位置和分布宽度随老化发生变化，如</w:t>
      </w:r>
      <w:hyperlink w:anchor="b_fig_2_3">
        <w:r>
          <w:rPr>
            <w:rStyle w:val="Hyperlink"/>
          </w:rPr>
          <w:t xml:space="preserve">Fig. 3</w:t>
        </w:r>
      </w:hyperlink>
      <w:r>
        <w:rPr>
          <w:rFonts w:hint="eastAsia"/>
        </w:rPr>
        <w:t xml:space="preserve">(b)所示。由此提取</w:t>
      </w:r>
      <w:r>
        <w:t xml:space="preserve"> IC </w:t>
      </w:r>
      <w:r>
        <w:rPr>
          <w:rFonts w:hint="eastAsia"/>
        </w:rPr>
        <w:t xml:space="preserve">曲线的峰值、峰值对应电压和半峰宽，并分别定义为</w:t>
      </w:r>
      <w:r>
        <w:t xml:space="preserve"> HI2、HI3 </w:t>
      </w:r>
      <w:r>
        <w:rPr>
          <w:rFonts w:hint="eastAsia"/>
        </w:rPr>
        <w:t xml:space="preserve">和</w:t>
      </w:r>
      <w:r>
        <w:t xml:space="preserve"> HI4。</w:t>
      </w:r>
    </w:p>
    <w:p>
      <w:pPr>
        <w:pStyle w:val="BodyText"/>
      </w:pPr>
      <w:r>
        <w:rPr>
          <w:rFonts w:hint="eastAsia"/>
        </w:rPr>
        <w:t xml:space="preserve">温度是反映电池内部状态的另一重要维度。恒流充电过程中，电池表面温度变化通常较为缓慢，老化带来的微小热响应差异难以通过原始温度曲线直接识别。为识别这类差异，Wu</w:t>
      </w:r>
      <w:r>
        <w:t xml:space="preserve"> </w:t>
      </w:r>
      <w:r>
        <w:rPr>
          <w:rFonts w:hint="eastAsia"/>
        </w:rPr>
        <w:t xml:space="preserve">等人[</w:t>
      </w:r>
      <w:hyperlink w:anchor="b_ref65">
        <w:r>
          <w:rPr>
            <w:rStyle w:val="Hyperlink"/>
          </w:rPr>
          <w:t xml:space="preserve">65</w:t>
        </w:r>
      </w:hyperlink>
      <w:r>
        <w:rPr>
          <w:rFonts w:hint="eastAsia"/>
        </w:rPr>
        <w:t xml:space="preserve">]提出微分温度–电压（DTV）分析方法。该方法通过计算充电过程中电池表面温度相对电压的变化率，将热响应映射至电压域，形成随老化变化的峰谷特征曲线[</w:t>
      </w:r>
      <w:hyperlink w:anchor="b_ref64">
        <w:r>
          <w:rPr>
            <w:rStyle w:val="Hyperlink"/>
          </w:rPr>
          <w:t xml:space="preserve">64</w:t>
        </w:r>
      </w:hyperlink>
      <w:r>
        <w:t xml:space="preserve">,</w:t>
      </w:r>
      <w:hyperlink w:anchor="b_ref65">
        <w:r>
          <w:rPr>
            <w:rStyle w:val="Hyperlink"/>
          </w:rPr>
          <w:t xml:space="preserve">65</w:t>
        </w:r>
      </w:hyperlink>
      <w:r>
        <w:rPr>
          <w:rFonts w:hint="eastAsia"/>
        </w:rPr>
        <w:t xml:space="preserve">]。其定义如下：</w:t>
      </w:r>
    </w:p>
    <w:p>
      <w:pPr>
        <w:pStyle w:val="BodyText"/>
        <w:keepLines/>
        <w:tabs>
          <w:tab w:pos="4791" w:val="center"/>
          <w:tab w:pos="9581" w:val="right"/>
        </w:tabs>
        <w:spacing w:before="100" w:after="100"/>
        <w:ind w:firstLine="0"/>
        <w:jc w:val="left"/>
      </w:pPr>
      <w:bookmarkStart w:id="1008" w:name="equation_4"/>
      <w:r>
        <w:tab/>
      </w:r>
      <m:oMath>
        <m:r>
          <w:rPr>
            <w:rFonts w:ascii="Cambria Math" w:hAnsi="Cambria Math"/>
            <w:sz w:val="22"/>
          </w:rPr>
          <m:t>D</m:t>
        </m:r>
        <m:r>
          <w:rPr>
            <w:rFonts w:ascii="Cambria Math" w:hAnsi="Cambria Math"/>
            <w:sz w:val="22"/>
          </w:rPr>
          <m:t>T</m:t>
        </m:r>
        <m:r>
          <w:rPr>
            <w:rFonts w:ascii="Cambria Math" w:hAnsi="Cambria Math"/>
            <w:sz w:val="22"/>
          </w:rPr>
          <m:t>V</m:t>
        </m:r>
        <m:r>
          <w:rPr>
            <w:rFonts w:ascii="Cambria Math" w:hAnsi="Cambria Math"/>
            <w:sz w:val="22"/>
          </w:rPr>
          <m:rPr>
            <m:sty m:val="p"/>
          </m:rPr>
          <m:t>=</m:t>
        </m:r>
        <m:f>
          <m:fPr>
            <m:type m:val="bar"/>
          </m:fPr>
          <m:num>
            <m:r>
              <w:rPr>
                <w:rFonts w:ascii="Cambria Math" w:hAnsi="Cambria Math"/>
                <w:sz w:val="22"/>
              </w:rPr>
              <m:t>d</m:t>
            </m:r>
            <m:r>
              <w:rPr>
                <w:rFonts w:ascii="Cambria Math" w:hAnsi="Cambria Math"/>
                <w:sz w:val="22"/>
              </w:rPr>
              <m:t>T</m:t>
            </m:r>
          </m:num>
          <m:den>
            <m:r>
              <w:rPr>
                <w:rFonts w:ascii="Cambria Math" w:hAnsi="Cambria Math"/>
                <w:sz w:val="22"/>
              </w:rPr>
              <m:t>d</m:t>
            </m:r>
            <m:r>
              <w:rPr>
                <w:rFonts w:ascii="Cambria Math" w:hAnsi="Cambria Math"/>
                <w:sz w:val="22"/>
              </w:rPr>
              <m:t>V</m:t>
            </m:r>
          </m:den>
        </m:f>
        <m:r>
          <w:rPr>
            <w:rFonts w:ascii="Cambria Math" w:hAnsi="Cambria Math"/>
            <w:sz w:val="22"/>
          </w:rPr>
          <m:rPr>
            <m:sty m:val="p"/>
          </m:rPr>
          <m:t>≈</m:t>
        </m:r>
        <m:f>
          <m:fPr>
            <m:type m:val="bar"/>
          </m:fPr>
          <m:num>
            <m:sSub>
              <m:e>
                <m:r>
                  <w:rPr>
                    <w:rFonts w:ascii="Cambria Math" w:hAnsi="Cambria Math"/>
                    <w:sz w:val="22"/>
                  </w:rPr>
                  <m:t>T</m:t>
                </m:r>
              </m:e>
              <m:sub>
                <m:r>
                  <w:rPr>
                    <w:rFonts w:ascii="Cambria Math" w:hAnsi="Cambria Math"/>
                    <w:sz w:val="22"/>
                  </w:rPr>
                  <m:t>k</m:t>
                </m:r>
                <m:r>
                  <w:rPr>
                    <w:rFonts w:ascii="Cambria Math" w:hAnsi="Cambria Math"/>
                    <w:sz w:val="22"/>
                  </w:rPr>
                  <m:rPr>
                    <m:sty m:val="p"/>
                  </m:rPr>
                  <m:t>+</m:t>
                </m:r>
                <m:r>
                  <w:rPr>
                    <w:rFonts w:ascii="Cambria Math" w:hAnsi="Cambria Math"/>
                    <w:sz w:val="22"/>
                  </w:rPr>
                  <m:t>N</m:t>
                </m:r>
              </m:sub>
            </m:sSub>
            <m:r>
              <w:rPr>
                <w:rFonts w:ascii="Cambria Math" w:hAnsi="Cambria Math"/>
                <w:sz w:val="22"/>
              </w:rPr>
              <m:rPr>
                <m:sty m:val="p"/>
              </m:rPr>
              <m:t>−</m:t>
            </m:r>
            <m:sSub>
              <m:e>
                <m:r>
                  <w:rPr>
                    <w:rFonts w:ascii="Cambria Math" w:hAnsi="Cambria Math"/>
                    <w:sz w:val="22"/>
                  </w:rPr>
                  <m:t>T</m:t>
                </m:r>
              </m:e>
              <m:sub>
                <m:r>
                  <w:rPr>
                    <w:rFonts w:ascii="Cambria Math" w:hAnsi="Cambria Math"/>
                    <w:sz w:val="22"/>
                  </w:rPr>
                  <m:t>k</m:t>
                </m:r>
              </m:sub>
            </m:sSub>
          </m:num>
          <m:den>
            <m:sSub>
              <m:e>
                <m:r>
                  <w:rPr>
                    <w:rFonts w:ascii="Cambria Math" w:hAnsi="Cambria Math"/>
                    <w:sz w:val="22"/>
                  </w:rPr>
                  <m:t>V</m:t>
                </m:r>
              </m:e>
              <m:sub>
                <m:r>
                  <w:rPr>
                    <w:rFonts w:ascii="Cambria Math" w:hAnsi="Cambria Math"/>
                    <w:sz w:val="22"/>
                  </w:rPr>
                  <m:t>k</m:t>
                </m:r>
                <m:r>
                  <w:rPr>
                    <w:rFonts w:ascii="Cambria Math" w:hAnsi="Cambria Math"/>
                    <w:sz w:val="22"/>
                  </w:rPr>
                  <m:rPr>
                    <m:sty m:val="p"/>
                  </m:rPr>
                  <m:t>+</m:t>
                </m:r>
                <m:r>
                  <w:rPr>
                    <w:rFonts w:ascii="Cambria Math" w:hAnsi="Cambria Math"/>
                    <w:sz w:val="22"/>
                  </w:rPr>
                  <m:t>N</m:t>
                </m:r>
              </m:sub>
            </m:sSub>
            <m:r>
              <w:rPr>
                <w:rFonts w:ascii="Cambria Math" w:hAnsi="Cambria Math"/>
                <w:sz w:val="22"/>
              </w:rPr>
              <m:rPr>
                <m:sty m:val="p"/>
              </m:rPr>
              <m:t>−</m:t>
            </m:r>
            <m:sSub>
              <m:e>
                <m:r>
                  <w:rPr>
                    <w:rFonts w:ascii="Cambria Math" w:hAnsi="Cambria Math"/>
                    <w:sz w:val="22"/>
                  </w:rPr>
                  <m:t>V</m:t>
                </m:r>
              </m:e>
              <m:sub>
                <m:r>
                  <w:rPr>
                    <w:rFonts w:ascii="Cambria Math" w:hAnsi="Cambria Math"/>
                    <w:sz w:val="22"/>
                  </w:rPr>
                  <m:t>k</m:t>
                </m:r>
              </m:sub>
            </m:sSub>
          </m:den>
        </m:f>
        <m:r>
          <w:rPr>
            <w:rFonts w:ascii="Cambria Math" w:hAnsi="Cambria Math"/>
            <w:sz w:val="22"/>
          </w:rPr>
          <m:rPr>
            <m:sty m:val="p"/>
          </m:rPr>
          <m:t>,</m:t>
        </m:r>
      </m:oMath>
      <w:r>
        <w:tab/>
        <w:t>(4)</w:t>
      </w:r>
      <w:bookmarkEnd w:id="1008"/>
    </w:p>
    <w:p>
      <w:pPr>
        <w:pStyle w:val="BodyText"/>
      </w:pPr>
      <w:r>
        <w:rPr>
          <w:rFonts w:hint="eastAsia"/>
        </w:rPr>
        <w:t xml:space="preserve">其中，</w:t>
      </w:r>
      <m:oMath>
        <m:sSub>
          <m:e>
            <m:r>
              <w:rPr>
                <w:rFonts w:ascii="Cambria Math" w:hAnsi="Cambria Math"/>
                <w:sz w:val="22"/>
              </w:rPr>
              <m:t>V</m:t>
            </m:r>
          </m:e>
          <m:sub>
            <m:r>
              <w:rPr>
                <w:rFonts w:ascii="Cambria Math" w:hAnsi="Cambria Math"/>
                <w:sz w:val="22"/>
              </w:rPr>
              <m:t>k</m:t>
            </m:r>
          </m:sub>
        </m:sSub>
      </m:oMath>
      <w:r>
        <w:t xml:space="preserve"> </w:t>
      </w:r>
      <w:r>
        <w:rPr>
          <w:rFonts w:hint="eastAsia"/>
        </w:rPr>
        <w:t xml:space="preserve">和</w:t>
      </w:r>
      <w:r>
        <w:t xml:space="preserve"> </w:t>
      </w:r>
      <m:oMath>
        <m:sSub>
          <m:e>
            <m:r>
              <w:rPr>
                <w:rFonts w:ascii="Cambria Math" w:hAnsi="Cambria Math"/>
                <w:sz w:val="22"/>
              </w:rPr>
              <m:t>T</m:t>
            </m:r>
          </m:e>
          <m:sub>
            <m:r>
              <w:rPr>
                <w:rFonts w:ascii="Cambria Math" w:hAnsi="Cambria Math"/>
                <w:sz w:val="22"/>
              </w:rPr>
              <m:t>k</m:t>
            </m:r>
          </m:sub>
        </m:sSub>
      </m:oMath>
      <w:r>
        <w:t xml:space="preserve"> </w:t>
      </w:r>
      <w:r>
        <w:rPr>
          <w:rFonts w:hint="eastAsia"/>
        </w:rPr>
        <w:t xml:space="preserve">分别为第</w:t>
      </w:r>
      <w:r>
        <w:t xml:space="preserve"> </w:t>
      </w:r>
      <m:oMath>
        <m:r>
          <w:rPr>
            <w:rFonts w:ascii="Cambria Math" w:hAnsi="Cambria Math"/>
            <w:sz w:val="22"/>
          </w:rPr>
          <m:t>k</m:t>
        </m:r>
      </m:oMath>
      <w:r>
        <w:t xml:space="preserve"> </w:t>
      </w:r>
      <w:r>
        <w:rPr>
          <w:rFonts w:hint="eastAsia"/>
        </w:rPr>
        <w:t xml:space="preserve">个采样点的端电压和电池表面温度，</w:t>
      </w:r>
      <m:oMath>
        <m:r>
          <w:rPr>
            <w:rFonts w:ascii="Cambria Math" w:hAnsi="Cambria Math"/>
            <w:sz w:val="22"/>
          </w:rPr>
          <m:t>N</m:t>
        </m:r>
      </m:oMath>
      <w:r>
        <w:t xml:space="preserve"> </w:t>
      </w:r>
      <w:r>
        <w:rPr>
          <w:rFonts w:hint="eastAsia"/>
        </w:rPr>
        <w:t xml:space="preserve">为两个采样点之间的间隔。为减小差分噪声的影响，对所得</w:t>
      </w:r>
      <w:r>
        <w:t xml:space="preserve"> DTV </w:t>
      </w:r>
      <w:r>
        <w:rPr>
          <w:rFonts w:hint="eastAsia"/>
        </w:rPr>
        <w:t xml:space="preserve">曲线采用窗口大小为</w:t>
      </w:r>
      <w:r>
        <w:t xml:space="preserve"> 200 </w:t>
      </w:r>
      <w:r>
        <w:rPr>
          <w:rFonts w:hint="eastAsia"/>
        </w:rPr>
        <w:t xml:space="preserve">个采样点的移动平均进行平滑处理[</w:t>
      </w:r>
      <w:hyperlink w:anchor="b_ref64">
        <w:r>
          <w:rPr>
            <w:rStyle w:val="Hyperlink"/>
          </w:rPr>
          <w:t xml:space="preserve">64</w:t>
        </w:r>
      </w:hyperlink>
      <w:r>
        <w:rPr>
          <w:rFonts w:hint="eastAsia"/>
        </w:rPr>
        <w:t xml:space="preserve">]。不同循环下，DTV</w:t>
      </w:r>
      <w:r>
        <w:t xml:space="preserve"> </w:t>
      </w:r>
      <w:r>
        <w:rPr>
          <w:rFonts w:hint="eastAsia"/>
        </w:rPr>
        <w:t xml:space="preserve">曲线的峰谷幅值与特征位置随老化发生变化，如</w:t>
      </w:r>
      <w:hyperlink w:anchor="b_fig_2_3">
        <w:r>
          <w:rPr>
            <w:rStyle w:val="Hyperlink"/>
          </w:rPr>
          <w:t xml:space="preserve">Fig. 3</w:t>
        </w:r>
      </w:hyperlink>
      <w:r>
        <w:rPr>
          <w:rFonts w:hint="eastAsia"/>
        </w:rPr>
        <w:t xml:space="preserve">(c)所示。据此提取峰值（HI5）、峰值对应电压（HI6）、谷值（HI7）、谷值对应电压（HI8）和峰谷差（HI9），分别描述热响应的幅值、特征位置及波动范围[</w:t>
      </w:r>
      <w:hyperlink w:anchor="b_ref64">
        <w:r>
          <w:rPr>
            <w:rStyle w:val="Hyperlink"/>
          </w:rPr>
          <w:t xml:space="preserve">64</w:t>
        </w:r>
      </w:hyperlink>
      <w:r>
        <w:t xml:space="preserve">]。</w:t>
      </w:r>
    </w:p>
    <w:p>
      <w:pPr>
        <w:pStyle w:val="BodyText"/>
      </w:pPr>
      <w:r>
        <w:rPr>
          <w:rFonts w:hint="eastAsia"/>
        </w:rPr>
        <w:t xml:space="preserve">与</w:t>
      </w:r>
      <w:r>
        <w:t xml:space="preserve"> DTV </w:t>
      </w:r>
      <w:r>
        <w:rPr>
          <w:rFonts w:hint="eastAsia"/>
        </w:rPr>
        <w:t xml:space="preserve">在电压域刻画热响应不同，DTC</w:t>
      </w:r>
      <w:r>
        <w:t xml:space="preserve"> </w:t>
      </w:r>
      <w:r>
        <w:rPr>
          <w:rFonts w:hint="eastAsia"/>
        </w:rPr>
        <w:t xml:space="preserve">在充电容量域刻画热响应。DTC</w:t>
      </w:r>
      <w:r>
        <w:t xml:space="preserve"> </w:t>
      </w:r>
      <w:r>
        <w:rPr>
          <w:rFonts w:hint="eastAsia"/>
        </w:rPr>
        <w:t xml:space="preserve">以充电容量为自变量，描述温度变化率随容量的演化，其定义如下[</w:t>
      </w:r>
      <w:hyperlink w:anchor="b_ref64">
        <w:r>
          <w:rPr>
            <w:rStyle w:val="Hyperlink"/>
          </w:rPr>
          <w:t xml:space="preserve">64</w:t>
        </w:r>
      </w:hyperlink>
      <w:r>
        <w:rPr>
          <w:rFonts w:hint="eastAsia"/>
        </w:rPr>
        <w:t xml:space="preserve">]：</w:t>
      </w:r>
    </w:p>
    <w:p>
      <w:pPr>
        <w:pStyle w:val="BodyText"/>
        <w:keepLines/>
        <w:tabs>
          <w:tab w:pos="4791" w:val="center"/>
          <w:tab w:pos="9581" w:val="right"/>
        </w:tabs>
        <w:spacing w:before="100" w:after="100"/>
        <w:ind w:firstLine="0"/>
        <w:jc w:val="left"/>
      </w:pPr>
      <w:bookmarkStart w:id="1009" w:name="equation_5"/>
      <w:r>
        <w:tab/>
      </w:r>
      <m:oMath>
        <m:r>
          <w:rPr>
            <w:rFonts w:ascii="Cambria Math" w:hAnsi="Cambria Math"/>
            <w:sz w:val="22"/>
          </w:rPr>
          <m:t>D</m:t>
        </m:r>
        <m:r>
          <w:rPr>
            <w:rFonts w:ascii="Cambria Math" w:hAnsi="Cambria Math"/>
            <w:sz w:val="22"/>
          </w:rPr>
          <m:t>T</m:t>
        </m:r>
        <m:r>
          <w:rPr>
            <w:rFonts w:ascii="Cambria Math" w:hAnsi="Cambria Math"/>
            <w:sz w:val="22"/>
          </w:rPr>
          <m:t>C</m:t>
        </m:r>
        <m:r>
          <w:rPr>
            <w:rFonts w:ascii="Cambria Math" w:hAnsi="Cambria Math"/>
            <w:sz w:val="22"/>
          </w:rPr>
          <m:rPr>
            <m:sty m:val="p"/>
          </m:rPr>
          <m:t>=</m:t>
        </m:r>
        <m:f>
          <m:fPr>
            <m:type m:val="bar"/>
          </m:fPr>
          <m:num>
            <m:r>
              <w:rPr>
                <w:rFonts w:ascii="Cambria Math" w:hAnsi="Cambria Math"/>
                <w:sz w:val="22"/>
              </w:rPr>
              <m:t>d</m:t>
            </m:r>
            <m:r>
              <w:rPr>
                <w:rFonts w:ascii="Cambria Math" w:hAnsi="Cambria Math"/>
                <w:sz w:val="22"/>
              </w:rPr>
              <m:t>T</m:t>
            </m:r>
          </m:num>
          <m:den>
            <m:r>
              <w:rPr>
                <w:rFonts w:ascii="Cambria Math" w:hAnsi="Cambria Math"/>
                <w:sz w:val="22"/>
              </w:rPr>
              <m:t>d</m:t>
            </m:r>
            <m:r>
              <w:rPr>
                <w:rFonts w:ascii="Cambria Math" w:hAnsi="Cambria Math"/>
                <w:sz w:val="22"/>
              </w:rPr>
              <m:t>Q</m:t>
            </m:r>
          </m:den>
        </m:f>
        <m:r>
          <w:rPr>
            <w:rFonts w:ascii="Cambria Math" w:hAnsi="Cambria Math"/>
            <w:sz w:val="22"/>
          </w:rPr>
          <m:rPr>
            <m:sty m:val="p"/>
          </m:rPr>
          <m:t>≈</m:t>
        </m:r>
        <m:f>
          <m:fPr>
            <m:type m:val="bar"/>
          </m:fPr>
          <m:num>
            <m:sSub>
              <m:e>
                <m:r>
                  <w:rPr>
                    <w:rFonts w:ascii="Cambria Math" w:hAnsi="Cambria Math"/>
                    <w:sz w:val="22"/>
                  </w:rPr>
                  <m:t>T</m:t>
                </m:r>
              </m:e>
              <m:sub>
                <m:r>
                  <w:rPr>
                    <w:rFonts w:ascii="Cambria Math" w:hAnsi="Cambria Math"/>
                    <w:sz w:val="22"/>
                  </w:rPr>
                  <m:t>k</m:t>
                </m:r>
                <m:r>
                  <w:rPr>
                    <w:rFonts w:ascii="Cambria Math" w:hAnsi="Cambria Math"/>
                    <w:sz w:val="22"/>
                  </w:rPr>
                  <m:rPr>
                    <m:sty m:val="p"/>
                  </m:rPr>
                  <m:t>+</m:t>
                </m:r>
                <m:r>
                  <w:rPr>
                    <w:rFonts w:ascii="Cambria Math" w:hAnsi="Cambria Math"/>
                    <w:sz w:val="22"/>
                  </w:rPr>
                  <m:t>N</m:t>
                </m:r>
              </m:sub>
            </m:sSub>
            <m:r>
              <w:rPr>
                <w:rFonts w:ascii="Cambria Math" w:hAnsi="Cambria Math"/>
                <w:sz w:val="22"/>
              </w:rPr>
              <m:rPr>
                <m:sty m:val="p"/>
              </m:rPr>
              <m:t>−</m:t>
            </m:r>
            <m:sSub>
              <m:e>
                <m:r>
                  <w:rPr>
                    <w:rFonts w:ascii="Cambria Math" w:hAnsi="Cambria Math"/>
                    <w:sz w:val="22"/>
                  </w:rPr>
                  <m:t>T</m:t>
                </m:r>
              </m:e>
              <m:sub>
                <m:r>
                  <w:rPr>
                    <w:rFonts w:ascii="Cambria Math" w:hAnsi="Cambria Math"/>
                    <w:sz w:val="22"/>
                  </w:rPr>
                  <m:t>k</m:t>
                </m:r>
              </m:sub>
            </m:sSub>
          </m:num>
          <m:den>
            <m:sSub>
              <m:e>
                <m:r>
                  <w:rPr>
                    <w:rFonts w:ascii="Cambria Math" w:hAnsi="Cambria Math"/>
                    <w:sz w:val="22"/>
                  </w:rPr>
                  <m:t>Q</m:t>
                </m:r>
              </m:e>
              <m:sub>
                <m:r>
                  <w:rPr>
                    <w:rFonts w:ascii="Cambria Math" w:hAnsi="Cambria Math"/>
                    <w:sz w:val="22"/>
                  </w:rPr>
                  <m:t>k</m:t>
                </m:r>
                <m:r>
                  <w:rPr>
                    <w:rFonts w:ascii="Cambria Math" w:hAnsi="Cambria Math"/>
                    <w:sz w:val="22"/>
                  </w:rPr>
                  <m:rPr>
                    <m:sty m:val="p"/>
                  </m:rPr>
                  <m:t>+</m:t>
                </m:r>
                <m:r>
                  <w:rPr>
                    <w:rFonts w:ascii="Cambria Math" w:hAnsi="Cambria Math"/>
                    <w:sz w:val="22"/>
                  </w:rPr>
                  <m:t>N</m:t>
                </m:r>
              </m:sub>
            </m:sSub>
            <m:r>
              <w:rPr>
                <w:rFonts w:ascii="Cambria Math" w:hAnsi="Cambria Math"/>
                <w:sz w:val="22"/>
              </w:rPr>
              <m:rPr>
                <m:sty m:val="p"/>
              </m:rPr>
              <m:t>−</m:t>
            </m:r>
            <m:sSub>
              <m:e>
                <m:r>
                  <w:rPr>
                    <w:rFonts w:ascii="Cambria Math" w:hAnsi="Cambria Math"/>
                    <w:sz w:val="22"/>
                  </w:rPr>
                  <m:t>Q</m:t>
                </m:r>
              </m:e>
              <m:sub>
                <m:r>
                  <w:rPr>
                    <w:rFonts w:ascii="Cambria Math" w:hAnsi="Cambria Math"/>
                    <w:sz w:val="22"/>
                  </w:rPr>
                  <m:t>k</m:t>
                </m:r>
              </m:sub>
            </m:sSub>
          </m:den>
        </m:f>
        <m:r>
          <w:rPr>
            <w:rFonts w:ascii="Cambria Math" w:hAnsi="Cambria Math"/>
            <w:sz w:val="22"/>
          </w:rPr>
          <m:rPr>
            <m:sty m:val="p"/>
          </m:rPr>
          <m:t>,</m:t>
        </m:r>
      </m:oMath>
      <w:r>
        <w:tab/>
        <w:t>(5)</w:t>
      </w:r>
      <w:bookmarkEnd w:id="1009"/>
    </w:p>
    <w:p>
      <w:pPr>
        <w:pStyle w:val="BodyText"/>
      </w:pPr>
      <w:r>
        <w:rPr>
          <w:rFonts w:hint="eastAsia"/>
        </w:rPr>
        <w:t xml:space="preserve">其中，</w:t>
      </w:r>
      <m:oMath>
        <m:sSub>
          <m:e>
            <m:r>
              <w:rPr>
                <w:rFonts w:ascii="Cambria Math" w:hAnsi="Cambria Math"/>
                <w:sz w:val="22"/>
              </w:rPr>
              <m:t>T</m:t>
            </m:r>
          </m:e>
          <m:sub>
            <m:r>
              <w:rPr>
                <w:rFonts w:ascii="Cambria Math" w:hAnsi="Cambria Math"/>
                <w:sz w:val="22"/>
              </w:rPr>
              <m:t>k</m:t>
            </m:r>
          </m:sub>
        </m:sSub>
      </m:oMath>
      <w:r>
        <w:t xml:space="preserve">、</w:t>
      </w:r>
      <m:oMath>
        <m:sSub>
          <m:e>
            <m:r>
              <w:rPr>
                <w:rFonts w:ascii="Cambria Math" w:hAnsi="Cambria Math"/>
                <w:sz w:val="22"/>
              </w:rPr>
              <m:t>Q</m:t>
            </m:r>
          </m:e>
          <m:sub>
            <m:r>
              <w:rPr>
                <w:rFonts w:ascii="Cambria Math" w:hAnsi="Cambria Math"/>
                <w:sz w:val="22"/>
              </w:rPr>
              <m:t>k</m:t>
            </m:r>
          </m:sub>
        </m:sSub>
      </m:oMath>
      <w:r>
        <w:t xml:space="preserve"> </w:t>
      </w:r>
      <w:r>
        <w:rPr>
          <w:rFonts w:hint="eastAsia"/>
        </w:rPr>
        <w:t xml:space="preserve">为第</w:t>
      </w:r>
      <w:r>
        <w:t xml:space="preserve"> </w:t>
      </w:r>
      <m:oMath>
        <m:r>
          <w:rPr>
            <w:rFonts w:ascii="Cambria Math" w:hAnsi="Cambria Math"/>
            <w:sz w:val="22"/>
          </w:rPr>
          <m:t>k</m:t>
        </m:r>
      </m:oMath>
      <w:r>
        <w:t xml:space="preserve"> </w:t>
      </w:r>
      <w:r>
        <w:rPr>
          <w:rFonts w:hint="eastAsia"/>
        </w:rPr>
        <w:t xml:space="preserve">个采样点的电池表面温度和充电容量，</w:t>
      </w:r>
      <m:oMath>
        <m:r>
          <w:rPr>
            <w:rFonts w:ascii="Cambria Math" w:hAnsi="Cambria Math"/>
            <w:sz w:val="22"/>
          </w:rPr>
          <m:t>N</m:t>
        </m:r>
      </m:oMath>
      <w:r>
        <w:t xml:space="preserve"> </w:t>
      </w:r>
      <w:r>
        <w:rPr>
          <w:rFonts w:hint="eastAsia"/>
        </w:rPr>
        <w:t xml:space="preserve">为两个采样点之间的间隔。对所得</w:t>
      </w:r>
      <w:r>
        <w:t xml:space="preserve"> DTC </w:t>
      </w:r>
      <w:r>
        <w:rPr>
          <w:rFonts w:hint="eastAsia"/>
        </w:rPr>
        <w:t xml:space="preserve">曲线同样采用窗口大小为</w:t>
      </w:r>
      <w:r>
        <w:t xml:space="preserve"> 200 </w:t>
      </w:r>
      <w:r>
        <w:rPr>
          <w:rFonts w:hint="eastAsia"/>
        </w:rPr>
        <w:t xml:space="preserve">个采样点的移动平均进行平滑处理[</w:t>
      </w:r>
      <w:hyperlink w:anchor="b_ref64">
        <w:r>
          <w:rPr>
            <w:rStyle w:val="Hyperlink"/>
          </w:rPr>
          <w:t xml:space="preserve">64</w:t>
        </w:r>
      </w:hyperlink>
      <w:r>
        <w:t xml:space="preserve">]。</w:t>
      </w:r>
      <w:hyperlink w:anchor="b_fig_2_3">
        <w:r>
          <w:rPr>
            <w:rStyle w:val="Hyperlink"/>
          </w:rPr>
          <w:t xml:space="preserve">Fig. 3</w:t>
        </w:r>
      </w:hyperlink>
      <w:r>
        <w:rPr>
          <w:rFonts w:hint="eastAsia"/>
        </w:rPr>
        <w:t xml:space="preserve">(d)所示</w:t>
      </w:r>
      <w:r>
        <w:t xml:space="preserve"> DTC </w:t>
      </w:r>
      <w:r>
        <w:rPr>
          <w:rFonts w:hint="eastAsia"/>
        </w:rPr>
        <w:t xml:space="preserve">曲线同样表现出随循环变化的峰值、特征位置和分布宽度，本文据此提取峰值、峰值对应容量和半峰宽，并将其定义为</w:t>
      </w:r>
      <w:r>
        <w:t xml:space="preserve"> HI10、HI11 </w:t>
      </w:r>
      <w:r>
        <w:rPr>
          <w:rFonts w:hint="eastAsia"/>
        </w:rPr>
        <w:t xml:space="preserve">和</w:t>
      </w:r>
      <w:r>
        <w:t xml:space="preserve"> HI12。</w:t>
      </w:r>
    </w:p>
    <w:p>
      <w:pPr>
        <w:pStyle w:val="BodyText"/>
      </w:pPr>
      <w:r>
        <w:rPr>
          <w:rFonts w:hint="eastAsia"/>
        </w:rPr>
        <w:t xml:space="preserve">窗口放电容量由指定电压区间内的放电电流累计积分得到，其定义如下：</w:t>
      </w:r>
    </w:p>
    <w:p>
      <w:pPr>
        <w:pStyle w:val="BodyText"/>
        <w:keepLines/>
        <w:tabs>
          <w:tab w:pos="4791" w:val="center"/>
          <w:tab w:pos="9581" w:val="right"/>
        </w:tabs>
        <w:spacing w:before="100" w:after="100"/>
        <w:ind w:firstLine="0"/>
        <w:jc w:val="left"/>
      </w:pPr>
      <w:bookmarkStart w:id="1010" w:name="equation_6"/>
      <w:r>
        <w:tab/>
      </w:r>
      <m:oMath>
        <m:sSub>
          <m:e>
            <m:r>
              <w:rPr>
                <w:rFonts w:ascii="Cambria Math" w:hAnsi="Cambria Math"/>
                <w:sz w:val="22"/>
              </w:rPr>
              <m:t>Q</m:t>
            </m:r>
          </m:e>
          <m:sub>
            <m:r>
              <w:rPr>
                <w:rFonts w:ascii="Cambria Math" w:hAnsi="Cambria Math"/>
                <w:sz w:val="22"/>
              </w:rPr>
              <m:rPr>
                <m:sty m:val="p"/>
              </m:rPr>
              <m:t>d</m:t>
            </m:r>
            <m:r>
              <w:rPr>
                <w:rFonts w:ascii="Cambria Math" w:hAnsi="Cambria Math"/>
                <w:sz w:val="22"/>
              </w:rPr>
              <m:rPr>
                <m:sty m:val="p"/>
              </m:rPr>
              <m:t>c</m:t>
            </m:r>
            <m:r>
              <w:rPr>
                <w:rFonts w:ascii="Cambria Math" w:hAnsi="Cambria Math"/>
                <w:sz w:val="22"/>
              </w:rPr>
              <m:rPr>
                <m:sty m:val="p"/>
              </m:rPr>
              <m:t>h</m:t>
            </m:r>
          </m:sub>
        </m:sSub>
        <m:r>
          <w:rPr>
            <w:rFonts w:ascii="Cambria Math" w:hAnsi="Cambria Math"/>
            <w:sz w:val="22"/>
          </w:rPr>
          <m:rPr>
            <m:sty m:val="p"/>
          </m:rPr>
          <m:t>(</m:t>
        </m:r>
        <m:sSub>
          <m:e>
            <m:r>
              <w:rPr>
                <w:rFonts w:ascii="Cambria Math" w:hAnsi="Cambria Math"/>
                <w:sz w:val="22"/>
              </w:rPr>
              <m:t>V</m:t>
            </m:r>
          </m:e>
          <m:sub>
            <m:r>
              <w:rPr>
                <w:rFonts w:ascii="Cambria Math" w:hAnsi="Cambria Math"/>
                <w:sz w:val="22"/>
              </w:rPr>
              <m:t>h</m:t>
            </m:r>
          </m:sub>
        </m:sSub>
        <m:r>
          <w:rPr>
            <w:rFonts w:ascii="Cambria Math" w:hAnsi="Cambria Math"/>
            <w:sz w:val="22"/>
          </w:rPr>
          <m:rPr>
            <m:sty m:val="p"/>
          </m:rPr>
          <m:t>,</m:t>
        </m:r>
        <m:sSub>
          <m:e>
            <m:r>
              <w:rPr>
                <w:rFonts w:ascii="Cambria Math" w:hAnsi="Cambria Math"/>
                <w:sz w:val="22"/>
              </w:rPr>
              <m:t>V</m:t>
            </m:r>
          </m:e>
          <m:sub>
            <m:r>
              <w:rPr>
                <w:rFonts w:ascii="Cambria Math" w:hAnsi="Cambria Math"/>
                <w:sz w:val="22"/>
              </w:rPr>
              <m:t>l</m:t>
            </m:r>
          </m:sub>
        </m:sSub>
        <m:r>
          <w:rPr>
            <w:rFonts w:ascii="Cambria Math" w:hAnsi="Cambria Math"/>
            <w:sz w:val="22"/>
          </w:rPr>
          <m:rPr>
            <m:sty m:val="p"/>
          </m:rPr>
          <m:t>)</m:t>
        </m:r>
        <m:r>
          <w:rPr>
            <w:rFonts w:ascii="Cambria Math" w:hAnsi="Cambria Math"/>
            <w:sz w:val="22"/>
          </w:rPr>
          <m:rPr>
            <m:sty m:val="p"/>
          </m:rPr>
          <m:t>=</m:t>
        </m:r>
        <m:f>
          <m:fPr>
            <m:type m:val="bar"/>
          </m:fPr>
          <m:num>
            <m:r>
              <w:rPr>
                <w:rFonts w:ascii="Cambria Math" w:hAnsi="Cambria Math"/>
                <w:sz w:val="22"/>
              </w:rPr>
              <m:t>1</m:t>
            </m:r>
          </m:num>
          <m:den>
            <m:r>
              <w:rPr>
                <w:rFonts w:ascii="Cambria Math" w:hAnsi="Cambria Math"/>
                <w:sz w:val="22"/>
              </w:rPr>
              <m:t>3600</m:t>
            </m:r>
          </m:den>
        </m:f>
        <m:nary>
          <m:naryPr>
            <m:chr m:val="∫"/>
            <m:limLoc m:val="subSup"/>
            <m:subHide m:val="off"/>
            <m:supHide m:val="on"/>
          </m:naryPr>
          <m:sub>
            <m:r>
              <w:rPr>
                <w:rFonts w:ascii="Cambria Math" w:hAnsi="Cambria Math"/>
                <w:sz w:val="22"/>
              </w:rPr>
              <m:rPr>
                <m:sty m:val="p"/>
              </m:rPr>
              <m:t>{</m:t>
            </m:r>
            <m:r>
              <w:rPr>
                <w:rFonts w:ascii="Cambria Math" w:hAnsi="Cambria Math"/>
                <w:sz w:val="22"/>
              </w:rPr>
              <m:t>t</m:t>
            </m:r>
            <m:r>
              <w:rPr>
                <w:rFonts w:ascii="Cambria Math" w:hAnsi="Cambria Math"/>
                <w:sz w:val="22"/>
              </w:rPr>
              <m:rPr>
                <m:sty m:val="p"/>
              </m:rPr>
              <m:t>:</m:t>
            </m:r>
            <m:r>
              <w:rPr>
                <w:rFonts w:ascii="Cambria Math" w:hAnsi="Cambria Math"/>
                <w:sz w:val="22"/>
              </w:rPr>
              <m:t> </m:t>
            </m:r>
            <m:sSub>
              <m:e>
                <m:r>
                  <w:rPr>
                    <w:rFonts w:ascii="Cambria Math" w:hAnsi="Cambria Math"/>
                    <w:sz w:val="22"/>
                  </w:rPr>
                  <m:t>V</m:t>
                </m:r>
              </m:e>
              <m:sub>
                <m:r>
                  <w:rPr>
                    <w:rFonts w:ascii="Cambria Math" w:hAnsi="Cambria Math"/>
                    <w:sz w:val="22"/>
                  </w:rPr>
                  <m:t>l</m:t>
                </m:r>
              </m:sub>
            </m:sSub>
            <m:r>
              <w:rPr>
                <w:rFonts w:ascii="Cambria Math" w:hAnsi="Cambria Math"/>
                <w:sz w:val="22"/>
              </w:rPr>
              <m:rPr>
                <m:sty m:val="p"/>
              </m:rPr>
              <m:t>≤</m:t>
            </m:r>
            <m:sSub>
              <m:e>
                <m:r>
                  <w:rPr>
                    <w:rFonts w:ascii="Cambria Math" w:hAnsi="Cambria Math"/>
                    <w:sz w:val="22"/>
                  </w:rPr>
                  <m:t>V</m:t>
                </m:r>
              </m:e>
              <m:sub>
                <m:r>
                  <w:rPr>
                    <w:rFonts w:ascii="Cambria Math" w:hAnsi="Cambria Math"/>
                    <w:sz w:val="22"/>
                  </w:rPr>
                  <m:rPr>
                    <m:sty m:val="p"/>
                  </m:rPr>
                  <m:t>d</m:t>
                </m:r>
                <m:r>
                  <w:rPr>
                    <w:rFonts w:ascii="Cambria Math" w:hAnsi="Cambria Math"/>
                    <w:sz w:val="22"/>
                  </w:rPr>
                  <m:rPr>
                    <m:sty m:val="p"/>
                  </m:rPr>
                  <m:t>c</m:t>
                </m:r>
                <m:r>
                  <w:rPr>
                    <w:rFonts w:ascii="Cambria Math" w:hAnsi="Cambria Math"/>
                    <w:sz w:val="22"/>
                  </w:rPr>
                  <m:rPr>
                    <m:sty m:val="p"/>
                  </m:rPr>
                  <m:t>h</m:t>
                </m:r>
              </m:sub>
            </m:sSub>
            <m:r>
              <w:rPr>
                <w:rFonts w:ascii="Cambria Math" w:hAnsi="Cambria Math"/>
                <w:sz w:val="22"/>
              </w:rPr>
              <m:rPr>
                <m:sty m:val="p"/>
              </m:rPr>
              <m:t>(</m:t>
            </m:r>
            <m:r>
              <w:rPr>
                <w:rFonts w:ascii="Cambria Math" w:hAnsi="Cambria Math"/>
                <w:sz w:val="22"/>
              </w:rPr>
              <m:t>t</m:t>
            </m:r>
            <m:r>
              <w:rPr>
                <w:rFonts w:ascii="Cambria Math" w:hAnsi="Cambria Math"/>
                <w:sz w:val="22"/>
              </w:rPr>
              <m:rPr>
                <m:sty m:val="p"/>
              </m:rPr>
              <m:t>)</m:t>
            </m:r>
            <m:r>
              <w:rPr>
                <w:rFonts w:ascii="Cambria Math" w:hAnsi="Cambria Math"/>
                <w:sz w:val="22"/>
              </w:rPr>
              <m:rPr>
                <m:sty m:val="p"/>
              </m:rPr>
              <m:t>≤</m:t>
            </m:r>
            <m:sSub>
              <m:e>
                <m:r>
                  <w:rPr>
                    <w:rFonts w:ascii="Cambria Math" w:hAnsi="Cambria Math"/>
                    <w:sz w:val="22"/>
                  </w:rPr>
                  <m:t>V</m:t>
                </m:r>
              </m:e>
              <m:sub>
                <m:r>
                  <w:rPr>
                    <w:rFonts w:ascii="Cambria Math" w:hAnsi="Cambria Math"/>
                    <w:sz w:val="22"/>
                  </w:rPr>
                  <m:t>h</m:t>
                </m:r>
              </m:sub>
            </m:sSub>
            <m:r>
              <w:rPr>
                <w:rFonts w:ascii="Cambria Math" w:hAnsi="Cambria Math"/>
                <w:sz w:val="22"/>
              </w:rPr>
              <m:rPr>
                <m:sty m:val="p"/>
              </m:rPr>
              <m:t>}</m:t>
            </m:r>
          </m:sub>
          <m:sup>
            <m:r>
              <w:rPr>
                <w:rFonts w:ascii="Cambria Math" w:hAnsi="Cambria Math"/>
                <w:sz w:val="22"/>
              </w:rPr>
              <m:t>​</m:t>
            </m:r>
          </m:sup>
          <m:e>
            <m:d>
              <m:dPr>
                <m:begChr m:val="|"/>
                <m:sepChr m:val=""/>
                <m:endChr m:val="|"/>
                <m:grow/>
              </m:dPr>
              <m:e>
                <m:sSub>
                  <m:e>
                    <m:r>
                      <w:rPr>
                        <w:rFonts w:ascii="Cambria Math" w:hAnsi="Cambria Math"/>
                        <w:sz w:val="22"/>
                      </w:rPr>
                      <m:t>I</m:t>
                    </m:r>
                  </m:e>
                  <m:sub>
                    <m:r>
                      <w:rPr>
                        <w:rFonts w:ascii="Cambria Math" w:hAnsi="Cambria Math"/>
                        <w:sz w:val="22"/>
                      </w:rPr>
                      <m:rPr>
                        <m:sty m:val="p"/>
                      </m:rPr>
                      <m:t>d</m:t>
                    </m:r>
                    <m:r>
                      <w:rPr>
                        <w:rFonts w:ascii="Cambria Math" w:hAnsi="Cambria Math"/>
                        <w:sz w:val="22"/>
                      </w:rPr>
                      <m:rPr>
                        <m:sty m:val="p"/>
                      </m:rPr>
                      <m:t>c</m:t>
                    </m:r>
                    <m:r>
                      <w:rPr>
                        <w:rFonts w:ascii="Cambria Math" w:hAnsi="Cambria Math"/>
                        <w:sz w:val="22"/>
                      </w:rPr>
                      <m:rPr>
                        <m:sty m:val="p"/>
                      </m:rPr>
                      <m:t>h</m:t>
                    </m:r>
                  </m:sub>
                </m:sSub>
                <m:r>
                  <w:rPr>
                    <w:rFonts w:ascii="Cambria Math" w:hAnsi="Cambria Math"/>
                    <w:sz w:val="22"/>
                  </w:rPr>
                  <m:rPr>
                    <m:sty m:val="p"/>
                  </m:rPr>
                  <m:t>(</m:t>
                </m:r>
                <m:r>
                  <w:rPr>
                    <w:rFonts w:ascii="Cambria Math" w:hAnsi="Cambria Math"/>
                    <w:sz w:val="22"/>
                  </w:rPr>
                  <m:t>t</m:t>
                </m:r>
                <m:r>
                  <w:rPr>
                    <w:rFonts w:ascii="Cambria Math" w:hAnsi="Cambria Math"/>
                    <w:sz w:val="22"/>
                  </w:rPr>
                  <m:rPr>
                    <m:sty m:val="p"/>
                  </m:rPr>
                  <m:t>)</m:t>
                </m:r>
              </m:e>
            </m:d>
          </m:e>
        </m:nary>
        <m:r>
          <w:rPr>
            <w:rFonts w:ascii="Cambria Math" w:hAnsi="Cambria Math"/>
            <w:sz w:val="22"/>
          </w:rPr>
          <m:t> </m:t>
        </m:r>
        <m:r>
          <w:rPr>
            <w:rFonts w:ascii="Cambria Math" w:hAnsi="Cambria Math"/>
            <w:sz w:val="22"/>
          </w:rPr>
          <m:t>d</m:t>
        </m:r>
        <m:r>
          <w:rPr>
            <w:rFonts w:ascii="Cambria Math" w:hAnsi="Cambria Math"/>
            <w:sz w:val="22"/>
          </w:rPr>
          <m:t>t</m:t>
        </m:r>
        <m:r>
          <w:rPr>
            <w:rFonts w:ascii="Cambria Math" w:hAnsi="Cambria Math"/>
            <w:sz w:val="22"/>
          </w:rPr>
          <m:rPr>
            <m:sty m:val="p"/>
          </m:rPr>
          <m:t>,</m:t>
        </m:r>
      </m:oMath>
      <w:r>
        <w:tab/>
        <w:t>(6)</w:t>
      </w:r>
      <w:bookmarkEnd w:id="1010"/>
    </w:p>
    <w:p>
      <w:pPr>
        <w:pStyle w:val="BodyText"/>
      </w:pPr>
      <w:r>
        <w:rPr>
          <w:rFonts w:hint="eastAsia"/>
        </w:rPr>
        <w:t xml:space="preserve">其中，</w:t>
      </w:r>
      <m:oMath>
        <m:sSub>
          <m:e>
            <m:r>
              <w:rPr>
                <w:rFonts w:ascii="Cambria Math" w:hAnsi="Cambria Math"/>
                <w:sz w:val="22"/>
              </w:rPr>
              <m:t>V</m:t>
            </m:r>
          </m:e>
          <m:sub>
            <m:r>
              <w:rPr>
                <w:rFonts w:ascii="Cambria Math" w:hAnsi="Cambria Math"/>
                <w:sz w:val="22"/>
              </w:rPr>
              <m:rPr>
                <m:sty m:val="p"/>
              </m:rPr>
              <m:t>d</m:t>
            </m:r>
            <m:r>
              <w:rPr>
                <w:rFonts w:ascii="Cambria Math" w:hAnsi="Cambria Math"/>
                <w:sz w:val="22"/>
              </w:rPr>
              <m:rPr>
                <m:sty m:val="p"/>
              </m:rPr>
              <m:t>c</m:t>
            </m:r>
            <m:r>
              <w:rPr>
                <w:rFonts w:ascii="Cambria Math" w:hAnsi="Cambria Math"/>
                <w:sz w:val="22"/>
              </w:rPr>
              <m:rPr>
                <m:sty m:val="p"/>
              </m:rPr>
              <m:t>h</m:t>
            </m:r>
          </m:sub>
        </m:sSub>
        <m:r>
          <w:rPr>
            <w:rFonts w:ascii="Cambria Math" w:hAnsi="Cambria Math"/>
            <w:sz w:val="22"/>
          </w:rPr>
          <m:rPr>
            <m:sty m:val="p"/>
          </m:rPr>
          <m:t>(</m:t>
        </m:r>
        <m:r>
          <w:rPr>
            <w:rFonts w:ascii="Cambria Math" w:hAnsi="Cambria Math"/>
            <w:sz w:val="22"/>
          </w:rPr>
          <m:t>t</m:t>
        </m:r>
        <m:r>
          <w:rPr>
            <w:rFonts w:ascii="Cambria Math" w:hAnsi="Cambria Math"/>
            <w:sz w:val="22"/>
          </w:rPr>
          <m:rPr>
            <m:sty m:val="p"/>
          </m:rPr>
          <m:t>)</m:t>
        </m:r>
      </m:oMath>
      <w:r>
        <w:t xml:space="preserve"> </w:t>
      </w:r>
      <w:r>
        <w:rPr>
          <w:rFonts w:hint="eastAsia"/>
        </w:rPr>
        <w:t xml:space="preserve">和</w:t>
      </w:r>
      <w:r>
        <w:t xml:space="preserve"> </w:t>
      </w:r>
      <m:oMath>
        <m:sSub>
          <m:e>
            <m:r>
              <w:rPr>
                <w:rFonts w:ascii="Cambria Math" w:hAnsi="Cambria Math"/>
                <w:sz w:val="22"/>
              </w:rPr>
              <m:t>I</m:t>
            </m:r>
          </m:e>
          <m:sub>
            <m:r>
              <w:rPr>
                <w:rFonts w:ascii="Cambria Math" w:hAnsi="Cambria Math"/>
                <w:sz w:val="22"/>
              </w:rPr>
              <m:rPr>
                <m:sty m:val="p"/>
              </m:rPr>
              <m:t>d</m:t>
            </m:r>
            <m:r>
              <w:rPr>
                <w:rFonts w:ascii="Cambria Math" w:hAnsi="Cambria Math"/>
                <w:sz w:val="22"/>
              </w:rPr>
              <m:rPr>
                <m:sty m:val="p"/>
              </m:rPr>
              <m:t>c</m:t>
            </m:r>
            <m:r>
              <w:rPr>
                <w:rFonts w:ascii="Cambria Math" w:hAnsi="Cambria Math"/>
                <w:sz w:val="22"/>
              </w:rPr>
              <m:rPr>
                <m:sty m:val="p"/>
              </m:rPr>
              <m:t>h</m:t>
            </m:r>
          </m:sub>
        </m:sSub>
        <m:r>
          <w:rPr>
            <w:rFonts w:ascii="Cambria Math" w:hAnsi="Cambria Math"/>
            <w:sz w:val="22"/>
          </w:rPr>
          <m:rPr>
            <m:sty m:val="p"/>
          </m:rPr>
          <m:t>(</m:t>
        </m:r>
        <m:r>
          <w:rPr>
            <w:rFonts w:ascii="Cambria Math" w:hAnsi="Cambria Math"/>
            <w:sz w:val="22"/>
          </w:rPr>
          <m:t>t</m:t>
        </m:r>
        <m:r>
          <w:rPr>
            <w:rFonts w:ascii="Cambria Math" w:hAnsi="Cambria Math"/>
            <w:sz w:val="22"/>
          </w:rPr>
          <m:rPr>
            <m:sty m:val="p"/>
          </m:rPr>
          <m:t>)</m:t>
        </m:r>
      </m:oMath>
      <w:r>
        <w:t xml:space="preserve"> </w:t>
      </w:r>
      <w:r>
        <w:rPr>
          <w:rFonts w:hint="eastAsia"/>
        </w:rPr>
        <w:t xml:space="preserve">分别为放电电压和电流，积分范围为电压位于</w:t>
      </w:r>
      <w:r>
        <w:t xml:space="preserve"> </w:t>
      </w:r>
      <m:oMath>
        <m:r>
          <w:rPr>
            <w:rFonts w:ascii="Cambria Math" w:hAnsi="Cambria Math"/>
            <w:sz w:val="22"/>
          </w:rPr>
          <m:rPr>
            <m:sty m:val="p"/>
          </m:rPr>
          <m:t>[</m:t>
        </m:r>
        <m:sSub>
          <m:e>
            <m:r>
              <w:rPr>
                <w:rFonts w:ascii="Cambria Math" w:hAnsi="Cambria Math"/>
                <w:sz w:val="22"/>
              </w:rPr>
              <m:t>V</m:t>
            </m:r>
          </m:e>
          <m:sub>
            <m:r>
              <w:rPr>
                <w:rFonts w:ascii="Cambria Math" w:hAnsi="Cambria Math"/>
                <w:sz w:val="22"/>
              </w:rPr>
              <m:t>l</m:t>
            </m:r>
          </m:sub>
        </m:sSub>
        <m:r>
          <w:rPr>
            <w:rFonts w:ascii="Cambria Math" w:hAnsi="Cambria Math"/>
            <w:sz w:val="22"/>
          </w:rPr>
          <m:rPr>
            <m:sty m:val="p"/>
          </m:rPr>
          <m:t>,</m:t>
        </m:r>
        <m:sSub>
          <m:e>
            <m:r>
              <w:rPr>
                <w:rFonts w:ascii="Cambria Math" w:hAnsi="Cambria Math"/>
                <w:sz w:val="22"/>
              </w:rPr>
              <m:t>V</m:t>
            </m:r>
          </m:e>
          <m:sub>
            <m:r>
              <w:rPr>
                <w:rFonts w:ascii="Cambria Math" w:hAnsi="Cambria Math"/>
                <w:sz w:val="22"/>
              </w:rPr>
              <m:t>h</m:t>
            </m:r>
          </m:sub>
        </m:sSub>
        <m:r>
          <w:rPr>
            <w:rFonts w:ascii="Cambria Math" w:hAnsi="Cambria Math"/>
            <w:sz w:val="22"/>
          </w:rPr>
          <m:rPr>
            <m:sty m:val="p"/>
          </m:rPr>
          <m:t>]</m:t>
        </m:r>
      </m:oMath>
      <w:r>
        <w:t xml:space="preserve"> </w:t>
      </w:r>
      <w:r>
        <w:rPr>
          <w:rFonts w:hint="eastAsia"/>
        </w:rPr>
        <w:t xml:space="preserve">内的放电时间片段。时间以</w:t>
      </w:r>
      <w:r>
        <w:t xml:space="preserve"> s </w:t>
      </w:r>
      <w:r>
        <w:rPr>
          <w:rFonts w:hint="eastAsia"/>
        </w:rPr>
        <w:t xml:space="preserve">为单位，</w:t>
      </w:r>
      <m:oMath>
        <m:sSub>
          <m:e>
            <m:r>
              <w:rPr>
                <w:rFonts w:ascii="Cambria Math" w:hAnsi="Cambria Math"/>
                <w:sz w:val="22"/>
              </w:rPr>
              <m:t>Q</m:t>
            </m:r>
          </m:e>
          <m:sub>
            <m:r>
              <w:rPr>
                <w:rFonts w:ascii="Cambria Math" w:hAnsi="Cambria Math"/>
                <w:sz w:val="22"/>
              </w:rPr>
              <m:rPr>
                <m:sty m:val="p"/>
              </m:rPr>
              <m:t>d</m:t>
            </m:r>
            <m:r>
              <w:rPr>
                <w:rFonts w:ascii="Cambria Math" w:hAnsi="Cambria Math"/>
                <w:sz w:val="22"/>
              </w:rPr>
              <m:rPr>
                <m:sty m:val="p"/>
              </m:rPr>
              <m:t>c</m:t>
            </m:r>
            <m:r>
              <w:rPr>
                <w:rFonts w:ascii="Cambria Math" w:hAnsi="Cambria Math"/>
                <w:sz w:val="22"/>
              </w:rPr>
              <m:rPr>
                <m:sty m:val="p"/>
              </m:rPr>
              <m:t>h</m:t>
            </m:r>
          </m:sub>
        </m:sSub>
      </m:oMath>
      <w:r>
        <w:t xml:space="preserve"> </w:t>
      </w:r>
      <w:r>
        <w:rPr>
          <w:rFonts w:hint="eastAsia"/>
        </w:rPr>
        <w:t xml:space="preserve">的单位为</w:t>
      </w:r>
      <w:r>
        <w:t xml:space="preserve"> </w:t>
      </w:r>
      <w:r>
        <w:rPr>
          <w:rFonts w:hint="eastAsia"/>
        </w:rPr>
        <w:t xml:space="preserve">Ah。本文进一步构造两个窗口放电容量候选指标，分别计算端电压由</w:t>
      </w:r>
      <w:r>
        <w:t xml:space="preserve"> 3.80 V </w:t>
      </w:r>
      <w:r>
        <w:rPr>
          <w:rFonts w:hint="eastAsia"/>
        </w:rPr>
        <w:t xml:space="preserve">降至</w:t>
      </w:r>
      <w:r>
        <w:t xml:space="preserve"> 3.40 V </w:t>
      </w:r>
      <w:r>
        <w:rPr>
          <w:rFonts w:hint="eastAsia"/>
        </w:rPr>
        <w:t xml:space="preserve">以及由</w:t>
      </w:r>
      <w:r>
        <w:t xml:space="preserve"> 3.20 V </w:t>
      </w:r>
      <w:r>
        <w:rPr>
          <w:rFonts w:hint="eastAsia"/>
        </w:rPr>
        <w:t xml:space="preserve">降至</w:t>
      </w:r>
      <w:r>
        <w:t xml:space="preserve"> 3.00 V </w:t>
      </w:r>
      <w:r>
        <w:rPr>
          <w:rFonts w:hint="eastAsia"/>
        </w:rPr>
        <w:t xml:space="preserve">过程中释放的电荷量，并记为</w:t>
      </w:r>
      <w:r>
        <w:t xml:space="preserve"> HI13 </w:t>
      </w:r>
      <w:r>
        <w:rPr>
          <w:rFonts w:hint="eastAsia"/>
        </w:rPr>
        <w:t xml:space="preserve">和</w:t>
      </w:r>
      <w:r>
        <w:t xml:space="preserve"> HI14[</w:t>
      </w:r>
      <w:hyperlink w:anchor="b_ref31">
        <w:r>
          <w:rPr>
            <w:rStyle w:val="Hyperlink"/>
          </w:rPr>
          <w:t xml:space="preserve">31</w:t>
        </w:r>
      </w:hyperlink>
      <w:r>
        <w:t xml:space="preserve">,</w:t>
      </w:r>
      <w:hyperlink w:anchor="b_ref52">
        <w:r>
          <w:rPr>
            <w:rStyle w:val="Hyperlink"/>
          </w:rPr>
          <w:t xml:space="preserve">52</w:t>
        </w:r>
      </w:hyperlink>
      <w:r>
        <w:t xml:space="preserve">]。</w:t>
      </w:r>
    </w:p>
    <w:p>
      <w:pPr>
        <w:pStyle w:val="BodyText"/>
      </w:pPr>
      <w:r>
        <w:rPr>
          <w:rFonts w:hint="eastAsia"/>
        </w:rPr>
        <w:t xml:space="preserve">能量效率反映电池在充放电过程中的能量转换特性，定义为单次循环放电能量与充电能量之比[</w:t>
      </w:r>
      <w:hyperlink w:anchor="b_ref66">
        <w:r>
          <w:rPr>
            <w:rStyle w:val="Hyperlink"/>
          </w:rPr>
          <w:t xml:space="preserve">66</w:t>
        </w:r>
      </w:hyperlink>
      <w:r>
        <w:rPr>
          <w:rFonts w:hint="eastAsia"/>
        </w:rPr>
        <w:t xml:space="preserve">]：</w:t>
      </w:r>
    </w:p>
    <w:p>
      <w:pPr>
        <w:pStyle w:val="BodyText"/>
        <w:keepLines/>
        <w:tabs>
          <w:tab w:pos="4791" w:val="center"/>
          <w:tab w:pos="9581" w:val="right"/>
        </w:tabs>
        <w:spacing w:before="100" w:after="100"/>
        <w:ind w:firstLine="0"/>
        <w:jc w:val="left"/>
      </w:pPr>
      <w:bookmarkStart w:id="1011" w:name="equation_7"/>
      <w:r>
        <w:tab/>
      </w:r>
      <m:oMath>
        <m:r>
          <w:rPr>
            <w:rFonts w:ascii="Cambria Math" w:hAnsi="Cambria Math"/>
            <w:sz w:val="22"/>
          </w:rPr>
          <m:t>η</m:t>
        </m:r>
        <m:r>
          <w:rPr>
            <w:rFonts w:ascii="Cambria Math" w:hAnsi="Cambria Math"/>
            <w:sz w:val="22"/>
          </w:rPr>
          <m:rPr>
            <m:sty m:val="p"/>
          </m:rPr>
          <m:t>=</m:t>
        </m:r>
        <m:f>
          <m:fPr>
            <m:type m:val="bar"/>
          </m:fPr>
          <m:num>
            <m:sSub>
              <m:e>
                <m:r>
                  <w:rPr>
                    <w:rFonts w:ascii="Cambria Math" w:hAnsi="Cambria Math"/>
                    <w:sz w:val="22"/>
                  </w:rPr>
                  <m:t>E</m:t>
                </m:r>
              </m:e>
              <m:sub>
                <m:r>
                  <w:rPr>
                    <w:rFonts w:ascii="Cambria Math" w:hAnsi="Cambria Math"/>
                    <w:sz w:val="22"/>
                  </w:rPr>
                  <m:rPr>
                    <m:sty m:val="p"/>
                  </m:rPr>
                  <m:t>d</m:t>
                </m:r>
                <m:r>
                  <w:rPr>
                    <w:rFonts w:ascii="Cambria Math" w:hAnsi="Cambria Math"/>
                    <w:sz w:val="22"/>
                  </w:rPr>
                  <m:rPr>
                    <m:sty m:val="p"/>
                  </m:rPr>
                  <m:t>c</m:t>
                </m:r>
                <m:r>
                  <w:rPr>
                    <w:rFonts w:ascii="Cambria Math" w:hAnsi="Cambria Math"/>
                    <w:sz w:val="22"/>
                  </w:rPr>
                  <m:rPr>
                    <m:sty m:val="p"/>
                  </m:rPr>
                  <m:t>h</m:t>
                </m:r>
              </m:sub>
            </m:sSub>
          </m:num>
          <m:den>
            <m:sSub>
              <m:e>
                <m:r>
                  <w:rPr>
                    <w:rFonts w:ascii="Cambria Math" w:hAnsi="Cambria Math"/>
                    <w:sz w:val="22"/>
                  </w:rPr>
                  <m:t>E</m:t>
                </m:r>
              </m:e>
              <m:sub>
                <m:r>
                  <w:rPr>
                    <w:rFonts w:ascii="Cambria Math" w:hAnsi="Cambria Math"/>
                    <w:sz w:val="22"/>
                  </w:rPr>
                  <m:rPr>
                    <m:sty m:val="p"/>
                  </m:rPr>
                  <m:t>c</m:t>
                </m:r>
                <m:r>
                  <w:rPr>
                    <w:rFonts w:ascii="Cambria Math" w:hAnsi="Cambria Math"/>
                    <w:sz w:val="22"/>
                  </w:rPr>
                  <m:rPr>
                    <m:sty m:val="p"/>
                  </m:rPr>
                  <m:t>h</m:t>
                </m:r>
              </m:sub>
            </m:sSub>
          </m:den>
        </m:f>
        <m:r>
          <w:rPr>
            <w:rFonts w:ascii="Cambria Math" w:hAnsi="Cambria Math"/>
            <w:sz w:val="22"/>
          </w:rPr>
          <m:rPr>
            <m:sty m:val="p"/>
          </m:rPr>
          <m:t>=</m:t>
        </m:r>
        <m:f>
          <m:fPr>
            <m:type m:val="bar"/>
          </m:fPr>
          <m:num>
            <m:nary>
              <m:naryPr>
                <m:chr m:val="∫"/>
                <m:limLoc m:val="subSup"/>
                <m:subHide m:val="off"/>
                <m:supHide m:val="off"/>
              </m:naryPr>
              <m:sub>
                <m:r>
                  <w:rPr>
                    <w:rFonts w:ascii="Cambria Math" w:hAnsi="Cambria Math"/>
                    <w:sz w:val="22"/>
                  </w:rPr>
                  <m:t>0</m:t>
                </m:r>
              </m:sub>
              <m:sup>
                <m:sSub>
                  <m:e>
                    <m:r>
                      <w:rPr>
                        <w:rFonts w:ascii="Cambria Math" w:hAnsi="Cambria Math"/>
                        <w:sz w:val="22"/>
                      </w:rPr>
                      <m:t>t</m:t>
                    </m:r>
                  </m:e>
                  <m:sub>
                    <m:r>
                      <w:rPr>
                        <w:rFonts w:ascii="Cambria Math" w:hAnsi="Cambria Math"/>
                        <w:sz w:val="22"/>
                      </w:rPr>
                      <m:rPr>
                        <m:sty m:val="p"/>
                      </m:rPr>
                      <m:t>d</m:t>
                    </m:r>
                    <m:r>
                      <w:rPr>
                        <w:rFonts w:ascii="Cambria Math" w:hAnsi="Cambria Math"/>
                        <w:sz w:val="22"/>
                      </w:rPr>
                      <m:rPr>
                        <m:sty m:val="p"/>
                      </m:rPr>
                      <m:t>c</m:t>
                    </m:r>
                    <m:r>
                      <w:rPr>
                        <w:rFonts w:ascii="Cambria Math" w:hAnsi="Cambria Math"/>
                        <w:sz w:val="22"/>
                      </w:rPr>
                      <m:rPr>
                        <m:sty m:val="p"/>
                      </m:rPr>
                      <m:t>h</m:t>
                    </m:r>
                  </m:sub>
                </m:sSub>
              </m:sup>
              <m:e>
                <m:sSub>
                  <m:e>
                    <m:r>
                      <w:rPr>
                        <w:rFonts w:ascii="Cambria Math" w:hAnsi="Cambria Math"/>
                        <w:sz w:val="22"/>
                      </w:rPr>
                      <m:t>V</m:t>
                    </m:r>
                  </m:e>
                  <m:sub>
                    <m:r>
                      <w:rPr>
                        <w:rFonts w:ascii="Cambria Math" w:hAnsi="Cambria Math"/>
                        <w:sz w:val="22"/>
                      </w:rPr>
                      <m:rPr>
                        <m:sty m:val="p"/>
                      </m:rPr>
                      <m:t>d</m:t>
                    </m:r>
                    <m:r>
                      <w:rPr>
                        <w:rFonts w:ascii="Cambria Math" w:hAnsi="Cambria Math"/>
                        <w:sz w:val="22"/>
                      </w:rPr>
                      <m:rPr>
                        <m:sty m:val="p"/>
                      </m:rPr>
                      <m:t>c</m:t>
                    </m:r>
                    <m:r>
                      <w:rPr>
                        <w:rFonts w:ascii="Cambria Math" w:hAnsi="Cambria Math"/>
                        <w:sz w:val="22"/>
                      </w:rPr>
                      <m:rPr>
                        <m:sty m:val="p"/>
                      </m:rPr>
                      <m:t>h</m:t>
                    </m:r>
                  </m:sub>
                </m:sSub>
              </m:e>
            </m:nary>
            <m:r>
              <w:rPr>
                <w:rFonts w:ascii="Cambria Math" w:hAnsi="Cambria Math"/>
                <w:sz w:val="22"/>
              </w:rPr>
              <m:rPr>
                <m:sty m:val="p"/>
              </m:rPr>
              <m:t>(</m:t>
            </m:r>
            <m:r>
              <w:rPr>
                <w:rFonts w:ascii="Cambria Math" w:hAnsi="Cambria Math"/>
                <w:sz w:val="22"/>
              </w:rPr>
              <m:t>t</m:t>
            </m:r>
            <m:r>
              <w:rPr>
                <w:rFonts w:ascii="Cambria Math" w:hAnsi="Cambria Math"/>
                <w:sz w:val="22"/>
              </w:rPr>
              <m:rPr>
                <m:sty m:val="p"/>
              </m:rPr>
              <m:t>)</m:t>
            </m:r>
            <m:d>
              <m:dPr>
                <m:begChr m:val="|"/>
                <m:sepChr m:val=""/>
                <m:endChr m:val="|"/>
                <m:grow/>
              </m:dPr>
              <m:e>
                <m:sSub>
                  <m:e>
                    <m:r>
                      <w:rPr>
                        <w:rFonts w:ascii="Cambria Math" w:hAnsi="Cambria Math"/>
                        <w:sz w:val="22"/>
                      </w:rPr>
                      <m:t>I</m:t>
                    </m:r>
                  </m:e>
                  <m:sub>
                    <m:r>
                      <w:rPr>
                        <w:rFonts w:ascii="Cambria Math" w:hAnsi="Cambria Math"/>
                        <w:sz w:val="22"/>
                      </w:rPr>
                      <m:rPr>
                        <m:sty m:val="p"/>
                      </m:rPr>
                      <m:t>d</m:t>
                    </m:r>
                    <m:r>
                      <w:rPr>
                        <w:rFonts w:ascii="Cambria Math" w:hAnsi="Cambria Math"/>
                        <w:sz w:val="22"/>
                      </w:rPr>
                      <m:rPr>
                        <m:sty m:val="p"/>
                      </m:rPr>
                      <m:t>c</m:t>
                    </m:r>
                    <m:r>
                      <w:rPr>
                        <w:rFonts w:ascii="Cambria Math" w:hAnsi="Cambria Math"/>
                        <w:sz w:val="22"/>
                      </w:rPr>
                      <m:rPr>
                        <m:sty m:val="p"/>
                      </m:rPr>
                      <m:t>h</m:t>
                    </m:r>
                  </m:sub>
                </m:sSub>
                <m:r>
                  <w:rPr>
                    <w:rFonts w:ascii="Cambria Math" w:hAnsi="Cambria Math"/>
                    <w:sz w:val="22"/>
                  </w:rPr>
                  <m:rPr>
                    <m:sty m:val="p"/>
                  </m:rPr>
                  <m:t>(</m:t>
                </m:r>
                <m:r>
                  <w:rPr>
                    <w:rFonts w:ascii="Cambria Math" w:hAnsi="Cambria Math"/>
                    <w:sz w:val="22"/>
                  </w:rPr>
                  <m:t>t</m:t>
                </m:r>
                <m:r>
                  <w:rPr>
                    <w:rFonts w:ascii="Cambria Math" w:hAnsi="Cambria Math"/>
                    <w:sz w:val="22"/>
                  </w:rPr>
                  <m:rPr>
                    <m:sty m:val="p"/>
                  </m:rPr>
                  <m:t>)</m:t>
                </m:r>
              </m:e>
            </m:d>
            <m:r>
              <w:rPr>
                <w:rFonts w:ascii="Cambria Math" w:hAnsi="Cambria Math"/>
                <w:sz w:val="22"/>
              </w:rPr>
              <m:t> </m:t>
            </m:r>
            <m:r>
              <w:rPr>
                <w:rFonts w:ascii="Cambria Math" w:hAnsi="Cambria Math"/>
                <w:sz w:val="22"/>
              </w:rPr>
              <m:t>d</m:t>
            </m:r>
            <m:r>
              <w:rPr>
                <w:rFonts w:ascii="Cambria Math" w:hAnsi="Cambria Math"/>
                <w:sz w:val="22"/>
              </w:rPr>
              <m:t>t</m:t>
            </m:r>
          </m:num>
          <m:den>
            <m:nary>
              <m:naryPr>
                <m:chr m:val="∫"/>
                <m:limLoc m:val="subSup"/>
                <m:subHide m:val="off"/>
                <m:supHide m:val="off"/>
              </m:naryPr>
              <m:sub>
                <m:r>
                  <w:rPr>
                    <w:rFonts w:ascii="Cambria Math" w:hAnsi="Cambria Math"/>
                    <w:sz w:val="22"/>
                  </w:rPr>
                  <m:t>0</m:t>
                </m:r>
              </m:sub>
              <m:sup>
                <m:sSub>
                  <m:e>
                    <m:r>
                      <w:rPr>
                        <w:rFonts w:ascii="Cambria Math" w:hAnsi="Cambria Math"/>
                        <w:sz w:val="22"/>
                      </w:rPr>
                      <m:t>t</m:t>
                    </m:r>
                  </m:e>
                  <m:sub>
                    <m:r>
                      <w:rPr>
                        <w:rFonts w:ascii="Cambria Math" w:hAnsi="Cambria Math"/>
                        <w:sz w:val="22"/>
                      </w:rPr>
                      <m:rPr>
                        <m:sty m:val="p"/>
                      </m:rPr>
                      <m:t>c</m:t>
                    </m:r>
                    <m:r>
                      <w:rPr>
                        <w:rFonts w:ascii="Cambria Math" w:hAnsi="Cambria Math"/>
                        <w:sz w:val="22"/>
                      </w:rPr>
                      <m:rPr>
                        <m:sty m:val="p"/>
                      </m:rPr>
                      <m:t>h</m:t>
                    </m:r>
                  </m:sub>
                </m:sSub>
              </m:sup>
              <m:e>
                <m:sSub>
                  <m:e>
                    <m:r>
                      <w:rPr>
                        <w:rFonts w:ascii="Cambria Math" w:hAnsi="Cambria Math"/>
                        <w:sz w:val="22"/>
                      </w:rPr>
                      <m:t>V</m:t>
                    </m:r>
                  </m:e>
                  <m:sub>
                    <m:r>
                      <w:rPr>
                        <w:rFonts w:ascii="Cambria Math" w:hAnsi="Cambria Math"/>
                        <w:sz w:val="22"/>
                      </w:rPr>
                      <m:rPr>
                        <m:sty m:val="p"/>
                      </m:rPr>
                      <m:t>c</m:t>
                    </m:r>
                    <m:r>
                      <w:rPr>
                        <w:rFonts w:ascii="Cambria Math" w:hAnsi="Cambria Math"/>
                        <w:sz w:val="22"/>
                      </w:rPr>
                      <m:rPr>
                        <m:sty m:val="p"/>
                      </m:rPr>
                      <m:t>h</m:t>
                    </m:r>
                  </m:sub>
                </m:sSub>
              </m:e>
            </m:nary>
            <m:r>
              <w:rPr>
                <w:rFonts w:ascii="Cambria Math" w:hAnsi="Cambria Math"/>
                <w:sz w:val="22"/>
              </w:rPr>
              <m:rPr>
                <m:sty m:val="p"/>
              </m:rPr>
              <m:t>(</m:t>
            </m:r>
            <m:r>
              <w:rPr>
                <w:rFonts w:ascii="Cambria Math" w:hAnsi="Cambria Math"/>
                <w:sz w:val="22"/>
              </w:rPr>
              <m:t>t</m:t>
            </m:r>
            <m:r>
              <w:rPr>
                <w:rFonts w:ascii="Cambria Math" w:hAnsi="Cambria Math"/>
                <w:sz w:val="22"/>
              </w:rPr>
              <m:rPr>
                <m:sty m:val="p"/>
              </m:rPr>
              <m:t>)</m:t>
            </m:r>
            <m:d>
              <m:dPr>
                <m:begChr m:val="|"/>
                <m:sepChr m:val=""/>
                <m:endChr m:val="|"/>
                <m:grow/>
              </m:dPr>
              <m:e>
                <m:sSub>
                  <m:e>
                    <m:r>
                      <w:rPr>
                        <w:rFonts w:ascii="Cambria Math" w:hAnsi="Cambria Math"/>
                        <w:sz w:val="22"/>
                      </w:rPr>
                      <m:t>I</m:t>
                    </m:r>
                  </m:e>
                  <m:sub>
                    <m:r>
                      <w:rPr>
                        <w:rFonts w:ascii="Cambria Math" w:hAnsi="Cambria Math"/>
                        <w:sz w:val="22"/>
                      </w:rPr>
                      <m:rPr>
                        <m:sty m:val="p"/>
                      </m:rPr>
                      <m:t>c</m:t>
                    </m:r>
                    <m:r>
                      <w:rPr>
                        <w:rFonts w:ascii="Cambria Math" w:hAnsi="Cambria Math"/>
                        <w:sz w:val="22"/>
                      </w:rPr>
                      <m:rPr>
                        <m:sty m:val="p"/>
                      </m:rPr>
                      <m:t>h</m:t>
                    </m:r>
                  </m:sub>
                </m:sSub>
                <m:r>
                  <w:rPr>
                    <w:rFonts w:ascii="Cambria Math" w:hAnsi="Cambria Math"/>
                    <w:sz w:val="22"/>
                  </w:rPr>
                  <m:rPr>
                    <m:sty m:val="p"/>
                  </m:rPr>
                  <m:t>(</m:t>
                </m:r>
                <m:r>
                  <w:rPr>
                    <w:rFonts w:ascii="Cambria Math" w:hAnsi="Cambria Math"/>
                    <w:sz w:val="22"/>
                  </w:rPr>
                  <m:t>t</m:t>
                </m:r>
                <m:r>
                  <w:rPr>
                    <w:rFonts w:ascii="Cambria Math" w:hAnsi="Cambria Math"/>
                    <w:sz w:val="22"/>
                  </w:rPr>
                  <m:rPr>
                    <m:sty m:val="p"/>
                  </m:rPr>
                  <m:t>)</m:t>
                </m:r>
              </m:e>
            </m:d>
            <m:r>
              <w:rPr>
                <w:rFonts w:ascii="Cambria Math" w:hAnsi="Cambria Math"/>
                <w:sz w:val="22"/>
              </w:rPr>
              <m:t> </m:t>
            </m:r>
            <m:r>
              <w:rPr>
                <w:rFonts w:ascii="Cambria Math" w:hAnsi="Cambria Math"/>
                <w:sz w:val="22"/>
              </w:rPr>
              <m:t>d</m:t>
            </m:r>
            <m:r>
              <w:rPr>
                <w:rFonts w:ascii="Cambria Math" w:hAnsi="Cambria Math"/>
                <w:sz w:val="22"/>
              </w:rPr>
              <m:t>t</m:t>
            </m:r>
          </m:den>
        </m:f>
        <m:r>
          <w:rPr>
            <w:rFonts w:ascii="Cambria Math" w:hAnsi="Cambria Math"/>
            <w:sz w:val="22"/>
          </w:rPr>
          <m:rPr>
            <m:sty m:val="p"/>
          </m:rPr>
          <m:t>,</m:t>
        </m:r>
      </m:oMath>
      <w:r>
        <w:tab/>
        <w:t>(7)</w:t>
      </w:r>
      <w:bookmarkEnd w:id="1011"/>
    </w:p>
    <w:p>
      <w:pPr>
        <w:pStyle w:val="BodyText"/>
      </w:pPr>
      <w:r>
        <w:rPr>
          <w:rFonts w:hint="eastAsia"/>
        </w:rPr>
        <w:t xml:space="preserve">其中，</w:t>
      </w:r>
      <m:oMath>
        <m:sSub>
          <m:e>
            <m:r>
              <w:rPr>
                <w:rFonts w:ascii="Cambria Math" w:hAnsi="Cambria Math"/>
                <w:sz w:val="22"/>
              </w:rPr>
              <m:t>V</m:t>
            </m:r>
          </m:e>
          <m:sub>
            <m:r>
              <w:rPr>
                <w:rFonts w:ascii="Cambria Math" w:hAnsi="Cambria Math"/>
                <w:sz w:val="22"/>
              </w:rPr>
              <m:rPr>
                <m:sty m:val="p"/>
              </m:rPr>
              <m:t>c</m:t>
            </m:r>
            <m:r>
              <w:rPr>
                <w:rFonts w:ascii="Cambria Math" w:hAnsi="Cambria Math"/>
                <w:sz w:val="22"/>
              </w:rPr>
              <m:rPr>
                <m:sty m:val="p"/>
              </m:rPr>
              <m:t>h</m:t>
            </m:r>
          </m:sub>
        </m:sSub>
        <m:r>
          <w:rPr>
            <w:rFonts w:ascii="Cambria Math" w:hAnsi="Cambria Math"/>
            <w:sz w:val="22"/>
          </w:rPr>
          <m:rPr>
            <m:sty m:val="p"/>
          </m:rPr>
          <m:t>(</m:t>
        </m:r>
        <m:r>
          <w:rPr>
            <w:rFonts w:ascii="Cambria Math" w:hAnsi="Cambria Math"/>
            <w:sz w:val="22"/>
          </w:rPr>
          <m:t>t</m:t>
        </m:r>
        <m:r>
          <w:rPr>
            <w:rFonts w:ascii="Cambria Math" w:hAnsi="Cambria Math"/>
            <w:sz w:val="22"/>
          </w:rPr>
          <m:rPr>
            <m:sty m:val="p"/>
          </m:rPr>
          <m:t>)</m:t>
        </m:r>
      </m:oMath>
      <w:r>
        <w:t xml:space="preserve">、</w:t>
      </w:r>
      <m:oMath>
        <m:r>
          <w:rPr>
            <w:rFonts w:ascii="Cambria Math" w:hAnsi="Cambria Math"/>
            <w:sz w:val="22"/>
          </w:rPr>
          <m:rPr>
            <m:sty m:val="p"/>
          </m:rPr>
          <m:t>|</m:t>
        </m:r>
        <m:sSub>
          <m:e>
            <m:r>
              <w:rPr>
                <w:rFonts w:ascii="Cambria Math" w:hAnsi="Cambria Math"/>
                <w:sz w:val="22"/>
              </w:rPr>
              <m:t>I</m:t>
            </m:r>
          </m:e>
          <m:sub>
            <m:r>
              <w:rPr>
                <w:rFonts w:ascii="Cambria Math" w:hAnsi="Cambria Math"/>
                <w:sz w:val="22"/>
              </w:rPr>
              <m:rPr>
                <m:sty m:val="p"/>
              </m:rPr>
              <m:t>c</m:t>
            </m:r>
            <m:r>
              <w:rPr>
                <w:rFonts w:ascii="Cambria Math" w:hAnsi="Cambria Math"/>
                <w:sz w:val="22"/>
              </w:rPr>
              <m:rPr>
                <m:sty m:val="p"/>
              </m:rPr>
              <m:t>h</m:t>
            </m:r>
          </m:sub>
        </m:sSub>
        <m:r>
          <w:rPr>
            <w:rFonts w:ascii="Cambria Math" w:hAnsi="Cambria Math"/>
            <w:sz w:val="22"/>
          </w:rPr>
          <m:rPr>
            <m:sty m:val="p"/>
          </m:rPr>
          <m:t>(</m:t>
        </m:r>
        <m:r>
          <w:rPr>
            <w:rFonts w:ascii="Cambria Math" w:hAnsi="Cambria Math"/>
            <w:sz w:val="22"/>
          </w:rPr>
          <m:t>t</m:t>
        </m:r>
        <m:r>
          <w:rPr>
            <w:rFonts w:ascii="Cambria Math" w:hAnsi="Cambria Math"/>
            <w:sz w:val="22"/>
          </w:rPr>
          <m:rPr>
            <m:sty m:val="p"/>
          </m:rPr>
          <m:t>)</m:t>
        </m:r>
        <m:r>
          <w:rPr>
            <w:rFonts w:ascii="Cambria Math" w:hAnsi="Cambria Math"/>
            <w:sz w:val="22"/>
          </w:rPr>
          <m:rPr>
            <m:sty m:val="p"/>
          </m:rPr>
          <m:t>|</m:t>
        </m:r>
      </m:oMath>
      <w:r>
        <w:t xml:space="preserve">、</w:t>
      </w:r>
      <m:oMath>
        <m:sSub>
          <m:e>
            <m:r>
              <w:rPr>
                <w:rFonts w:ascii="Cambria Math" w:hAnsi="Cambria Math"/>
                <w:sz w:val="22"/>
              </w:rPr>
              <m:t>t</m:t>
            </m:r>
          </m:e>
          <m:sub>
            <m:r>
              <w:rPr>
                <w:rFonts w:ascii="Cambria Math" w:hAnsi="Cambria Math"/>
                <w:sz w:val="22"/>
              </w:rPr>
              <m:rPr>
                <m:sty m:val="p"/>
              </m:rPr>
              <m:t>c</m:t>
            </m:r>
            <m:r>
              <w:rPr>
                <w:rFonts w:ascii="Cambria Math" w:hAnsi="Cambria Math"/>
                <w:sz w:val="22"/>
              </w:rPr>
              <m:rPr>
                <m:sty m:val="p"/>
              </m:rPr>
              <m:t>h</m:t>
            </m:r>
          </m:sub>
        </m:sSub>
      </m:oMath>
      <w:r>
        <w:t xml:space="preserve"> </w:t>
      </w:r>
      <w:r>
        <w:rPr>
          <w:rFonts w:hint="eastAsia"/>
        </w:rPr>
        <w:t xml:space="preserve">与</w:t>
      </w:r>
      <w:r>
        <w:t xml:space="preserve"> </w:t>
      </w:r>
      <m:oMath>
        <m:sSub>
          <m:e>
            <m:r>
              <w:rPr>
                <w:rFonts w:ascii="Cambria Math" w:hAnsi="Cambria Math"/>
                <w:sz w:val="22"/>
              </w:rPr>
              <m:t>V</m:t>
            </m:r>
          </m:e>
          <m:sub>
            <m:r>
              <w:rPr>
                <w:rFonts w:ascii="Cambria Math" w:hAnsi="Cambria Math"/>
                <w:sz w:val="22"/>
              </w:rPr>
              <m:rPr>
                <m:sty m:val="p"/>
              </m:rPr>
              <m:t>d</m:t>
            </m:r>
            <m:r>
              <w:rPr>
                <w:rFonts w:ascii="Cambria Math" w:hAnsi="Cambria Math"/>
                <w:sz w:val="22"/>
              </w:rPr>
              <m:rPr>
                <m:sty m:val="p"/>
              </m:rPr>
              <m:t>c</m:t>
            </m:r>
            <m:r>
              <w:rPr>
                <w:rFonts w:ascii="Cambria Math" w:hAnsi="Cambria Math"/>
                <w:sz w:val="22"/>
              </w:rPr>
              <m:rPr>
                <m:sty m:val="p"/>
              </m:rPr>
              <m:t>h</m:t>
            </m:r>
          </m:sub>
        </m:sSub>
        <m:r>
          <w:rPr>
            <w:rFonts w:ascii="Cambria Math" w:hAnsi="Cambria Math"/>
            <w:sz w:val="22"/>
          </w:rPr>
          <m:rPr>
            <m:sty m:val="p"/>
          </m:rPr>
          <m:t>(</m:t>
        </m:r>
        <m:r>
          <w:rPr>
            <w:rFonts w:ascii="Cambria Math" w:hAnsi="Cambria Math"/>
            <w:sz w:val="22"/>
          </w:rPr>
          <m:t>t</m:t>
        </m:r>
        <m:r>
          <w:rPr>
            <w:rFonts w:ascii="Cambria Math" w:hAnsi="Cambria Math"/>
            <w:sz w:val="22"/>
          </w:rPr>
          <m:rPr>
            <m:sty m:val="p"/>
          </m:rPr>
          <m:t>)</m:t>
        </m:r>
      </m:oMath>
      <w:r>
        <w:t xml:space="preserve">、</w:t>
      </w:r>
      <m:oMath>
        <m:r>
          <w:rPr>
            <w:rFonts w:ascii="Cambria Math" w:hAnsi="Cambria Math"/>
            <w:sz w:val="22"/>
          </w:rPr>
          <m:rPr>
            <m:sty m:val="p"/>
          </m:rPr>
          <m:t>|</m:t>
        </m:r>
        <m:sSub>
          <m:e>
            <m:r>
              <w:rPr>
                <w:rFonts w:ascii="Cambria Math" w:hAnsi="Cambria Math"/>
                <w:sz w:val="22"/>
              </w:rPr>
              <m:t>I</m:t>
            </m:r>
          </m:e>
          <m:sub>
            <m:r>
              <w:rPr>
                <w:rFonts w:ascii="Cambria Math" w:hAnsi="Cambria Math"/>
                <w:sz w:val="22"/>
              </w:rPr>
              <m:rPr>
                <m:sty m:val="p"/>
              </m:rPr>
              <m:t>d</m:t>
            </m:r>
            <m:r>
              <w:rPr>
                <w:rFonts w:ascii="Cambria Math" w:hAnsi="Cambria Math"/>
                <w:sz w:val="22"/>
              </w:rPr>
              <m:rPr>
                <m:sty m:val="p"/>
              </m:rPr>
              <m:t>c</m:t>
            </m:r>
            <m:r>
              <w:rPr>
                <w:rFonts w:ascii="Cambria Math" w:hAnsi="Cambria Math"/>
                <w:sz w:val="22"/>
              </w:rPr>
              <m:rPr>
                <m:sty m:val="p"/>
              </m:rPr>
              <m:t>h</m:t>
            </m:r>
          </m:sub>
        </m:sSub>
        <m:r>
          <w:rPr>
            <w:rFonts w:ascii="Cambria Math" w:hAnsi="Cambria Math"/>
            <w:sz w:val="22"/>
          </w:rPr>
          <m:rPr>
            <m:sty m:val="p"/>
          </m:rPr>
          <m:t>(</m:t>
        </m:r>
        <m:r>
          <w:rPr>
            <w:rFonts w:ascii="Cambria Math" w:hAnsi="Cambria Math"/>
            <w:sz w:val="22"/>
          </w:rPr>
          <m:t>t</m:t>
        </m:r>
        <m:r>
          <w:rPr>
            <w:rFonts w:ascii="Cambria Math" w:hAnsi="Cambria Math"/>
            <w:sz w:val="22"/>
          </w:rPr>
          <m:rPr>
            <m:sty m:val="p"/>
          </m:rPr>
          <m:t>)</m:t>
        </m:r>
        <m:r>
          <w:rPr>
            <w:rFonts w:ascii="Cambria Math" w:hAnsi="Cambria Math"/>
            <w:sz w:val="22"/>
          </w:rPr>
          <m:rPr>
            <m:sty m:val="p"/>
          </m:rPr>
          <m:t>|</m:t>
        </m:r>
      </m:oMath>
      <w:r>
        <w:t xml:space="preserve">、</w:t>
      </w:r>
      <m:oMath>
        <m:sSub>
          <m:e>
            <m:r>
              <w:rPr>
                <w:rFonts w:ascii="Cambria Math" w:hAnsi="Cambria Math"/>
                <w:sz w:val="22"/>
              </w:rPr>
              <m:t>t</m:t>
            </m:r>
          </m:e>
          <m:sub>
            <m:r>
              <w:rPr>
                <w:rFonts w:ascii="Cambria Math" w:hAnsi="Cambria Math"/>
                <w:sz w:val="22"/>
              </w:rPr>
              <m:rPr>
                <m:sty m:val="p"/>
              </m:rPr>
              <m:t>d</m:t>
            </m:r>
            <m:r>
              <w:rPr>
                <w:rFonts w:ascii="Cambria Math" w:hAnsi="Cambria Math"/>
                <w:sz w:val="22"/>
              </w:rPr>
              <m:rPr>
                <m:sty m:val="p"/>
              </m:rPr>
              <m:t>c</m:t>
            </m:r>
            <m:r>
              <w:rPr>
                <w:rFonts w:ascii="Cambria Math" w:hAnsi="Cambria Math"/>
                <w:sz w:val="22"/>
              </w:rPr>
              <m:rPr>
                <m:sty m:val="p"/>
              </m:rPr>
              <m:t>h</m:t>
            </m:r>
          </m:sub>
        </m:sSub>
      </m:oMath>
      <w:r>
        <w:t xml:space="preserve"> </w:t>
      </w:r>
      <w:r>
        <w:rPr>
          <w:rFonts w:hint="eastAsia"/>
        </w:rPr>
        <w:t xml:space="preserve">分别表示充电与放电阶段的端电压、电流幅值和持续时间，充电与放电均取完整循环过程。该能量效率记为</w:t>
      </w:r>
      <w:r>
        <w:t xml:space="preserve"> </w:t>
      </w:r>
      <w:r>
        <w:rPr>
          <w:rFonts w:hint="eastAsia"/>
        </w:rPr>
        <w:t xml:space="preserve">HI15（</w:t>
      </w:r>
      <m:oMath>
        <m:r>
          <w:rPr>
            <w:rFonts w:ascii="Cambria Math" w:hAnsi="Cambria Math"/>
            <w:sz w:val="22"/>
          </w:rPr>
          <m:t>η</m:t>
        </m:r>
      </m:oMath>
      <w:r>
        <w:rPr>
          <w:rFonts w:hint="eastAsia"/>
        </w:rPr>
        <w:t xml:space="preserve">）。</w:t>
      </w:r>
    </w:p>
    <w:p>
      <w:pPr>
        <w:pStyle w:val="BodyText"/>
        <w:keepLines/>
        <w:spacing w:before="100" w:after="80"/>
        <w:ind w:firstLine="0"/>
        <w:jc w:val="center"/>
      </w:pPr>
      <w:bookmarkStart w:id="1012" w:name="b_tab_2_2"/>
      <w:r>
        <w:drawing>
          <wp:inline>
            <wp:extent cx="6084000" cy="3115098"/>
            <wp:docPr id="5" name="Picture 5"/>
            <wp:cNvGraphicFramePr>
              <a:graphicFrameLocks noChangeAspect="1"/>
            </wp:cNvGraphicFramePr>
            <a:graphic>
              <a:graphicData uri="http://schemas.openxmlformats.org/drawingml/2006/picture">
                <pic:pic>
                  <pic:nvPicPr>
                    <pic:cNvPr id="0" name="table_03.png"/>
                    <pic:cNvPicPr/>
                  </pic:nvPicPr>
                  <pic:blipFill>
                    <a:blip r:embed="rId13"/>
                    <a:stretch>
                      <a:fillRect/>
                    </a:stretch>
                  </pic:blipFill>
                  <pic:spPr>
                    <a:xfrm>
                      <a:off x="0" y="0"/>
                      <a:ext cx="6084000" cy="3115098"/>
                    </a:xfrm>
                    <a:prstGeom prst="rect"/>
                  </pic:spPr>
                </pic:pic>
              </a:graphicData>
            </a:graphic>
          </wp:inline>
        </w:drawing>
      </w:r>
      <w:bookmarkEnd w:id="1012"/>
    </w:p>
    <w:p>
      <w:pPr>
        <w:pStyle w:val="BodyText"/>
        <w:keepNext/>
        <w:keepLines/>
        <w:spacing w:before="100" w:after="80"/>
        <w:ind w:firstLine="0"/>
        <w:jc w:val="center"/>
      </w:pPr>
      <w:bookmarkStart w:id="1013" w:name="b_fig_2_3"/>
      <w:r>
        <w:drawing>
          <wp:inline>
            <wp:extent cx="6084000" cy="4223924"/>
            <wp:docPr id="6" name="Picture 6"/>
            <wp:cNvGraphicFramePr>
              <a:graphicFrameLocks noChangeAspect="1"/>
            </wp:cNvGraphicFramePr>
            <a:graphic>
              <a:graphicData uri="http://schemas.openxmlformats.org/drawingml/2006/picture">
                <pic:pic>
                  <pic:nvPicPr>
                    <pic:cNvPr id="0" name="fig3.png"/>
                    <pic:cNvPicPr/>
                  </pic:nvPicPr>
                  <pic:blipFill>
                    <a:blip r:embed="rId14"/>
                    <a:stretch>
                      <a:fillRect/>
                    </a:stretch>
                  </pic:blipFill>
                  <pic:spPr>
                    <a:xfrm>
                      <a:off x="0" y="0"/>
                      <a:ext cx="6084000" cy="4223924"/>
                    </a:xfrm>
                    <a:prstGeom prst="rect"/>
                  </pic:spPr>
                </pic:pic>
              </a:graphicData>
            </a:graphic>
          </wp:inline>
        </w:drawing>
      </w:r>
      <w:bookmarkEnd w:id="1013"/>
    </w:p>
    <w:p>
      <w:pPr>
        <w:ind w:firstLine="0"/>
        <w:jc w:val="center"/>
      </w:pPr>
      <w:r>
        <w:rPr>
          <w:sz w:val="18"/>
        </w:rPr>
        <w:t>Fig. 3. Charge-side characteristic curves used for HI construction.</w:t>
      </w:r>
    </w:p>
    <w:bookmarkEnd w:id="18"/>
    <w:bookmarkStart w:id="19" w:name="组级双相关-ms-ccct"/>
    <w:p>
      <w:pPr>
        <w:pStyle w:val="Heading3"/>
      </w:pPr>
      <w:bookmarkStart w:id="1014" w:name="b_sec_ms_ccct"/>
      <w:r>
        <w:rPr>
          <w:rStyle w:val="SectionNumber"/>
        </w:rPr>
        <w:t xml:space="preserve">2.3.2</w:t>
      </w:r>
      <w:r>
        <w:tab/>
      </w:r>
      <w:r>
        <w:rPr>
          <w:rFonts w:hint="eastAsia"/>
        </w:rPr>
        <w:t xml:space="preserve">组级双相关</w:t>
      </w:r>
      <w:r>
        <w:t xml:space="preserve"> MS-CCCT</w:t>
      </w:r>
      <w:bookmarkEnd w:id="1014"/>
    </w:p>
    <w:p>
      <w:pPr>
        <w:pStyle w:val="BodyText"/>
      </w:pPr>
      <w:r>
        <w:rPr>
          <w:rFonts w:hint="eastAsia"/>
        </w:rPr>
        <w:t xml:space="preserve">恒流充电时间能够反映电池容量随循环产生的变化，但其与</w:t>
      </w:r>
      <w:r>
        <w:t xml:space="preserve"> SOH </w:t>
      </w:r>
      <w:r>
        <w:rPr>
          <w:rFonts w:hint="eastAsia"/>
        </w:rPr>
        <w:t xml:space="preserve">之间的相关性受到提取电压区间的影响。部分研究直接从预设的局部电压区间提取时间特征[</w:t>
      </w:r>
      <w:hyperlink w:anchor="b_ref28">
        <w:r>
          <w:rPr>
            <w:rStyle w:val="Hyperlink"/>
          </w:rPr>
          <w:t xml:space="preserve">28</w:t>
        </w:r>
      </w:hyperlink>
      <w:r>
        <w:t xml:space="preserve">,</w:t>
      </w:r>
      <w:hyperlink w:anchor="b_ref63">
        <w:r>
          <w:rPr>
            <w:rStyle w:val="Hyperlink"/>
          </w:rPr>
          <w:t xml:space="preserve">63</w:t>
        </w:r>
      </w:hyperlink>
      <w:r>
        <w:rPr>
          <w:rFonts w:hint="eastAsia"/>
        </w:rPr>
        <w:t xml:space="preserve">]。然而，不同数据集对应的退化敏感区间并不相同，一个数据集上采用的固定窗口难以直接适用于其他数据集。为提高</w:t>
      </w:r>
      <w:r>
        <w:t xml:space="preserve"> CCCT </w:t>
      </w:r>
      <w:r>
        <w:rPr>
          <w:rFonts w:hint="eastAsia"/>
        </w:rPr>
        <w:t xml:space="preserve">与</w:t>
      </w:r>
      <w:r>
        <w:t xml:space="preserve"> SOH </w:t>
      </w:r>
      <w:r>
        <w:rPr>
          <w:rFonts w:hint="eastAsia"/>
        </w:rPr>
        <w:t xml:space="preserve">的相关性及其在同一数据集不同电池上的稳定性，本文提出组级双相关多尺度搜索方法（MS-CCCT）。该方法选取同一数据集内两节电池组成特征开发集合</w:t>
      </w:r>
      <w:r>
        <w:t xml:space="preserve"> </w:t>
      </w:r>
      <m:oMath>
        <m:r>
          <w:rPr>
            <w:rFonts w:ascii="Cambria Math" w:hAnsi="Cambria Math"/>
            <w:sz w:val="22"/>
          </w:rPr>
          <m:rPr>
            <m:scr m:val="script"/>
            <m:sty m:val="p"/>
          </m:rPr>
          <m:t>B</m:t>
        </m:r>
      </m:oMath>
      <w:r>
        <w:rPr>
          <w:rFonts w:hint="eastAsia"/>
        </w:rPr>
        <w:t xml:space="preserve">，根据集合内的相关性结果构建组级稳健得分，并据此确定</w:t>
      </w:r>
      <w:r>
        <w:t xml:space="preserve"> HI1 </w:t>
      </w:r>
      <w:r>
        <w:rPr>
          <w:rFonts w:hint="eastAsia"/>
        </w:rPr>
        <w:t xml:space="preserve">的提取窗口。</w:t>
      </w:r>
    </w:p>
    <w:p>
      <w:pPr>
        <w:pStyle w:val="BodyText"/>
      </w:pPr>
      <w:r>
        <w:rPr>
          <w:rFonts w:hint="eastAsia"/>
        </w:rPr>
        <w:t xml:space="preserve">现有</w:t>
      </w:r>
      <w:r>
        <w:t xml:space="preserve"> CCCT </w:t>
      </w:r>
      <w:r>
        <w:rPr>
          <w:rFonts w:hint="eastAsia"/>
        </w:rPr>
        <w:t xml:space="preserve">窗口优化方法多采用</w:t>
      </w:r>
      <w:r>
        <w:t xml:space="preserve"> PCC </w:t>
      </w:r>
      <w:r>
        <w:rPr>
          <w:rFonts w:hint="eastAsia"/>
        </w:rPr>
        <w:t xml:space="preserve">评价候选区间[</w:t>
      </w:r>
      <w:hyperlink w:anchor="b_ref31">
        <w:r>
          <w:rPr>
            <w:rStyle w:val="Hyperlink"/>
          </w:rPr>
          <w:t xml:space="preserve">31</w:t>
        </w:r>
      </w:hyperlink>
      <w:r>
        <w:t xml:space="preserve">,</w:t>
      </w:r>
      <w:hyperlink w:anchor="b_ref51">
        <w:r>
          <w:rPr>
            <w:rStyle w:val="Hyperlink"/>
          </w:rPr>
          <w:t xml:space="preserve">51</w:t>
        </w:r>
      </w:hyperlink>
      <w:r>
        <w:t xml:space="preserve">]。PCC </w:t>
      </w:r>
      <w:r>
        <w:rPr>
          <w:rFonts w:hint="eastAsia"/>
        </w:rPr>
        <w:t xml:space="preserve">是衡量</w:t>
      </w:r>
      <w:r>
        <w:t xml:space="preserve"> CCCT </w:t>
      </w:r>
      <w:r>
        <w:rPr>
          <w:rFonts w:hint="eastAsia"/>
        </w:rPr>
        <w:t xml:space="preserve">与</w:t>
      </w:r>
      <w:r>
        <w:t xml:space="preserve"> SOH </w:t>
      </w:r>
      <w:r>
        <w:rPr>
          <w:rFonts w:hint="eastAsia"/>
        </w:rPr>
        <w:t xml:space="preserve">线性关联强度的常用统计指标，但该指标仅对线性变化敏感，单独使用难以反映单调非线性关系。SCC</w:t>
      </w:r>
      <w:r>
        <w:t xml:space="preserve"> </w:t>
      </w:r>
      <w:r>
        <w:rPr>
          <w:rFonts w:hint="eastAsia"/>
        </w:rPr>
        <w:t xml:space="preserve">专门评估变量间的单调变化关系，适合刻画这类单调非线性特征。候选窗口评价同时采用</w:t>
      </w:r>
      <w:r>
        <w:t xml:space="preserve"> PCC </w:t>
      </w:r>
      <w:r>
        <w:rPr>
          <w:rFonts w:hint="eastAsia"/>
        </w:rPr>
        <w:t xml:space="preserve">和</w:t>
      </w:r>
      <w:r>
        <w:t xml:space="preserve"> </w:t>
      </w:r>
      <w:r>
        <w:rPr>
          <w:rFonts w:hint="eastAsia"/>
        </w:rPr>
        <w:t xml:space="preserve">SCC，以兼顾</w:t>
      </w:r>
      <w:r>
        <w:t xml:space="preserve"> CCCT </w:t>
      </w:r>
      <w:r>
        <w:rPr>
          <w:rFonts w:hint="eastAsia"/>
        </w:rPr>
        <w:t xml:space="preserve">与</w:t>
      </w:r>
      <w:r>
        <w:t xml:space="preserve"> SOH </w:t>
      </w:r>
      <w:r>
        <w:rPr>
          <w:rFonts w:hint="eastAsia"/>
        </w:rPr>
        <w:t xml:space="preserve">之间的线性关联和单调变化关系[</w:t>
      </w:r>
      <w:hyperlink w:anchor="b_ref25">
        <w:r>
          <w:rPr>
            <w:rStyle w:val="Hyperlink"/>
          </w:rPr>
          <w:t xml:space="preserve">25</w:t>
        </w:r>
      </w:hyperlink>
      <w:r>
        <w:t xml:space="preserve">,</w:t>
      </w:r>
      <w:hyperlink w:anchor="b_ref53">
        <w:r>
          <w:rPr>
            <w:rStyle w:val="Hyperlink"/>
          </w:rPr>
          <w:t xml:space="preserve">53</w:t>
        </w:r>
      </w:hyperlink>
      <w:r>
        <w:t xml:space="preserve">,</w:t>
      </w:r>
      <w:hyperlink w:anchor="b_ref55">
        <w:r>
          <w:rPr>
            <w:rStyle w:val="Hyperlink"/>
          </w:rPr>
          <w:t xml:space="preserve">55</w:t>
        </w:r>
      </w:hyperlink>
      <w:r>
        <w:rPr>
          <w:rFonts w:hint="eastAsia"/>
        </w:rPr>
        <w:t xml:space="preserve">]。第</w:t>
      </w:r>
      <w:r>
        <w:t xml:space="preserve"> </w:t>
      </w:r>
      <m:oMath>
        <m:r>
          <w:rPr>
            <w:rFonts w:ascii="Cambria Math" w:hAnsi="Cambria Math"/>
            <w:sz w:val="22"/>
          </w:rPr>
          <m:t>i</m:t>
        </m:r>
      </m:oMath>
      <w:r>
        <w:t xml:space="preserve"> </w:t>
      </w:r>
      <w:r>
        <w:rPr>
          <w:rFonts w:hint="eastAsia"/>
        </w:rPr>
        <w:t xml:space="preserve">个候选窗口在集合</w:t>
      </w:r>
      <w:r>
        <w:t xml:space="preserve"> </w:t>
      </w:r>
      <m:oMath>
        <m:r>
          <w:rPr>
            <w:rFonts w:ascii="Cambria Math" w:hAnsi="Cambria Math"/>
            <w:sz w:val="22"/>
          </w:rPr>
          <m:rPr>
            <m:scr m:val="script"/>
            <m:sty m:val="p"/>
          </m:rPr>
          <m:t>B</m:t>
        </m:r>
      </m:oMath>
      <w:r>
        <w:t xml:space="preserve"> </w:t>
      </w:r>
      <w:r>
        <w:rPr>
          <w:rFonts w:hint="eastAsia"/>
        </w:rPr>
        <w:t xml:space="preserve">中第</w:t>
      </w:r>
      <w:r>
        <w:t xml:space="preserve"> </w:t>
      </w:r>
      <m:oMath>
        <m:r>
          <w:rPr>
            <w:rFonts w:ascii="Cambria Math" w:hAnsi="Cambria Math"/>
            <w:sz w:val="22"/>
          </w:rPr>
          <m:t>j</m:t>
        </m:r>
      </m:oMath>
      <w:r>
        <w:t xml:space="preserve"> </w:t>
      </w:r>
      <w:r>
        <w:rPr>
          <w:rFonts w:hint="eastAsia"/>
        </w:rPr>
        <w:t xml:space="preserve">节电池上的</w:t>
      </w:r>
      <w:r>
        <w:t xml:space="preserve"> PCC</w:t>
      </w:r>
      <w:r>
        <w:t xml:space="preserve"> </w:t>
      </w:r>
      <m:oMath>
        <m:sSub>
          <m:e>
            <m:r>
              <w:rPr>
                <w:rFonts w:ascii="Cambria Math" w:hAnsi="Cambria Math"/>
                <w:sz w:val="22"/>
              </w:rPr>
              <m:t>γ</m:t>
            </m:r>
          </m:e>
          <m:sub>
            <m:r>
              <w:rPr>
                <w:rFonts w:ascii="Cambria Math" w:hAnsi="Cambria Math"/>
                <w:sz w:val="22"/>
              </w:rPr>
              <m:t>i</m:t>
            </m:r>
            <m:r>
              <w:rPr>
                <w:rFonts w:ascii="Cambria Math" w:hAnsi="Cambria Math"/>
                <w:sz w:val="22"/>
              </w:rPr>
              <m:rPr>
                <m:sty m:val="p"/>
              </m:rPr>
              <m:t>,</m:t>
            </m:r>
            <m:r>
              <w:rPr>
                <w:rFonts w:ascii="Cambria Math" w:hAnsi="Cambria Math"/>
                <w:sz w:val="22"/>
              </w:rPr>
              <m:t>j</m:t>
            </m:r>
          </m:sub>
        </m:sSub>
      </m:oMath>
      <w:r>
        <w:t xml:space="preserve"> </w:t>
      </w:r>
      <w:r>
        <w:rPr>
          <w:rFonts w:hint="eastAsia"/>
        </w:rPr>
        <w:t xml:space="preserve">和</w:t>
      </w:r>
      <w:r>
        <w:t xml:space="preserve"> SCC</w:t>
      </w:r>
      <w:r>
        <w:t xml:space="preserve"> </w:t>
      </w:r>
      <m:oMath>
        <m:sSub>
          <m:e>
            <m:r>
              <w:rPr>
                <w:rFonts w:ascii="Cambria Math" w:hAnsi="Cambria Math"/>
                <w:sz w:val="22"/>
              </w:rPr>
              <m:t>ρ</m:t>
            </m:r>
          </m:e>
          <m:sub>
            <m:r>
              <w:rPr>
                <w:rFonts w:ascii="Cambria Math" w:hAnsi="Cambria Math"/>
                <w:sz w:val="22"/>
              </w:rPr>
              <m:t>i</m:t>
            </m:r>
            <m:r>
              <w:rPr>
                <w:rFonts w:ascii="Cambria Math" w:hAnsi="Cambria Math"/>
                <w:sz w:val="22"/>
              </w:rPr>
              <m:rPr>
                <m:sty m:val="p"/>
              </m:rPr>
              <m:t>,</m:t>
            </m:r>
            <m:r>
              <w:rPr>
                <w:rFonts w:ascii="Cambria Math" w:hAnsi="Cambria Math"/>
                <w:sz w:val="22"/>
              </w:rPr>
              <m:t>j</m:t>
            </m:r>
          </m:sub>
        </m:sSub>
      </m:oMath>
      <w:r>
        <w:t xml:space="preserve"> </w:t>
      </w:r>
      <w:r>
        <w:rPr>
          <w:rFonts w:hint="eastAsia"/>
        </w:rPr>
        <w:t xml:space="preserve">分别定义为</w:t>
      </w:r>
    </w:p>
    <w:p>
      <w:pPr>
        <w:pStyle w:val="BodyText"/>
        <w:keepLines/>
        <w:tabs>
          <w:tab w:pos="4791" w:val="center"/>
          <w:tab w:pos="9581" w:val="right"/>
        </w:tabs>
        <w:spacing w:before="100" w:after="100"/>
        <w:ind w:firstLine="0"/>
        <w:jc w:val="left"/>
      </w:pPr>
      <w:bookmarkStart w:id="1015" w:name="equation_8"/>
      <w:r>
        <w:tab/>
      </w:r>
      <m:oMath>
        <m:sSub>
          <m:e>
            <m:r>
              <w:rPr>
                <w:rFonts w:ascii="Cambria Math" w:hAnsi="Cambria Math"/>
                <w:sz w:val="22"/>
              </w:rPr>
              <m:t>γ</m:t>
            </m:r>
          </m:e>
          <m:sub>
            <m:r>
              <w:rPr>
                <w:rFonts w:ascii="Cambria Math" w:hAnsi="Cambria Math"/>
                <w:sz w:val="22"/>
              </w:rPr>
              <m:t>i</m:t>
            </m:r>
            <m:r>
              <w:rPr>
                <w:rFonts w:ascii="Cambria Math" w:hAnsi="Cambria Math"/>
                <w:sz w:val="22"/>
              </w:rPr>
              <m:rPr>
                <m:sty m:val="p"/>
              </m:rPr>
              <m:t>,</m:t>
            </m:r>
            <m:r>
              <w:rPr>
                <w:rFonts w:ascii="Cambria Math" w:hAnsi="Cambria Math"/>
                <w:sz w:val="22"/>
              </w:rPr>
              <m:t>j</m:t>
            </m:r>
          </m:sub>
        </m:sSub>
        <m:r>
          <w:rPr>
            <w:rFonts w:ascii="Cambria Math" w:hAnsi="Cambria Math"/>
            <w:sz w:val="22"/>
          </w:rPr>
          <m:rPr>
            <m:sty m:val="p"/>
          </m:rPr>
          <m:t>=</m:t>
        </m:r>
        <m:f>
          <m:fPr>
            <m:type m:val="bar"/>
          </m:fPr>
          <m:num>
            <m:nary>
              <m:naryPr>
                <m:chr m:val="∑"/>
                <m:limLoc m:val="undOvr"/>
                <m:subHide m:val="off"/>
                <m:supHide m:val="off"/>
              </m:naryPr>
              <m:sub>
                <m:r>
                  <w:rPr>
                    <w:rFonts w:ascii="Cambria Math" w:hAnsi="Cambria Math"/>
                    <w:sz w:val="22"/>
                  </w:rPr>
                  <m:t>k</m:t>
                </m:r>
                <m:r>
                  <w:rPr>
                    <w:rFonts w:ascii="Cambria Math" w:hAnsi="Cambria Math"/>
                    <w:sz w:val="22"/>
                  </w:rPr>
                  <m:rPr>
                    <m:sty m:val="p"/>
                  </m:rPr>
                  <m:t>=</m:t>
                </m:r>
                <m:r>
                  <w:rPr>
                    <w:rFonts w:ascii="Cambria Math" w:hAnsi="Cambria Math"/>
                    <w:sz w:val="22"/>
                  </w:rPr>
                  <m:t>1</m:t>
                </m:r>
              </m:sub>
              <m:sup>
                <m:sSub>
                  <m:e>
                    <m:r>
                      <w:rPr>
                        <w:rFonts w:ascii="Cambria Math" w:hAnsi="Cambria Math"/>
                        <w:sz w:val="22"/>
                      </w:rPr>
                      <m:t>n</m:t>
                    </m:r>
                  </m:e>
                  <m:sub>
                    <m:r>
                      <w:rPr>
                        <w:rFonts w:ascii="Cambria Math" w:hAnsi="Cambria Math"/>
                        <w:sz w:val="22"/>
                      </w:rPr>
                      <m:t>j</m:t>
                    </m:r>
                  </m:sub>
                </m:sSub>
              </m:sup>
              <m:e>
                <m:r>
                  <w:rPr>
                    <w:rFonts w:ascii="Cambria Math" w:hAnsi="Cambria Math"/>
                    <w:sz w:val="22"/>
                  </w:rPr>
                  <m:rPr>
                    <m:sty m:val="p"/>
                  </m:rPr>
                  <m:t>(</m:t>
                </m:r>
              </m:e>
            </m:nary>
            <m:sSub>
              <m:e>
                <m:r>
                  <w:rPr>
                    <w:rFonts w:ascii="Cambria Math" w:hAnsi="Cambria Math"/>
                    <w:sz w:val="22"/>
                  </w:rPr>
                  <m:t>f</m:t>
                </m:r>
              </m:e>
              <m:sub>
                <m:r>
                  <w:rPr>
                    <w:rFonts w:ascii="Cambria Math" w:hAnsi="Cambria Math"/>
                    <w:sz w:val="22"/>
                  </w:rPr>
                  <m:t>i</m:t>
                </m:r>
                <m:r>
                  <w:rPr>
                    <w:rFonts w:ascii="Cambria Math" w:hAnsi="Cambria Math"/>
                    <w:sz w:val="22"/>
                  </w:rPr>
                  <m:rPr>
                    <m:sty m:val="p"/>
                  </m:rPr>
                  <m:t>,</m:t>
                </m:r>
                <m:r>
                  <w:rPr>
                    <w:rFonts w:ascii="Cambria Math" w:hAnsi="Cambria Math"/>
                    <w:sz w:val="22"/>
                  </w:rPr>
                  <m:t>j</m:t>
                </m:r>
                <m:r>
                  <w:rPr>
                    <w:rFonts w:ascii="Cambria Math" w:hAnsi="Cambria Math"/>
                    <w:sz w:val="22"/>
                  </w:rPr>
                  <m:rPr>
                    <m:sty m:val="p"/>
                  </m:rPr>
                  <m:t>,</m:t>
                </m:r>
                <m:r>
                  <w:rPr>
                    <w:rFonts w:ascii="Cambria Math" w:hAnsi="Cambria Math"/>
                    <w:sz w:val="22"/>
                  </w:rPr>
                  <m:t>k</m:t>
                </m:r>
              </m:sub>
            </m:sSub>
            <m:r>
              <w:rPr>
                <w:rFonts w:ascii="Cambria Math" w:hAnsi="Cambria Math"/>
                <w:sz w:val="22"/>
              </w:rPr>
              <m:rPr>
                <m:sty m:val="p"/>
              </m:rPr>
              <m:t>−</m:t>
            </m:r>
            <m:sSub>
              <m:e>
                <m:acc>
                  <m:accPr>
                    <m:chr m:val="‾"/>
                  </m:accPr>
                  <m:e>
                    <m:r>
                      <w:rPr>
                        <w:rFonts w:ascii="Cambria Math" w:hAnsi="Cambria Math"/>
                        <w:sz w:val="22"/>
                      </w:rPr>
                      <m:t>f</m:t>
                    </m:r>
                  </m:e>
                </m:acc>
              </m:e>
              <m:sub>
                <m:r>
                  <w:rPr>
                    <w:rFonts w:ascii="Cambria Math" w:hAnsi="Cambria Math"/>
                    <w:sz w:val="22"/>
                  </w:rPr>
                  <m:t>i</m:t>
                </m:r>
                <m:r>
                  <w:rPr>
                    <w:rFonts w:ascii="Cambria Math" w:hAnsi="Cambria Math"/>
                    <w:sz w:val="22"/>
                  </w:rPr>
                  <m:rPr>
                    <m:sty m:val="p"/>
                  </m:rPr>
                  <m:t>,</m:t>
                </m:r>
                <m:r>
                  <w:rPr>
                    <w:rFonts w:ascii="Cambria Math" w:hAnsi="Cambria Math"/>
                    <w:sz w:val="22"/>
                  </w:rPr>
                  <m:t>j</m:t>
                </m:r>
              </m:sub>
            </m:sSub>
            <m:r>
              <w:rPr>
                <w:rFonts w:ascii="Cambria Math" w:hAnsi="Cambria Math"/>
                <w:sz w:val="22"/>
              </w:rPr>
              <m:rPr>
                <m:sty m:val="p"/>
              </m:rPr>
              <m:t>)</m:t>
            </m:r>
            <m:r>
              <w:rPr>
                <w:rFonts w:ascii="Cambria Math" w:hAnsi="Cambria Math"/>
                <w:sz w:val="22"/>
              </w:rPr>
              <m:rPr>
                <m:sty m:val="p"/>
              </m:rPr>
              <m:t>(</m:t>
            </m:r>
            <m:sSub>
              <m:e>
                <m:r>
                  <w:rPr>
                    <w:rFonts w:ascii="Cambria Math" w:hAnsi="Cambria Math"/>
                    <w:sz w:val="22"/>
                  </w:rPr>
                  <m:t>y</m:t>
                </m:r>
              </m:e>
              <m:sub>
                <m:r>
                  <w:rPr>
                    <w:rFonts w:ascii="Cambria Math" w:hAnsi="Cambria Math"/>
                    <w:sz w:val="22"/>
                  </w:rPr>
                  <m:t>j</m:t>
                </m:r>
                <m:r>
                  <w:rPr>
                    <w:rFonts w:ascii="Cambria Math" w:hAnsi="Cambria Math"/>
                    <w:sz w:val="22"/>
                  </w:rPr>
                  <m:rPr>
                    <m:sty m:val="p"/>
                  </m:rPr>
                  <m:t>,</m:t>
                </m:r>
                <m:r>
                  <w:rPr>
                    <w:rFonts w:ascii="Cambria Math" w:hAnsi="Cambria Math"/>
                    <w:sz w:val="22"/>
                  </w:rPr>
                  <m:t>k</m:t>
                </m:r>
              </m:sub>
            </m:sSub>
            <m:r>
              <w:rPr>
                <w:rFonts w:ascii="Cambria Math" w:hAnsi="Cambria Math"/>
                <w:sz w:val="22"/>
              </w:rPr>
              <m:rPr>
                <m:sty m:val="p"/>
              </m:rPr>
              <m:t>−</m:t>
            </m:r>
            <m:sSub>
              <m:e>
                <m:acc>
                  <m:accPr>
                    <m:chr m:val="‾"/>
                  </m:accPr>
                  <m:e>
                    <m:r>
                      <w:rPr>
                        <w:rFonts w:ascii="Cambria Math" w:hAnsi="Cambria Math"/>
                        <w:sz w:val="22"/>
                      </w:rPr>
                      <m:t>y</m:t>
                    </m:r>
                  </m:e>
                </m:acc>
              </m:e>
              <m:sub>
                <m:r>
                  <w:rPr>
                    <w:rFonts w:ascii="Cambria Math" w:hAnsi="Cambria Math"/>
                    <w:sz w:val="22"/>
                  </w:rPr>
                  <m:t>j</m:t>
                </m:r>
              </m:sub>
            </m:sSub>
            <m:r>
              <w:rPr>
                <w:rFonts w:ascii="Cambria Math" w:hAnsi="Cambria Math"/>
                <w:sz w:val="22"/>
              </w:rPr>
              <m:rPr>
                <m:sty m:val="p"/>
              </m:rPr>
              <m:t>)</m:t>
            </m:r>
          </m:num>
          <m:den>
            <m:rad>
              <m:radPr>
                <m:degHide m:val="on"/>
              </m:radPr>
              <m:deg/>
              <m:e>
                <m:nary>
                  <m:naryPr>
                    <m:chr m:val="∑"/>
                    <m:limLoc m:val="undOvr"/>
                    <m:subHide m:val="off"/>
                    <m:supHide m:val="off"/>
                  </m:naryPr>
                  <m:sub>
                    <m:r>
                      <w:rPr>
                        <w:rFonts w:ascii="Cambria Math" w:hAnsi="Cambria Math"/>
                        <w:sz w:val="22"/>
                      </w:rPr>
                      <m:t>k</m:t>
                    </m:r>
                    <m:r>
                      <w:rPr>
                        <w:rFonts w:ascii="Cambria Math" w:hAnsi="Cambria Math"/>
                        <w:sz w:val="22"/>
                      </w:rPr>
                      <m:rPr>
                        <m:sty m:val="p"/>
                      </m:rPr>
                      <m:t>=</m:t>
                    </m:r>
                    <m:r>
                      <w:rPr>
                        <w:rFonts w:ascii="Cambria Math" w:hAnsi="Cambria Math"/>
                        <w:sz w:val="22"/>
                      </w:rPr>
                      <m:t>1</m:t>
                    </m:r>
                  </m:sub>
                  <m:sup>
                    <m:sSub>
                      <m:e>
                        <m:r>
                          <w:rPr>
                            <w:rFonts w:ascii="Cambria Math" w:hAnsi="Cambria Math"/>
                            <w:sz w:val="22"/>
                          </w:rPr>
                          <m:t>n</m:t>
                        </m:r>
                      </m:e>
                      <m:sub>
                        <m:r>
                          <w:rPr>
                            <w:rFonts w:ascii="Cambria Math" w:hAnsi="Cambria Math"/>
                            <w:sz w:val="22"/>
                          </w:rPr>
                          <m:t>j</m:t>
                        </m:r>
                      </m:sub>
                    </m:sSub>
                  </m:sup>
                  <m:e>
                    <m:r>
                      <w:rPr>
                        <w:rFonts w:ascii="Cambria Math" w:hAnsi="Cambria Math"/>
                        <w:sz w:val="22"/>
                      </w:rPr>
                      <m:rPr>
                        <m:sty m:val="p"/>
                      </m:rPr>
                      <m:t>(</m:t>
                    </m:r>
                  </m:e>
                </m:nary>
                <m:sSub>
                  <m:e>
                    <m:r>
                      <w:rPr>
                        <w:rFonts w:ascii="Cambria Math" w:hAnsi="Cambria Math"/>
                        <w:sz w:val="22"/>
                      </w:rPr>
                      <m:t>f</m:t>
                    </m:r>
                  </m:e>
                  <m:sub>
                    <m:r>
                      <w:rPr>
                        <w:rFonts w:ascii="Cambria Math" w:hAnsi="Cambria Math"/>
                        <w:sz w:val="22"/>
                      </w:rPr>
                      <m:t>i</m:t>
                    </m:r>
                    <m:r>
                      <w:rPr>
                        <w:rFonts w:ascii="Cambria Math" w:hAnsi="Cambria Math"/>
                        <w:sz w:val="22"/>
                      </w:rPr>
                      <m:rPr>
                        <m:sty m:val="p"/>
                      </m:rPr>
                      <m:t>,</m:t>
                    </m:r>
                    <m:r>
                      <w:rPr>
                        <w:rFonts w:ascii="Cambria Math" w:hAnsi="Cambria Math"/>
                        <w:sz w:val="22"/>
                      </w:rPr>
                      <m:t>j</m:t>
                    </m:r>
                    <m:r>
                      <w:rPr>
                        <w:rFonts w:ascii="Cambria Math" w:hAnsi="Cambria Math"/>
                        <w:sz w:val="22"/>
                      </w:rPr>
                      <m:rPr>
                        <m:sty m:val="p"/>
                      </m:rPr>
                      <m:t>,</m:t>
                    </m:r>
                    <m:r>
                      <w:rPr>
                        <w:rFonts w:ascii="Cambria Math" w:hAnsi="Cambria Math"/>
                        <w:sz w:val="22"/>
                      </w:rPr>
                      <m:t>k</m:t>
                    </m:r>
                  </m:sub>
                </m:sSub>
                <m:r>
                  <w:rPr>
                    <w:rFonts w:ascii="Cambria Math" w:hAnsi="Cambria Math"/>
                    <w:sz w:val="22"/>
                  </w:rPr>
                  <m:rPr>
                    <m:sty m:val="p"/>
                  </m:rPr>
                  <m:t>−</m:t>
                </m:r>
                <m:sSub>
                  <m:e>
                    <m:acc>
                      <m:accPr>
                        <m:chr m:val="‾"/>
                      </m:accPr>
                      <m:e>
                        <m:r>
                          <w:rPr>
                            <w:rFonts w:ascii="Cambria Math" w:hAnsi="Cambria Math"/>
                            <w:sz w:val="22"/>
                          </w:rPr>
                          <m:t>f</m:t>
                        </m:r>
                      </m:e>
                    </m:acc>
                  </m:e>
                  <m:sub>
                    <m:r>
                      <w:rPr>
                        <w:rFonts w:ascii="Cambria Math" w:hAnsi="Cambria Math"/>
                        <w:sz w:val="22"/>
                      </w:rPr>
                      <m:t>i</m:t>
                    </m:r>
                    <m:r>
                      <w:rPr>
                        <w:rFonts w:ascii="Cambria Math" w:hAnsi="Cambria Math"/>
                        <w:sz w:val="22"/>
                      </w:rPr>
                      <m:rPr>
                        <m:sty m:val="p"/>
                      </m:rPr>
                      <m:t>,</m:t>
                    </m:r>
                    <m:r>
                      <w:rPr>
                        <w:rFonts w:ascii="Cambria Math" w:hAnsi="Cambria Math"/>
                        <w:sz w:val="22"/>
                      </w:rPr>
                      <m:t>j</m:t>
                    </m:r>
                  </m:sub>
                </m:sSub>
                <m:sSup>
                  <m:e>
                    <m:r>
                      <w:rPr>
                        <w:rFonts w:ascii="Cambria Math" w:hAnsi="Cambria Math"/>
                        <w:sz w:val="22"/>
                      </w:rPr>
                      <m:rPr>
                        <m:sty m:val="p"/>
                      </m:rPr>
                      <m:t>)</m:t>
                    </m:r>
                  </m:e>
                  <m:sup>
                    <m:r>
                      <w:rPr>
                        <w:rFonts w:ascii="Cambria Math" w:hAnsi="Cambria Math"/>
                        <w:sz w:val="22"/>
                      </w:rPr>
                      <m:t>2</m:t>
                    </m:r>
                  </m:sup>
                </m:sSup>
                <m:nary>
                  <m:naryPr>
                    <m:chr m:val="∑"/>
                    <m:limLoc m:val="undOvr"/>
                    <m:subHide m:val="off"/>
                    <m:supHide m:val="off"/>
                  </m:naryPr>
                  <m:sub>
                    <m:r>
                      <w:rPr>
                        <w:rFonts w:ascii="Cambria Math" w:hAnsi="Cambria Math"/>
                        <w:sz w:val="22"/>
                      </w:rPr>
                      <m:t>k</m:t>
                    </m:r>
                    <m:r>
                      <w:rPr>
                        <w:rFonts w:ascii="Cambria Math" w:hAnsi="Cambria Math"/>
                        <w:sz w:val="22"/>
                      </w:rPr>
                      <m:rPr>
                        <m:sty m:val="p"/>
                      </m:rPr>
                      <m:t>=</m:t>
                    </m:r>
                    <m:r>
                      <w:rPr>
                        <w:rFonts w:ascii="Cambria Math" w:hAnsi="Cambria Math"/>
                        <w:sz w:val="22"/>
                      </w:rPr>
                      <m:t>1</m:t>
                    </m:r>
                  </m:sub>
                  <m:sup>
                    <m:sSub>
                      <m:e>
                        <m:r>
                          <w:rPr>
                            <w:rFonts w:ascii="Cambria Math" w:hAnsi="Cambria Math"/>
                            <w:sz w:val="22"/>
                          </w:rPr>
                          <m:t>n</m:t>
                        </m:r>
                      </m:e>
                      <m:sub>
                        <m:r>
                          <w:rPr>
                            <w:rFonts w:ascii="Cambria Math" w:hAnsi="Cambria Math"/>
                            <w:sz w:val="22"/>
                          </w:rPr>
                          <m:t>j</m:t>
                        </m:r>
                      </m:sub>
                    </m:sSub>
                  </m:sup>
                  <m:e>
                    <m:r>
                      <w:rPr>
                        <w:rFonts w:ascii="Cambria Math" w:hAnsi="Cambria Math"/>
                        <w:sz w:val="22"/>
                      </w:rPr>
                      <m:rPr>
                        <m:sty m:val="p"/>
                      </m:rPr>
                      <m:t>(</m:t>
                    </m:r>
                  </m:e>
                </m:nary>
                <m:sSub>
                  <m:e>
                    <m:r>
                      <w:rPr>
                        <w:rFonts w:ascii="Cambria Math" w:hAnsi="Cambria Math"/>
                        <w:sz w:val="22"/>
                      </w:rPr>
                      <m:t>y</m:t>
                    </m:r>
                  </m:e>
                  <m:sub>
                    <m:r>
                      <w:rPr>
                        <w:rFonts w:ascii="Cambria Math" w:hAnsi="Cambria Math"/>
                        <w:sz w:val="22"/>
                      </w:rPr>
                      <m:t>j</m:t>
                    </m:r>
                    <m:r>
                      <w:rPr>
                        <w:rFonts w:ascii="Cambria Math" w:hAnsi="Cambria Math"/>
                        <w:sz w:val="22"/>
                      </w:rPr>
                      <m:rPr>
                        <m:sty m:val="p"/>
                      </m:rPr>
                      <m:t>,</m:t>
                    </m:r>
                    <m:r>
                      <w:rPr>
                        <w:rFonts w:ascii="Cambria Math" w:hAnsi="Cambria Math"/>
                        <w:sz w:val="22"/>
                      </w:rPr>
                      <m:t>k</m:t>
                    </m:r>
                  </m:sub>
                </m:sSub>
                <m:r>
                  <w:rPr>
                    <w:rFonts w:ascii="Cambria Math" w:hAnsi="Cambria Math"/>
                    <w:sz w:val="22"/>
                  </w:rPr>
                  <m:rPr>
                    <m:sty m:val="p"/>
                  </m:rPr>
                  <m:t>−</m:t>
                </m:r>
                <m:sSub>
                  <m:e>
                    <m:acc>
                      <m:accPr>
                        <m:chr m:val="‾"/>
                      </m:accPr>
                      <m:e>
                        <m:r>
                          <w:rPr>
                            <w:rFonts w:ascii="Cambria Math" w:hAnsi="Cambria Math"/>
                            <w:sz w:val="22"/>
                          </w:rPr>
                          <m:t>y</m:t>
                        </m:r>
                      </m:e>
                    </m:acc>
                  </m:e>
                  <m:sub>
                    <m:r>
                      <w:rPr>
                        <w:rFonts w:ascii="Cambria Math" w:hAnsi="Cambria Math"/>
                        <w:sz w:val="22"/>
                      </w:rPr>
                      <m:t>j</m:t>
                    </m:r>
                  </m:sub>
                </m:sSub>
                <m:sSup>
                  <m:e>
                    <m:r>
                      <w:rPr>
                        <w:rFonts w:ascii="Cambria Math" w:hAnsi="Cambria Math"/>
                        <w:sz w:val="22"/>
                      </w:rPr>
                      <m:rPr>
                        <m:sty m:val="p"/>
                      </m:rPr>
                      <m:t>)</m:t>
                    </m:r>
                  </m:e>
                  <m:sup>
                    <m:r>
                      <w:rPr>
                        <w:rFonts w:ascii="Cambria Math" w:hAnsi="Cambria Math"/>
                        <w:sz w:val="22"/>
                      </w:rPr>
                      <m:t>2</m:t>
                    </m:r>
                  </m:sup>
                </m:sSup>
              </m:e>
            </m:rad>
          </m:den>
        </m:f>
        <m:r>
          <w:rPr>
            <w:rFonts w:ascii="Cambria Math" w:hAnsi="Cambria Math"/>
            <w:sz w:val="22"/>
          </w:rPr>
          <m:rPr>
            <m:sty m:val="p"/>
          </m:rPr>
          <m:t>,</m:t>
        </m:r>
      </m:oMath>
      <w:r>
        <w:tab/>
        <w:t>(8)</w:t>
      </w:r>
      <w:bookmarkEnd w:id="1015"/>
    </w:p>
    <w:p>
      <w:pPr>
        <w:pStyle w:val="BodyText"/>
        <w:keepLines/>
        <w:tabs>
          <w:tab w:pos="4791" w:val="center"/>
          <w:tab w:pos="9581" w:val="right"/>
        </w:tabs>
        <w:spacing w:before="100" w:after="100"/>
        <w:ind w:firstLine="0"/>
        <w:jc w:val="left"/>
      </w:pPr>
      <w:bookmarkStart w:id="1016" w:name="equation_9"/>
      <w:r>
        <w:tab/>
      </w:r>
      <m:oMath>
        <m:sSub>
          <m:e>
            <m:r>
              <w:rPr>
                <w:rFonts w:ascii="Cambria Math" w:hAnsi="Cambria Math"/>
                <w:sz w:val="22"/>
              </w:rPr>
              <m:t>ρ</m:t>
            </m:r>
          </m:e>
          <m:sub>
            <m:r>
              <w:rPr>
                <w:rFonts w:ascii="Cambria Math" w:hAnsi="Cambria Math"/>
                <w:sz w:val="22"/>
              </w:rPr>
              <m:t>i</m:t>
            </m:r>
            <m:r>
              <w:rPr>
                <w:rFonts w:ascii="Cambria Math" w:hAnsi="Cambria Math"/>
                <w:sz w:val="22"/>
              </w:rPr>
              <m:rPr>
                <m:sty m:val="p"/>
              </m:rPr>
              <m:t>,</m:t>
            </m:r>
            <m:r>
              <w:rPr>
                <w:rFonts w:ascii="Cambria Math" w:hAnsi="Cambria Math"/>
                <w:sz w:val="22"/>
              </w:rPr>
              <m:t>j</m:t>
            </m:r>
          </m:sub>
        </m:sSub>
        <m:r>
          <w:rPr>
            <w:rFonts w:ascii="Cambria Math" w:hAnsi="Cambria Math"/>
            <w:sz w:val="22"/>
          </w:rPr>
          <m:rPr>
            <m:sty m:val="p"/>
          </m:rPr>
          <m:t>=</m:t>
        </m:r>
        <m:f>
          <m:fPr>
            <m:type m:val="bar"/>
          </m:fPr>
          <m:num>
            <m:nary>
              <m:naryPr>
                <m:chr m:val="∑"/>
                <m:limLoc m:val="undOvr"/>
                <m:subHide m:val="off"/>
                <m:supHide m:val="off"/>
              </m:naryPr>
              <m:sub>
                <m:r>
                  <w:rPr>
                    <w:rFonts w:ascii="Cambria Math" w:hAnsi="Cambria Math"/>
                    <w:sz w:val="22"/>
                  </w:rPr>
                  <m:t>k</m:t>
                </m:r>
                <m:r>
                  <w:rPr>
                    <w:rFonts w:ascii="Cambria Math" w:hAnsi="Cambria Math"/>
                    <w:sz w:val="22"/>
                  </w:rPr>
                  <m:rPr>
                    <m:sty m:val="p"/>
                  </m:rPr>
                  <m:t>=</m:t>
                </m:r>
                <m:r>
                  <w:rPr>
                    <w:rFonts w:ascii="Cambria Math" w:hAnsi="Cambria Math"/>
                    <w:sz w:val="22"/>
                  </w:rPr>
                  <m:t>1</m:t>
                </m:r>
              </m:sub>
              <m:sup>
                <m:sSub>
                  <m:e>
                    <m:r>
                      <w:rPr>
                        <w:rFonts w:ascii="Cambria Math" w:hAnsi="Cambria Math"/>
                        <w:sz w:val="22"/>
                      </w:rPr>
                      <m:t>n</m:t>
                    </m:r>
                  </m:e>
                  <m:sub>
                    <m:r>
                      <w:rPr>
                        <w:rFonts w:ascii="Cambria Math" w:hAnsi="Cambria Math"/>
                        <w:sz w:val="22"/>
                      </w:rPr>
                      <m:t>j</m:t>
                    </m:r>
                  </m:sub>
                </m:sSub>
              </m:sup>
              <m:e>
                <m:d>
                  <m:dPr>
                    <m:begChr m:val="("/>
                    <m:sepChr m:val=""/>
                    <m:endChr m:val=")"/>
                    <m:grow/>
                  </m:dPr>
                  <m:e>
                    <m:r>
                      <w:rPr>
                        <w:rFonts w:ascii="Cambria Math" w:hAnsi="Cambria Math"/>
                        <w:sz w:val="22"/>
                      </w:rPr>
                      <m:t>R</m:t>
                    </m:r>
                    <m:r>
                      <w:rPr>
                        <w:rFonts w:ascii="Cambria Math" w:hAnsi="Cambria Math"/>
                        <w:sz w:val="22"/>
                      </w:rPr>
                      <m:rPr>
                        <m:sty m:val="p"/>
                      </m:rPr>
                      <m:t>(</m:t>
                    </m:r>
                    <m:sSub>
                      <m:e>
                        <m:r>
                          <w:rPr>
                            <w:rFonts w:ascii="Cambria Math" w:hAnsi="Cambria Math"/>
                            <w:sz w:val="22"/>
                          </w:rPr>
                          <m:t>f</m:t>
                        </m:r>
                      </m:e>
                      <m:sub>
                        <m:r>
                          <w:rPr>
                            <w:rFonts w:ascii="Cambria Math" w:hAnsi="Cambria Math"/>
                            <w:sz w:val="22"/>
                          </w:rPr>
                          <m:t>i</m:t>
                        </m:r>
                        <m:r>
                          <w:rPr>
                            <w:rFonts w:ascii="Cambria Math" w:hAnsi="Cambria Math"/>
                            <w:sz w:val="22"/>
                          </w:rPr>
                          <m:rPr>
                            <m:sty m:val="p"/>
                          </m:rPr>
                          <m:t>,</m:t>
                        </m:r>
                        <m:r>
                          <w:rPr>
                            <w:rFonts w:ascii="Cambria Math" w:hAnsi="Cambria Math"/>
                            <w:sz w:val="22"/>
                          </w:rPr>
                          <m:t>j</m:t>
                        </m:r>
                        <m:r>
                          <w:rPr>
                            <w:rFonts w:ascii="Cambria Math" w:hAnsi="Cambria Math"/>
                            <w:sz w:val="22"/>
                          </w:rPr>
                          <m:rPr>
                            <m:sty m:val="p"/>
                          </m:rPr>
                          <m:t>,</m:t>
                        </m:r>
                        <m:r>
                          <w:rPr>
                            <w:rFonts w:ascii="Cambria Math" w:hAnsi="Cambria Math"/>
                            <w:sz w:val="22"/>
                          </w:rPr>
                          <m:t>k</m:t>
                        </m:r>
                      </m:sub>
                    </m:sSub>
                    <m:r>
                      <w:rPr>
                        <w:rFonts w:ascii="Cambria Math" w:hAnsi="Cambria Math"/>
                        <w:sz w:val="22"/>
                      </w:rPr>
                      <m:rPr>
                        <m:sty m:val="p"/>
                      </m:rPr>
                      <m:t>)</m:t>
                    </m:r>
                    <m:r>
                      <w:rPr>
                        <w:rFonts w:ascii="Cambria Math" w:hAnsi="Cambria Math"/>
                        <w:sz w:val="22"/>
                      </w:rPr>
                      <m:rPr>
                        <m:sty m:val="p"/>
                      </m:rPr>
                      <m:t>−</m:t>
                    </m:r>
                    <m:acc>
                      <m:accPr>
                        <m:chr m:val="‾"/>
                      </m:accPr>
                      <m:e>
                        <m:r>
                          <w:rPr>
                            <w:rFonts w:ascii="Cambria Math" w:hAnsi="Cambria Math"/>
                            <w:sz w:val="22"/>
                          </w:rPr>
                          <m:t>R</m:t>
                        </m:r>
                      </m:e>
                    </m:acc>
                    <m:r>
                      <w:rPr>
                        <w:rFonts w:ascii="Cambria Math" w:hAnsi="Cambria Math"/>
                        <w:sz w:val="22"/>
                      </w:rPr>
                      <m:rPr>
                        <m:sty m:val="p"/>
                      </m:rPr>
                      <m:t>(</m:t>
                    </m:r>
                    <m:sSub>
                      <m:e>
                        <m:r>
                          <w:rPr>
                            <w:rFonts w:ascii="Cambria Math" w:hAnsi="Cambria Math"/>
                            <w:sz w:val="22"/>
                          </w:rPr>
                          <m:t>f</m:t>
                        </m:r>
                      </m:e>
                      <m:sub>
                        <m:r>
                          <w:rPr>
                            <w:rFonts w:ascii="Cambria Math" w:hAnsi="Cambria Math"/>
                            <w:sz w:val="22"/>
                          </w:rPr>
                          <m:t>i</m:t>
                        </m:r>
                        <m:r>
                          <w:rPr>
                            <w:rFonts w:ascii="Cambria Math" w:hAnsi="Cambria Math"/>
                            <w:sz w:val="22"/>
                          </w:rPr>
                          <m:rPr>
                            <m:sty m:val="p"/>
                          </m:rPr>
                          <m:t>,</m:t>
                        </m:r>
                        <m:r>
                          <w:rPr>
                            <w:rFonts w:ascii="Cambria Math" w:hAnsi="Cambria Math"/>
                            <w:sz w:val="22"/>
                          </w:rPr>
                          <m:t>j</m:t>
                        </m:r>
                      </m:sub>
                    </m:sSub>
                    <m:r>
                      <w:rPr>
                        <w:rFonts w:ascii="Cambria Math" w:hAnsi="Cambria Math"/>
                        <w:sz w:val="22"/>
                      </w:rPr>
                      <m:rPr>
                        <m:sty m:val="p"/>
                      </m:rPr>
                      <m:t>)</m:t>
                    </m:r>
                  </m:e>
                </m:d>
              </m:e>
            </m:nary>
            <m:d>
              <m:dPr>
                <m:begChr m:val="("/>
                <m:sepChr m:val=""/>
                <m:endChr m:val=")"/>
                <m:grow/>
              </m:dPr>
              <m:e>
                <m:r>
                  <w:rPr>
                    <w:rFonts w:ascii="Cambria Math" w:hAnsi="Cambria Math"/>
                    <w:sz w:val="22"/>
                  </w:rPr>
                  <m:t>R</m:t>
                </m:r>
                <m:r>
                  <w:rPr>
                    <w:rFonts w:ascii="Cambria Math" w:hAnsi="Cambria Math"/>
                    <w:sz w:val="22"/>
                  </w:rPr>
                  <m:rPr>
                    <m:sty m:val="p"/>
                  </m:rPr>
                  <m:t>(</m:t>
                </m:r>
                <m:sSub>
                  <m:e>
                    <m:r>
                      <w:rPr>
                        <w:rFonts w:ascii="Cambria Math" w:hAnsi="Cambria Math"/>
                        <w:sz w:val="22"/>
                      </w:rPr>
                      <m:t>y</m:t>
                    </m:r>
                  </m:e>
                  <m:sub>
                    <m:r>
                      <w:rPr>
                        <w:rFonts w:ascii="Cambria Math" w:hAnsi="Cambria Math"/>
                        <w:sz w:val="22"/>
                      </w:rPr>
                      <m:t>j</m:t>
                    </m:r>
                    <m:r>
                      <w:rPr>
                        <w:rFonts w:ascii="Cambria Math" w:hAnsi="Cambria Math"/>
                        <w:sz w:val="22"/>
                      </w:rPr>
                      <m:rPr>
                        <m:sty m:val="p"/>
                      </m:rPr>
                      <m:t>,</m:t>
                    </m:r>
                    <m:r>
                      <w:rPr>
                        <w:rFonts w:ascii="Cambria Math" w:hAnsi="Cambria Math"/>
                        <w:sz w:val="22"/>
                      </w:rPr>
                      <m:t>k</m:t>
                    </m:r>
                  </m:sub>
                </m:sSub>
                <m:r>
                  <w:rPr>
                    <w:rFonts w:ascii="Cambria Math" w:hAnsi="Cambria Math"/>
                    <w:sz w:val="22"/>
                  </w:rPr>
                  <m:rPr>
                    <m:sty m:val="p"/>
                  </m:rPr>
                  <m:t>)</m:t>
                </m:r>
                <m:r>
                  <w:rPr>
                    <w:rFonts w:ascii="Cambria Math" w:hAnsi="Cambria Math"/>
                    <w:sz w:val="22"/>
                  </w:rPr>
                  <m:rPr>
                    <m:sty m:val="p"/>
                  </m:rPr>
                  <m:t>−</m:t>
                </m:r>
                <m:acc>
                  <m:accPr>
                    <m:chr m:val="‾"/>
                  </m:accPr>
                  <m:e>
                    <m:r>
                      <w:rPr>
                        <w:rFonts w:ascii="Cambria Math" w:hAnsi="Cambria Math"/>
                        <w:sz w:val="22"/>
                      </w:rPr>
                      <m:t>R</m:t>
                    </m:r>
                  </m:e>
                </m:acc>
                <m:r>
                  <w:rPr>
                    <w:rFonts w:ascii="Cambria Math" w:hAnsi="Cambria Math"/>
                    <w:sz w:val="22"/>
                  </w:rPr>
                  <m:rPr>
                    <m:sty m:val="p"/>
                  </m:rPr>
                  <m:t>(</m:t>
                </m:r>
                <m:sSub>
                  <m:e>
                    <m:r>
                      <w:rPr>
                        <w:rFonts w:ascii="Cambria Math" w:hAnsi="Cambria Math"/>
                        <w:sz w:val="22"/>
                      </w:rPr>
                      <m:t>y</m:t>
                    </m:r>
                  </m:e>
                  <m:sub>
                    <m:r>
                      <w:rPr>
                        <w:rFonts w:ascii="Cambria Math" w:hAnsi="Cambria Math"/>
                        <w:sz w:val="22"/>
                      </w:rPr>
                      <m:t>j</m:t>
                    </m:r>
                  </m:sub>
                </m:sSub>
                <m:r>
                  <w:rPr>
                    <w:rFonts w:ascii="Cambria Math" w:hAnsi="Cambria Math"/>
                    <w:sz w:val="22"/>
                  </w:rPr>
                  <m:rPr>
                    <m:sty m:val="p"/>
                  </m:rPr>
                  <m:t>)</m:t>
                </m:r>
              </m:e>
            </m:d>
          </m:num>
          <m:den>
            <m:rad>
              <m:radPr>
                <m:degHide m:val="on"/>
              </m:radPr>
              <m:deg/>
              <m:e>
                <m:nary>
                  <m:naryPr>
                    <m:chr m:val="∑"/>
                    <m:limLoc m:val="undOvr"/>
                    <m:subHide m:val="off"/>
                    <m:supHide m:val="off"/>
                  </m:naryPr>
                  <m:sub>
                    <m:r>
                      <w:rPr>
                        <w:rFonts w:ascii="Cambria Math" w:hAnsi="Cambria Math"/>
                        <w:sz w:val="22"/>
                      </w:rPr>
                      <m:t>k</m:t>
                    </m:r>
                    <m:r>
                      <w:rPr>
                        <w:rFonts w:ascii="Cambria Math" w:hAnsi="Cambria Math"/>
                        <w:sz w:val="22"/>
                      </w:rPr>
                      <m:rPr>
                        <m:sty m:val="p"/>
                      </m:rPr>
                      <m:t>=</m:t>
                    </m:r>
                    <m:r>
                      <w:rPr>
                        <w:rFonts w:ascii="Cambria Math" w:hAnsi="Cambria Math"/>
                        <w:sz w:val="22"/>
                      </w:rPr>
                      <m:t>1</m:t>
                    </m:r>
                  </m:sub>
                  <m:sup>
                    <m:sSub>
                      <m:e>
                        <m:r>
                          <w:rPr>
                            <w:rFonts w:ascii="Cambria Math" w:hAnsi="Cambria Math"/>
                            <w:sz w:val="22"/>
                          </w:rPr>
                          <m:t>n</m:t>
                        </m:r>
                      </m:e>
                      <m:sub>
                        <m:r>
                          <w:rPr>
                            <w:rFonts w:ascii="Cambria Math" w:hAnsi="Cambria Math"/>
                            <w:sz w:val="22"/>
                          </w:rPr>
                          <m:t>j</m:t>
                        </m:r>
                      </m:sub>
                    </m:sSub>
                  </m:sup>
                  <m:e>
                    <m:r>
                      <w:rPr>
                        <w:rFonts w:ascii="Cambria Math" w:hAnsi="Cambria Math"/>
                        <w:sz w:val="22"/>
                      </w:rPr>
                      <m:rPr>
                        <m:sty m:val="p"/>
                      </m:rPr>
                      <m:t>(</m:t>
                    </m:r>
                  </m:e>
                </m:nary>
                <m:r>
                  <w:rPr>
                    <w:rFonts w:ascii="Cambria Math" w:hAnsi="Cambria Math"/>
                    <w:sz w:val="22"/>
                  </w:rPr>
                  <m:t>R</m:t>
                </m:r>
                <m:r>
                  <w:rPr>
                    <w:rFonts w:ascii="Cambria Math" w:hAnsi="Cambria Math"/>
                    <w:sz w:val="22"/>
                  </w:rPr>
                  <m:rPr>
                    <m:sty m:val="p"/>
                  </m:rPr>
                  <m:t>(</m:t>
                </m:r>
                <m:sSub>
                  <m:e>
                    <m:r>
                      <w:rPr>
                        <w:rFonts w:ascii="Cambria Math" w:hAnsi="Cambria Math"/>
                        <w:sz w:val="22"/>
                      </w:rPr>
                      <m:t>f</m:t>
                    </m:r>
                  </m:e>
                  <m:sub>
                    <m:r>
                      <w:rPr>
                        <w:rFonts w:ascii="Cambria Math" w:hAnsi="Cambria Math"/>
                        <w:sz w:val="22"/>
                      </w:rPr>
                      <m:t>i</m:t>
                    </m:r>
                    <m:r>
                      <w:rPr>
                        <w:rFonts w:ascii="Cambria Math" w:hAnsi="Cambria Math"/>
                        <w:sz w:val="22"/>
                      </w:rPr>
                      <m:rPr>
                        <m:sty m:val="p"/>
                      </m:rPr>
                      <m:t>,</m:t>
                    </m:r>
                    <m:r>
                      <w:rPr>
                        <w:rFonts w:ascii="Cambria Math" w:hAnsi="Cambria Math"/>
                        <w:sz w:val="22"/>
                      </w:rPr>
                      <m:t>j</m:t>
                    </m:r>
                    <m:r>
                      <w:rPr>
                        <w:rFonts w:ascii="Cambria Math" w:hAnsi="Cambria Math"/>
                        <w:sz w:val="22"/>
                      </w:rPr>
                      <m:rPr>
                        <m:sty m:val="p"/>
                      </m:rPr>
                      <m:t>,</m:t>
                    </m:r>
                    <m:r>
                      <w:rPr>
                        <w:rFonts w:ascii="Cambria Math" w:hAnsi="Cambria Math"/>
                        <w:sz w:val="22"/>
                      </w:rPr>
                      <m:t>k</m:t>
                    </m:r>
                  </m:sub>
                </m:sSub>
                <m:r>
                  <w:rPr>
                    <w:rFonts w:ascii="Cambria Math" w:hAnsi="Cambria Math"/>
                    <w:sz w:val="22"/>
                  </w:rPr>
                  <m:rPr>
                    <m:sty m:val="p"/>
                  </m:rPr>
                  <m:t>)</m:t>
                </m:r>
                <m:r>
                  <w:rPr>
                    <w:rFonts w:ascii="Cambria Math" w:hAnsi="Cambria Math"/>
                    <w:sz w:val="22"/>
                  </w:rPr>
                  <m:rPr>
                    <m:sty m:val="p"/>
                  </m:rPr>
                  <m:t>−</m:t>
                </m:r>
                <m:acc>
                  <m:accPr>
                    <m:chr m:val="‾"/>
                  </m:accPr>
                  <m:e>
                    <m:r>
                      <w:rPr>
                        <w:rFonts w:ascii="Cambria Math" w:hAnsi="Cambria Math"/>
                        <w:sz w:val="22"/>
                      </w:rPr>
                      <m:t>R</m:t>
                    </m:r>
                  </m:e>
                </m:acc>
                <m:r>
                  <w:rPr>
                    <w:rFonts w:ascii="Cambria Math" w:hAnsi="Cambria Math"/>
                    <w:sz w:val="22"/>
                  </w:rPr>
                  <m:rPr>
                    <m:sty m:val="p"/>
                  </m:rPr>
                  <m:t>(</m:t>
                </m:r>
                <m:sSub>
                  <m:e>
                    <m:r>
                      <w:rPr>
                        <w:rFonts w:ascii="Cambria Math" w:hAnsi="Cambria Math"/>
                        <w:sz w:val="22"/>
                      </w:rPr>
                      <m:t>f</m:t>
                    </m:r>
                  </m:e>
                  <m:sub>
                    <m:r>
                      <w:rPr>
                        <w:rFonts w:ascii="Cambria Math" w:hAnsi="Cambria Math"/>
                        <w:sz w:val="22"/>
                      </w:rPr>
                      <m:t>i</m:t>
                    </m:r>
                    <m:r>
                      <w:rPr>
                        <w:rFonts w:ascii="Cambria Math" w:hAnsi="Cambria Math"/>
                        <w:sz w:val="22"/>
                      </w:rPr>
                      <m:rPr>
                        <m:sty m:val="p"/>
                      </m:rPr>
                      <m:t>,</m:t>
                    </m:r>
                    <m:r>
                      <w:rPr>
                        <w:rFonts w:ascii="Cambria Math" w:hAnsi="Cambria Math"/>
                        <w:sz w:val="22"/>
                      </w:rPr>
                      <m:t>j</m:t>
                    </m:r>
                  </m:sub>
                </m:sSub>
                <m:r>
                  <w:rPr>
                    <w:rFonts w:ascii="Cambria Math" w:hAnsi="Cambria Math"/>
                    <w:sz w:val="22"/>
                  </w:rPr>
                  <m:rPr>
                    <m:sty m:val="p"/>
                  </m:rPr>
                  <m:t>)</m:t>
                </m:r>
                <m:sSup>
                  <m:e>
                    <m:r>
                      <w:rPr>
                        <w:rFonts w:ascii="Cambria Math" w:hAnsi="Cambria Math"/>
                        <w:sz w:val="22"/>
                      </w:rPr>
                      <m:rPr>
                        <m:sty m:val="p"/>
                      </m:rPr>
                      <m:t>)</m:t>
                    </m:r>
                  </m:e>
                  <m:sup>
                    <m:r>
                      <w:rPr>
                        <w:rFonts w:ascii="Cambria Math" w:hAnsi="Cambria Math"/>
                        <w:sz w:val="22"/>
                      </w:rPr>
                      <m:t>2</m:t>
                    </m:r>
                  </m:sup>
                </m:sSup>
                <m:nary>
                  <m:naryPr>
                    <m:chr m:val="∑"/>
                    <m:limLoc m:val="undOvr"/>
                    <m:subHide m:val="off"/>
                    <m:supHide m:val="off"/>
                  </m:naryPr>
                  <m:sub>
                    <m:r>
                      <w:rPr>
                        <w:rFonts w:ascii="Cambria Math" w:hAnsi="Cambria Math"/>
                        <w:sz w:val="22"/>
                      </w:rPr>
                      <m:t>k</m:t>
                    </m:r>
                    <m:r>
                      <w:rPr>
                        <w:rFonts w:ascii="Cambria Math" w:hAnsi="Cambria Math"/>
                        <w:sz w:val="22"/>
                      </w:rPr>
                      <m:rPr>
                        <m:sty m:val="p"/>
                      </m:rPr>
                      <m:t>=</m:t>
                    </m:r>
                    <m:r>
                      <w:rPr>
                        <w:rFonts w:ascii="Cambria Math" w:hAnsi="Cambria Math"/>
                        <w:sz w:val="22"/>
                      </w:rPr>
                      <m:t>1</m:t>
                    </m:r>
                  </m:sub>
                  <m:sup>
                    <m:sSub>
                      <m:e>
                        <m:r>
                          <w:rPr>
                            <w:rFonts w:ascii="Cambria Math" w:hAnsi="Cambria Math"/>
                            <w:sz w:val="22"/>
                          </w:rPr>
                          <m:t>n</m:t>
                        </m:r>
                      </m:e>
                      <m:sub>
                        <m:r>
                          <w:rPr>
                            <w:rFonts w:ascii="Cambria Math" w:hAnsi="Cambria Math"/>
                            <w:sz w:val="22"/>
                          </w:rPr>
                          <m:t>j</m:t>
                        </m:r>
                      </m:sub>
                    </m:sSub>
                  </m:sup>
                  <m:e>
                    <m:r>
                      <w:rPr>
                        <w:rFonts w:ascii="Cambria Math" w:hAnsi="Cambria Math"/>
                        <w:sz w:val="22"/>
                      </w:rPr>
                      <m:rPr>
                        <m:sty m:val="p"/>
                      </m:rPr>
                      <m:t>(</m:t>
                    </m:r>
                  </m:e>
                </m:nary>
                <m:r>
                  <w:rPr>
                    <w:rFonts w:ascii="Cambria Math" w:hAnsi="Cambria Math"/>
                    <w:sz w:val="22"/>
                  </w:rPr>
                  <m:t>R</m:t>
                </m:r>
                <m:r>
                  <w:rPr>
                    <w:rFonts w:ascii="Cambria Math" w:hAnsi="Cambria Math"/>
                    <w:sz w:val="22"/>
                  </w:rPr>
                  <m:rPr>
                    <m:sty m:val="p"/>
                  </m:rPr>
                  <m:t>(</m:t>
                </m:r>
                <m:sSub>
                  <m:e>
                    <m:r>
                      <w:rPr>
                        <w:rFonts w:ascii="Cambria Math" w:hAnsi="Cambria Math"/>
                        <w:sz w:val="22"/>
                      </w:rPr>
                      <m:t>y</m:t>
                    </m:r>
                  </m:e>
                  <m:sub>
                    <m:r>
                      <w:rPr>
                        <w:rFonts w:ascii="Cambria Math" w:hAnsi="Cambria Math"/>
                        <w:sz w:val="22"/>
                      </w:rPr>
                      <m:t>j</m:t>
                    </m:r>
                    <m:r>
                      <w:rPr>
                        <w:rFonts w:ascii="Cambria Math" w:hAnsi="Cambria Math"/>
                        <w:sz w:val="22"/>
                      </w:rPr>
                      <m:rPr>
                        <m:sty m:val="p"/>
                      </m:rPr>
                      <m:t>,</m:t>
                    </m:r>
                    <m:r>
                      <w:rPr>
                        <w:rFonts w:ascii="Cambria Math" w:hAnsi="Cambria Math"/>
                        <w:sz w:val="22"/>
                      </w:rPr>
                      <m:t>k</m:t>
                    </m:r>
                  </m:sub>
                </m:sSub>
                <m:r>
                  <w:rPr>
                    <w:rFonts w:ascii="Cambria Math" w:hAnsi="Cambria Math"/>
                    <w:sz w:val="22"/>
                  </w:rPr>
                  <m:rPr>
                    <m:sty m:val="p"/>
                  </m:rPr>
                  <m:t>)</m:t>
                </m:r>
                <m:r>
                  <w:rPr>
                    <w:rFonts w:ascii="Cambria Math" w:hAnsi="Cambria Math"/>
                    <w:sz w:val="22"/>
                  </w:rPr>
                  <m:rPr>
                    <m:sty m:val="p"/>
                  </m:rPr>
                  <m:t>−</m:t>
                </m:r>
                <m:acc>
                  <m:accPr>
                    <m:chr m:val="‾"/>
                  </m:accPr>
                  <m:e>
                    <m:r>
                      <w:rPr>
                        <w:rFonts w:ascii="Cambria Math" w:hAnsi="Cambria Math"/>
                        <w:sz w:val="22"/>
                      </w:rPr>
                      <m:t>R</m:t>
                    </m:r>
                  </m:e>
                </m:acc>
                <m:r>
                  <w:rPr>
                    <w:rFonts w:ascii="Cambria Math" w:hAnsi="Cambria Math"/>
                    <w:sz w:val="22"/>
                  </w:rPr>
                  <m:rPr>
                    <m:sty m:val="p"/>
                  </m:rPr>
                  <m:t>(</m:t>
                </m:r>
                <m:sSub>
                  <m:e>
                    <m:r>
                      <w:rPr>
                        <w:rFonts w:ascii="Cambria Math" w:hAnsi="Cambria Math"/>
                        <w:sz w:val="22"/>
                      </w:rPr>
                      <m:t>y</m:t>
                    </m:r>
                  </m:e>
                  <m:sub>
                    <m:r>
                      <w:rPr>
                        <w:rFonts w:ascii="Cambria Math" w:hAnsi="Cambria Math"/>
                        <w:sz w:val="22"/>
                      </w:rPr>
                      <m:t>j</m:t>
                    </m:r>
                  </m:sub>
                </m:sSub>
                <m:r>
                  <w:rPr>
                    <w:rFonts w:ascii="Cambria Math" w:hAnsi="Cambria Math"/>
                    <w:sz w:val="22"/>
                  </w:rPr>
                  <m:rPr>
                    <m:sty m:val="p"/>
                  </m:rPr>
                  <m:t>)</m:t>
                </m:r>
                <m:sSup>
                  <m:e>
                    <m:r>
                      <w:rPr>
                        <w:rFonts w:ascii="Cambria Math" w:hAnsi="Cambria Math"/>
                        <w:sz w:val="22"/>
                      </w:rPr>
                      <m:rPr>
                        <m:sty m:val="p"/>
                      </m:rPr>
                      <m:t>)</m:t>
                    </m:r>
                  </m:e>
                  <m:sup>
                    <m:r>
                      <w:rPr>
                        <w:rFonts w:ascii="Cambria Math" w:hAnsi="Cambria Math"/>
                        <w:sz w:val="22"/>
                      </w:rPr>
                      <m:t>2</m:t>
                    </m:r>
                  </m:sup>
                </m:sSup>
              </m:e>
            </m:rad>
          </m:den>
        </m:f>
        <m:r>
          <w:rPr>
            <w:rFonts w:ascii="Cambria Math" w:hAnsi="Cambria Math"/>
            <w:sz w:val="22"/>
          </w:rPr>
          <m:rPr>
            <m:sty m:val="p"/>
          </m:rPr>
          <m:t>,</m:t>
        </m:r>
      </m:oMath>
      <w:r>
        <w:tab/>
        <w:t>(9)</w:t>
      </w:r>
      <w:bookmarkEnd w:id="1016"/>
    </w:p>
    <w:p>
      <w:pPr>
        <w:pStyle w:val="BodyText"/>
      </w:pPr>
      <w:r>
        <w:rPr>
          <w:rFonts w:hint="eastAsia"/>
        </w:rPr>
        <w:t xml:space="preserve">式中，</w:t>
      </w:r>
      <m:oMath>
        <m:sSub>
          <m:e>
            <m:r>
              <w:rPr>
                <w:rFonts w:ascii="Cambria Math" w:hAnsi="Cambria Math"/>
                <w:sz w:val="22"/>
              </w:rPr>
              <m:t>f</m:t>
            </m:r>
          </m:e>
          <m:sub>
            <m:r>
              <w:rPr>
                <w:rFonts w:ascii="Cambria Math" w:hAnsi="Cambria Math"/>
                <w:sz w:val="22"/>
              </w:rPr>
              <m:t>i</m:t>
            </m:r>
            <m:r>
              <w:rPr>
                <w:rFonts w:ascii="Cambria Math" w:hAnsi="Cambria Math"/>
                <w:sz w:val="22"/>
              </w:rPr>
              <m:rPr>
                <m:sty m:val="p"/>
              </m:rPr>
              <m:t>,</m:t>
            </m:r>
            <m:r>
              <w:rPr>
                <w:rFonts w:ascii="Cambria Math" w:hAnsi="Cambria Math"/>
                <w:sz w:val="22"/>
              </w:rPr>
              <m:t>j</m:t>
            </m:r>
            <m:r>
              <w:rPr>
                <w:rFonts w:ascii="Cambria Math" w:hAnsi="Cambria Math"/>
                <w:sz w:val="22"/>
              </w:rPr>
              <m:rPr>
                <m:sty m:val="p"/>
              </m:rPr>
              <m:t>,</m:t>
            </m:r>
            <m:r>
              <w:rPr>
                <w:rFonts w:ascii="Cambria Math" w:hAnsi="Cambria Math"/>
                <w:sz w:val="22"/>
              </w:rPr>
              <m:t>k</m:t>
            </m:r>
          </m:sub>
        </m:sSub>
      </m:oMath>
      <w:r>
        <w:t xml:space="preserve"> </w:t>
      </w:r>
      <w:r>
        <w:rPr>
          <w:rFonts w:hint="eastAsia"/>
        </w:rPr>
        <w:t xml:space="preserve">表示第</w:t>
      </w:r>
      <w:r>
        <w:t xml:space="preserve"> </w:t>
      </w:r>
      <m:oMath>
        <m:r>
          <w:rPr>
            <w:rFonts w:ascii="Cambria Math" w:hAnsi="Cambria Math"/>
            <w:sz w:val="22"/>
          </w:rPr>
          <m:t>j</m:t>
        </m:r>
      </m:oMath>
      <w:r>
        <w:t xml:space="preserve"> </w:t>
      </w:r>
      <w:r>
        <w:rPr>
          <w:rFonts w:hint="eastAsia"/>
        </w:rPr>
        <w:t xml:space="preserve">节电池在第</w:t>
      </w:r>
      <w:r>
        <w:t xml:space="preserve"> </w:t>
      </w:r>
      <m:oMath>
        <m:r>
          <w:rPr>
            <w:rFonts w:ascii="Cambria Math" w:hAnsi="Cambria Math"/>
            <w:sz w:val="22"/>
          </w:rPr>
          <m:t>k</m:t>
        </m:r>
      </m:oMath>
      <w:r>
        <w:t xml:space="preserve"> </w:t>
      </w:r>
      <w:r>
        <w:rPr>
          <w:rFonts w:hint="eastAsia"/>
        </w:rPr>
        <w:t xml:space="preserve">个循环由第</w:t>
      </w:r>
      <w:r>
        <w:t xml:space="preserve"> </w:t>
      </w:r>
      <m:oMath>
        <m:r>
          <w:rPr>
            <w:rFonts w:ascii="Cambria Math" w:hAnsi="Cambria Math"/>
            <w:sz w:val="22"/>
          </w:rPr>
          <m:t>i</m:t>
        </m:r>
      </m:oMath>
      <w:r>
        <w:t xml:space="preserve"> </w:t>
      </w:r>
      <w:r>
        <w:rPr>
          <w:rFonts w:hint="eastAsia"/>
        </w:rPr>
        <w:t xml:space="preserve">个候选窗口提取的</w:t>
      </w:r>
      <w:r>
        <w:t xml:space="preserve"> </w:t>
      </w:r>
      <w:r>
        <w:rPr>
          <w:rFonts w:hint="eastAsia"/>
        </w:rPr>
        <w:t xml:space="preserve">CCCT，</w:t>
      </w:r>
      <m:oMath>
        <m:sSub>
          <m:e>
            <m:r>
              <w:rPr>
                <w:rFonts w:ascii="Cambria Math" w:hAnsi="Cambria Math"/>
                <w:sz w:val="22"/>
              </w:rPr>
              <m:t>y</m:t>
            </m:r>
          </m:e>
          <m:sub>
            <m:r>
              <w:rPr>
                <w:rFonts w:ascii="Cambria Math" w:hAnsi="Cambria Math"/>
                <w:sz w:val="22"/>
              </w:rPr>
              <m:t>j</m:t>
            </m:r>
            <m:r>
              <w:rPr>
                <w:rFonts w:ascii="Cambria Math" w:hAnsi="Cambria Math"/>
                <w:sz w:val="22"/>
              </w:rPr>
              <m:rPr>
                <m:sty m:val="p"/>
              </m:rPr>
              <m:t>,</m:t>
            </m:r>
            <m:r>
              <w:rPr>
                <w:rFonts w:ascii="Cambria Math" w:hAnsi="Cambria Math"/>
                <w:sz w:val="22"/>
              </w:rPr>
              <m:t>k</m:t>
            </m:r>
          </m:sub>
        </m:sSub>
      </m:oMath>
      <w:r>
        <w:t xml:space="preserve"> </w:t>
      </w:r>
      <w:r>
        <w:rPr>
          <w:rFonts w:hint="eastAsia"/>
        </w:rPr>
        <w:t xml:space="preserve">为对应循环的</w:t>
      </w:r>
      <w:r>
        <w:t xml:space="preserve"> </w:t>
      </w:r>
      <w:r>
        <w:rPr>
          <w:rFonts w:hint="eastAsia"/>
        </w:rPr>
        <w:t xml:space="preserve">SOH，</w:t>
      </w:r>
      <m:oMath>
        <m:sSub>
          <m:e>
            <m:r>
              <w:rPr>
                <w:rFonts w:ascii="Cambria Math" w:hAnsi="Cambria Math"/>
                <w:sz w:val="22"/>
              </w:rPr>
              <m:t>n</m:t>
            </m:r>
          </m:e>
          <m:sub>
            <m:r>
              <w:rPr>
                <w:rFonts w:ascii="Cambria Math" w:hAnsi="Cambria Math"/>
                <w:sz w:val="22"/>
              </w:rPr>
              <m:t>j</m:t>
            </m:r>
          </m:sub>
        </m:sSub>
      </m:oMath>
      <w:r>
        <w:t xml:space="preserve"> </w:t>
      </w:r>
      <w:r>
        <w:rPr>
          <w:rFonts w:hint="eastAsia"/>
        </w:rPr>
        <w:t xml:space="preserve">为该电池的有效循环数；</w:t>
      </w:r>
      <m:oMath>
        <m:sSub>
          <m:e>
            <m:acc>
              <m:accPr>
                <m:chr m:val="‾"/>
              </m:accPr>
              <m:e>
                <m:r>
                  <w:rPr>
                    <w:rFonts w:ascii="Cambria Math" w:hAnsi="Cambria Math"/>
                    <w:sz w:val="22"/>
                  </w:rPr>
                  <m:t>f</m:t>
                </m:r>
              </m:e>
            </m:acc>
          </m:e>
          <m:sub>
            <m:r>
              <w:rPr>
                <w:rFonts w:ascii="Cambria Math" w:hAnsi="Cambria Math"/>
                <w:sz w:val="22"/>
              </w:rPr>
              <m:t>i</m:t>
            </m:r>
            <m:r>
              <w:rPr>
                <w:rFonts w:ascii="Cambria Math" w:hAnsi="Cambria Math"/>
                <w:sz w:val="22"/>
              </w:rPr>
              <m:rPr>
                <m:sty m:val="p"/>
              </m:rPr>
              <m:t>,</m:t>
            </m:r>
            <m:r>
              <w:rPr>
                <w:rFonts w:ascii="Cambria Math" w:hAnsi="Cambria Math"/>
                <w:sz w:val="22"/>
              </w:rPr>
              <m:t>j</m:t>
            </m:r>
          </m:sub>
        </m:sSub>
      </m:oMath>
      <w:r>
        <w:t xml:space="preserve"> </w:t>
      </w:r>
      <w:r>
        <w:rPr>
          <w:rFonts w:hint="eastAsia"/>
        </w:rPr>
        <w:t xml:space="preserve">和</w:t>
      </w:r>
      <w:r>
        <w:t xml:space="preserve"> </w:t>
      </w:r>
      <m:oMath>
        <m:sSub>
          <m:e>
            <m:acc>
              <m:accPr>
                <m:chr m:val="‾"/>
              </m:accPr>
              <m:e>
                <m:r>
                  <w:rPr>
                    <w:rFonts w:ascii="Cambria Math" w:hAnsi="Cambria Math"/>
                    <w:sz w:val="22"/>
                  </w:rPr>
                  <m:t>y</m:t>
                </m:r>
              </m:e>
            </m:acc>
          </m:e>
          <m:sub>
            <m:r>
              <w:rPr>
                <w:rFonts w:ascii="Cambria Math" w:hAnsi="Cambria Math"/>
                <w:sz w:val="22"/>
              </w:rPr>
              <m:t>j</m:t>
            </m:r>
          </m:sub>
        </m:sSub>
      </m:oMath>
      <w:r>
        <w:t xml:space="preserve"> </w:t>
      </w:r>
      <w:r>
        <w:rPr>
          <w:rFonts w:hint="eastAsia"/>
        </w:rPr>
        <w:t xml:space="preserve">分别为</w:t>
      </w:r>
      <w:r>
        <w:t xml:space="preserve"> CCCT </w:t>
      </w:r>
      <w:r>
        <w:rPr>
          <w:rFonts w:hint="eastAsia"/>
        </w:rPr>
        <w:t xml:space="preserve">与</w:t>
      </w:r>
      <w:r>
        <w:t xml:space="preserve"> SOH </w:t>
      </w:r>
      <w:r>
        <w:rPr>
          <w:rFonts w:hint="eastAsia"/>
        </w:rPr>
        <w:t xml:space="preserve">的均值，</w:t>
      </w:r>
      <m:oMath>
        <m:r>
          <w:rPr>
            <w:rFonts w:ascii="Cambria Math" w:hAnsi="Cambria Math"/>
            <w:sz w:val="22"/>
          </w:rPr>
          <m:t>R</m:t>
        </m:r>
        <m:r>
          <w:rPr>
            <w:rFonts w:ascii="Cambria Math" w:hAnsi="Cambria Math"/>
            <w:sz w:val="22"/>
          </w:rPr>
          <m:rPr>
            <m:sty m:val="p"/>
          </m:rPr>
          <m:t>(</m:t>
        </m:r>
        <m:r>
          <w:rPr>
            <w:rFonts w:ascii="Cambria Math" w:hAnsi="Cambria Math"/>
            <w:sz w:val="22"/>
          </w:rPr>
          <m:rPr>
            <m:sty m:val="p"/>
          </m:rPr>
          <m:t>⋅</m:t>
        </m:r>
        <m:r>
          <w:rPr>
            <w:rFonts w:ascii="Cambria Math" w:hAnsi="Cambria Math"/>
            <w:sz w:val="22"/>
          </w:rPr>
          <m:rPr>
            <m:sty m:val="p"/>
          </m:rPr>
          <m:t>)</m:t>
        </m:r>
      </m:oMath>
      <w:r>
        <w:t xml:space="preserve"> </w:t>
      </w:r>
      <w:r>
        <w:rPr>
          <w:rFonts w:hint="eastAsia"/>
        </w:rPr>
        <w:t xml:space="preserve">表示取秩操作。PCC</w:t>
      </w:r>
      <w:r>
        <w:t xml:space="preserve"> </w:t>
      </w:r>
      <w:r>
        <w:rPr>
          <w:rFonts w:hint="eastAsia"/>
        </w:rPr>
        <w:t xml:space="preserve">和</w:t>
      </w:r>
      <w:r>
        <w:t xml:space="preserve"> SCC </w:t>
      </w:r>
      <w:r>
        <w:rPr>
          <w:rFonts w:hint="eastAsia"/>
        </w:rPr>
        <w:t xml:space="preserve">的取值范围均为</w:t>
      </w:r>
      <w:r>
        <w:t xml:space="preserve"> </w:t>
      </w:r>
      <m:oMath>
        <m:r>
          <w:rPr>
            <w:rFonts w:ascii="Cambria Math" w:hAnsi="Cambria Math"/>
            <w:sz w:val="22"/>
          </w:rPr>
          <m:rPr>
            <m:sty m:val="p"/>
          </m:rPr>
          <m:t>−</m:t>
        </m:r>
        <m:r>
          <w:rPr>
            <w:rFonts w:ascii="Cambria Math" w:hAnsi="Cambria Math"/>
            <w:sz w:val="22"/>
          </w:rPr>
          <m:t>1</m:t>
        </m:r>
      </m:oMath>
      <w:r>
        <w:t xml:space="preserve"> </w:t>
      </w:r>
      <w:r>
        <w:rPr>
          <w:rFonts w:hint="eastAsia"/>
        </w:rPr>
        <w:t xml:space="preserve">至</w:t>
      </w:r>
      <w:r>
        <w:t xml:space="preserve"> </w:t>
      </w:r>
      <m:oMath>
        <m:r>
          <w:rPr>
            <w:rFonts w:ascii="Cambria Math" w:hAnsi="Cambria Math"/>
            <w:sz w:val="22"/>
          </w:rPr>
          <m:t>1</m:t>
        </m:r>
      </m:oMath>
      <w:r>
        <w:rPr>
          <w:rFonts w:hint="eastAsia"/>
        </w:rPr>
        <w:t xml:space="preserve">，其绝对值越接近</w:t>
      </w:r>
      <w:r>
        <w:t xml:space="preserve"> </w:t>
      </w:r>
      <m:oMath>
        <m:r>
          <w:rPr>
            <w:rFonts w:ascii="Cambria Math" w:hAnsi="Cambria Math"/>
            <w:sz w:val="22"/>
          </w:rPr>
          <m:t>1</m:t>
        </m:r>
      </m:oMath>
      <w:r>
        <w:rPr>
          <w:rFonts w:hint="eastAsia"/>
        </w:rPr>
        <w:t xml:space="preserve">，表示相关性越强。</w:t>
      </w:r>
    </w:p>
    <w:p>
      <w:pPr>
        <w:pStyle w:val="BodyText"/>
      </w:pPr>
      <w:r>
        <w:rPr>
          <w:rFonts w:hint="eastAsia"/>
        </w:rPr>
        <w:t xml:space="preserve">为综合候选窗口在两节电池上的相关性表现，分别取其在集合</w:t>
      </w:r>
      <w:r>
        <w:t xml:space="preserve"> </w:t>
      </w:r>
      <m:oMath>
        <m:r>
          <w:rPr>
            <w:rFonts w:ascii="Cambria Math" w:hAnsi="Cambria Math"/>
            <w:sz w:val="22"/>
          </w:rPr>
          <m:rPr>
            <m:scr m:val="script"/>
            <m:sty m:val="p"/>
          </m:rPr>
          <m:t>B</m:t>
        </m:r>
      </m:oMath>
      <w:r>
        <w:t xml:space="preserve"> </w:t>
      </w:r>
      <w:r>
        <w:rPr>
          <w:rFonts w:hint="eastAsia"/>
        </w:rPr>
        <w:t xml:space="preserve">中的最小绝对</w:t>
      </w:r>
      <w:r>
        <w:t xml:space="preserve"> PCC </w:t>
      </w:r>
      <w:r>
        <w:rPr>
          <w:rFonts w:hint="eastAsia"/>
        </w:rPr>
        <w:t xml:space="preserve">和最小绝对</w:t>
      </w:r>
      <w:r>
        <w:t xml:space="preserve"> </w:t>
      </w:r>
      <w:r>
        <w:rPr>
          <w:rFonts w:hint="eastAsia"/>
        </w:rPr>
        <w:t xml:space="preserve">SCC：</w:t>
      </w:r>
    </w:p>
    <w:p>
      <w:pPr>
        <w:pStyle w:val="BodyText"/>
      </w:pPr>
      <m:oMathPara>
        <m:oMathParaPr>
          <m:jc m:val="center"/>
        </m:oMathParaPr>
        <m:oMath>
          <m:r>
            <w:rPr>
              <w:rFonts w:ascii="Cambria Math" w:hAnsi="Cambria Math"/>
              <w:sz w:val="22"/>
            </w:rPr>
            <m:t>m</m:t>
          </m:r>
          <m:r>
            <w:rPr>
              <w:rFonts w:ascii="Cambria Math" w:hAnsi="Cambria Math"/>
              <w:sz w:val="22"/>
            </w:rPr>
            <m:t>P</m:t>
          </m:r>
          <m:r>
            <w:rPr>
              <w:rFonts w:ascii="Cambria Math" w:hAnsi="Cambria Math"/>
              <w:sz w:val="22"/>
            </w:rPr>
            <m:t>C</m:t>
          </m:r>
          <m:sSub>
            <m:e>
              <m:r>
                <w:rPr>
                  <w:rFonts w:ascii="Cambria Math" w:hAnsi="Cambria Math"/>
                  <w:sz w:val="22"/>
                </w:rPr>
                <m:t>C</m:t>
              </m:r>
            </m:e>
            <m:sub>
              <m:r>
                <w:rPr>
                  <w:rFonts w:ascii="Cambria Math" w:hAnsi="Cambria Math"/>
                  <w:sz w:val="22"/>
                </w:rPr>
                <m:t>i</m:t>
              </m:r>
            </m:sub>
          </m:sSub>
          <m:r>
            <w:rPr>
              <w:rFonts w:ascii="Cambria Math" w:hAnsi="Cambria Math"/>
              <w:sz w:val="22"/>
            </w:rPr>
            <m:rPr>
              <m:sty m:val="p"/>
            </m:rPr>
            <m:t>=</m:t>
          </m:r>
          <m:limLow>
            <m:e>
              <m:r>
                <w:rPr>
                  <w:rFonts w:ascii="Cambria Math" w:hAnsi="Cambria Math"/>
                  <w:sz w:val="22"/>
                </w:rPr>
                <m:rPr>
                  <m:sty m:val="p"/>
                </m:rPr>
                <m:t>min</m:t>
              </m:r>
            </m:e>
            <m:lim>
              <m:r>
                <w:rPr>
                  <w:rFonts w:ascii="Cambria Math" w:hAnsi="Cambria Math"/>
                  <w:sz w:val="22"/>
                </w:rPr>
                <m:t>j</m:t>
              </m:r>
              <m:r>
                <w:rPr>
                  <w:rFonts w:ascii="Cambria Math" w:hAnsi="Cambria Math"/>
                  <w:sz w:val="22"/>
                </w:rPr>
                <m:rPr>
                  <m:sty m:val="p"/>
                </m:rPr>
                <m:t>∈</m:t>
              </m:r>
              <m:r>
                <w:rPr>
                  <w:rFonts w:ascii="Cambria Math" w:hAnsi="Cambria Math"/>
                  <w:sz w:val="22"/>
                </w:rPr>
                <m:rPr>
                  <m:scr m:val="script"/>
                  <m:sty m:val="p"/>
                </m:rPr>
                <m:t>B</m:t>
              </m:r>
            </m:lim>
          </m:limLow>
          <m:r>
            <w:rPr>
              <w:rFonts w:ascii="Cambria Math" w:hAnsi="Cambria Math"/>
              <w:sz w:val="22"/>
            </w:rPr>
            <m:rPr>
              <m:sty m:val="p"/>
            </m:rPr>
            <m:t>|</m:t>
          </m:r>
          <m:sSub>
            <m:e>
              <m:r>
                <w:rPr>
                  <w:rFonts w:ascii="Cambria Math" w:hAnsi="Cambria Math"/>
                  <w:sz w:val="22"/>
                </w:rPr>
                <m:t>γ</m:t>
              </m:r>
            </m:e>
            <m:sub>
              <m:r>
                <w:rPr>
                  <w:rFonts w:ascii="Cambria Math" w:hAnsi="Cambria Math"/>
                  <w:sz w:val="22"/>
                </w:rPr>
                <m:t>i</m:t>
              </m:r>
              <m:r>
                <w:rPr>
                  <w:rFonts w:ascii="Cambria Math" w:hAnsi="Cambria Math"/>
                  <w:sz w:val="22"/>
                </w:rPr>
                <m:rPr>
                  <m:sty m:val="p"/>
                </m:rPr>
                <m:t>,</m:t>
              </m:r>
              <m:r>
                <w:rPr>
                  <w:rFonts w:ascii="Cambria Math" w:hAnsi="Cambria Math"/>
                  <w:sz w:val="22"/>
                </w:rPr>
                <m:t>j</m:t>
              </m:r>
            </m:sub>
          </m:sSub>
          <m:r>
            <w:rPr>
              <w:rFonts w:ascii="Cambria Math" w:hAnsi="Cambria Math"/>
              <w:sz w:val="22"/>
            </w:rPr>
            <m:rPr>
              <m:sty m:val="p"/>
            </m:rPr>
            <m:t>|</m:t>
          </m:r>
          <m:r>
            <w:rPr>
              <w:rFonts w:ascii="Cambria Math" w:hAnsi="Cambria Math"/>
              <w:sz w:val="22"/>
            </w:rPr>
            <m:rPr>
              <m:sty m:val="p"/>
            </m:rPr>
            <m:t>,</m:t>
          </m:r>
          <m:r>
            <w:rPr>
              <w:rFonts w:ascii="Cambria Math" w:hAnsi="Cambria Math"/>
              <w:sz w:val="22"/>
            </w:rPr>
            <m:t>  </m:t>
          </m:r>
          <m:r>
            <w:rPr>
              <w:rFonts w:ascii="Cambria Math" w:hAnsi="Cambria Math"/>
              <w:sz w:val="22"/>
            </w:rPr>
            <m:t>m</m:t>
          </m:r>
          <m:r>
            <w:rPr>
              <w:rFonts w:ascii="Cambria Math" w:hAnsi="Cambria Math"/>
              <w:sz w:val="22"/>
            </w:rPr>
            <m:t>S</m:t>
          </m:r>
          <m:r>
            <w:rPr>
              <w:rFonts w:ascii="Cambria Math" w:hAnsi="Cambria Math"/>
              <w:sz w:val="22"/>
            </w:rPr>
            <m:t>C</m:t>
          </m:r>
          <m:sSub>
            <m:e>
              <m:r>
                <w:rPr>
                  <w:rFonts w:ascii="Cambria Math" w:hAnsi="Cambria Math"/>
                  <w:sz w:val="22"/>
                </w:rPr>
                <m:t>C</m:t>
              </m:r>
            </m:e>
            <m:sub>
              <m:r>
                <w:rPr>
                  <w:rFonts w:ascii="Cambria Math" w:hAnsi="Cambria Math"/>
                  <w:sz w:val="22"/>
                </w:rPr>
                <m:t>i</m:t>
              </m:r>
            </m:sub>
          </m:sSub>
          <m:r>
            <w:rPr>
              <w:rFonts w:ascii="Cambria Math" w:hAnsi="Cambria Math"/>
              <w:sz w:val="22"/>
            </w:rPr>
            <m:rPr>
              <m:sty m:val="p"/>
            </m:rPr>
            <m:t>=</m:t>
          </m:r>
          <m:limLow>
            <m:e>
              <m:r>
                <w:rPr>
                  <w:rFonts w:ascii="Cambria Math" w:hAnsi="Cambria Math"/>
                  <w:sz w:val="22"/>
                </w:rPr>
                <m:rPr>
                  <m:sty m:val="p"/>
                </m:rPr>
                <m:t>min</m:t>
              </m:r>
            </m:e>
            <m:lim>
              <m:r>
                <w:rPr>
                  <w:rFonts w:ascii="Cambria Math" w:hAnsi="Cambria Math"/>
                  <w:sz w:val="22"/>
                </w:rPr>
                <m:t>j</m:t>
              </m:r>
              <m:r>
                <w:rPr>
                  <w:rFonts w:ascii="Cambria Math" w:hAnsi="Cambria Math"/>
                  <w:sz w:val="22"/>
                </w:rPr>
                <m:rPr>
                  <m:sty m:val="p"/>
                </m:rPr>
                <m:t>∈</m:t>
              </m:r>
              <m:r>
                <w:rPr>
                  <w:rFonts w:ascii="Cambria Math" w:hAnsi="Cambria Math"/>
                  <w:sz w:val="22"/>
                </w:rPr>
                <m:rPr>
                  <m:scr m:val="script"/>
                  <m:sty m:val="p"/>
                </m:rPr>
                <m:t>B</m:t>
              </m:r>
            </m:lim>
          </m:limLow>
          <m:r>
            <w:rPr>
              <w:rFonts w:ascii="Cambria Math" w:hAnsi="Cambria Math"/>
              <w:sz w:val="22"/>
            </w:rPr>
            <m:rPr>
              <m:sty m:val="p"/>
            </m:rPr>
            <m:t>|</m:t>
          </m:r>
          <m:sSub>
            <m:e>
              <m:r>
                <w:rPr>
                  <w:rFonts w:ascii="Cambria Math" w:hAnsi="Cambria Math"/>
                  <w:sz w:val="22"/>
                </w:rPr>
                <m:t>ρ</m:t>
              </m:r>
            </m:e>
            <m:sub>
              <m:r>
                <w:rPr>
                  <w:rFonts w:ascii="Cambria Math" w:hAnsi="Cambria Math"/>
                  <w:sz w:val="22"/>
                </w:rPr>
                <m:t>i</m:t>
              </m:r>
              <m:r>
                <w:rPr>
                  <w:rFonts w:ascii="Cambria Math" w:hAnsi="Cambria Math"/>
                  <w:sz w:val="22"/>
                </w:rPr>
                <m:rPr>
                  <m:sty m:val="p"/>
                </m:rPr>
                <m:t>,</m:t>
              </m:r>
              <m:r>
                <w:rPr>
                  <w:rFonts w:ascii="Cambria Math" w:hAnsi="Cambria Math"/>
                  <w:sz w:val="22"/>
                </w:rPr>
                <m:t>j</m:t>
              </m:r>
            </m:sub>
          </m:sSub>
          <m:r>
            <w:rPr>
              <w:rFonts w:ascii="Cambria Math" w:hAnsi="Cambria Math"/>
              <w:sz w:val="22"/>
            </w:rPr>
            <m:rPr>
              <m:sty m:val="p"/>
            </m:rPr>
            <m:t>|</m:t>
          </m:r>
          <m:r>
            <w:rPr>
              <w:rFonts w:ascii="Cambria Math" w:hAnsi="Cambria Math"/>
              <w:sz w:val="22"/>
            </w:rPr>
            <m:rPr>
              <m:sty m:val="p"/>
            </m:rPr>
            <m:t>.</m:t>
          </m:r>
        </m:oMath>
      </m:oMathPara>
    </w:p>
    <w:p>
      <w:pPr>
        <w:pStyle w:val="FirstParagraph"/>
      </w:pPr>
      <w:r>
        <w:rPr>
          <w:rFonts w:hint="eastAsia"/>
        </w:rPr>
        <w:t xml:space="preserve">进一步取二者中的较小值作为第</w:t>
      </w:r>
      <w:r>
        <w:t xml:space="preserve"> </w:t>
      </w:r>
      <m:oMath>
        <m:r>
          <w:rPr>
            <w:rFonts w:ascii="Cambria Math" w:hAnsi="Cambria Math"/>
            <w:sz w:val="22"/>
          </w:rPr>
          <m:t>i</m:t>
        </m:r>
      </m:oMath>
      <w:r>
        <w:t xml:space="preserve"> </w:t>
      </w:r>
      <w:r>
        <w:rPr>
          <w:rFonts w:hint="eastAsia"/>
        </w:rPr>
        <w:t xml:space="preserve">个候选窗口的组级稳健得分：</w:t>
      </w:r>
    </w:p>
    <w:p>
      <w:pPr>
        <w:pStyle w:val="BodyText"/>
        <w:keepLines/>
        <w:tabs>
          <w:tab w:pos="4791" w:val="center"/>
          <w:tab w:pos="9581" w:val="right"/>
        </w:tabs>
        <w:spacing w:before="100" w:after="100"/>
        <w:ind w:firstLine="0"/>
        <w:jc w:val="left"/>
      </w:pPr>
      <w:bookmarkStart w:id="1017" w:name="equation_10"/>
      <w:r>
        <w:tab/>
      </w:r>
      <m:oMath>
        <m:sSub>
          <m:e>
            <m:r>
              <w:rPr>
                <w:rFonts w:ascii="Cambria Math" w:hAnsi="Cambria Math"/>
                <w:sz w:val="22"/>
              </w:rPr>
              <m:t>S</m:t>
            </m:r>
          </m:e>
          <m:sub>
            <m:r>
              <w:rPr>
                <w:rFonts w:ascii="Cambria Math" w:hAnsi="Cambria Math"/>
                <w:sz w:val="22"/>
              </w:rPr>
              <m:t>i</m:t>
            </m:r>
          </m:sub>
        </m:sSub>
        <m:r>
          <w:rPr>
            <w:rFonts w:ascii="Cambria Math" w:hAnsi="Cambria Math"/>
            <w:sz w:val="22"/>
          </w:rPr>
          <m:rPr>
            <m:sty m:val="p"/>
          </m:rPr>
          <m:t>=</m:t>
        </m:r>
        <m:r>
          <w:rPr>
            <w:rFonts w:ascii="Cambria Math" w:hAnsi="Cambria Math"/>
            <w:sz w:val="22"/>
          </w:rPr>
          <m:rPr>
            <m:sty m:val="p"/>
          </m:rPr>
          <m:t>min</m:t>
        </m:r>
        <m:r>
          <w:rPr>
            <w:rFonts w:ascii="Cambria Math" w:hAnsi="Cambria Math"/>
            <w:sz w:val="22"/>
          </w:rPr>
          <m:rPr>
            <m:sty m:val="p"/>
          </m:rPr>
          <m:t>(</m:t>
        </m:r>
        <m:r>
          <w:rPr>
            <w:rFonts w:ascii="Cambria Math" w:hAnsi="Cambria Math"/>
            <w:sz w:val="22"/>
          </w:rPr>
          <m:t>m</m:t>
        </m:r>
        <m:r>
          <w:rPr>
            <w:rFonts w:ascii="Cambria Math" w:hAnsi="Cambria Math"/>
            <w:sz w:val="22"/>
          </w:rPr>
          <m:t>P</m:t>
        </m:r>
        <m:r>
          <w:rPr>
            <w:rFonts w:ascii="Cambria Math" w:hAnsi="Cambria Math"/>
            <w:sz w:val="22"/>
          </w:rPr>
          <m:t>C</m:t>
        </m:r>
        <m:sSub>
          <m:e>
            <m:r>
              <w:rPr>
                <w:rFonts w:ascii="Cambria Math" w:hAnsi="Cambria Math"/>
                <w:sz w:val="22"/>
              </w:rPr>
              <m:t>C</m:t>
            </m:r>
          </m:e>
          <m:sub>
            <m:r>
              <w:rPr>
                <w:rFonts w:ascii="Cambria Math" w:hAnsi="Cambria Math"/>
                <w:sz w:val="22"/>
              </w:rPr>
              <m:t>i</m:t>
            </m:r>
          </m:sub>
        </m:sSub>
        <m:r>
          <w:rPr>
            <w:rFonts w:ascii="Cambria Math" w:hAnsi="Cambria Math"/>
            <w:sz w:val="22"/>
          </w:rPr>
          <m:rPr>
            <m:sty m:val="p"/>
          </m:rPr>
          <m:t>,</m:t>
        </m:r>
        <m:r>
          <w:rPr>
            <w:rFonts w:ascii="Cambria Math" w:hAnsi="Cambria Math"/>
            <w:sz w:val="22"/>
          </w:rPr>
          <m:t>m</m:t>
        </m:r>
        <m:r>
          <w:rPr>
            <w:rFonts w:ascii="Cambria Math" w:hAnsi="Cambria Math"/>
            <w:sz w:val="22"/>
          </w:rPr>
          <m:t>S</m:t>
        </m:r>
        <m:r>
          <w:rPr>
            <w:rFonts w:ascii="Cambria Math" w:hAnsi="Cambria Math"/>
            <w:sz w:val="22"/>
          </w:rPr>
          <m:t>C</m:t>
        </m:r>
        <m:sSub>
          <m:e>
            <m:r>
              <w:rPr>
                <w:rFonts w:ascii="Cambria Math" w:hAnsi="Cambria Math"/>
                <w:sz w:val="22"/>
              </w:rPr>
              <m:t>C</m:t>
            </m:r>
          </m:e>
          <m:sub>
            <m:r>
              <w:rPr>
                <w:rFonts w:ascii="Cambria Math" w:hAnsi="Cambria Math"/>
                <w:sz w:val="22"/>
              </w:rPr>
              <m:t>i</m:t>
            </m:r>
          </m:sub>
        </m:sSub>
        <m:r>
          <w:rPr>
            <w:rFonts w:ascii="Cambria Math" w:hAnsi="Cambria Math"/>
            <w:sz w:val="22"/>
          </w:rPr>
          <m:rPr>
            <m:sty m:val="p"/>
          </m:rPr>
          <m:t>)</m:t>
        </m:r>
        <m:r>
          <w:rPr>
            <w:rFonts w:ascii="Cambria Math" w:hAnsi="Cambria Math"/>
            <w:sz w:val="22"/>
          </w:rPr>
          <m:rPr>
            <m:sty m:val="p"/>
          </m:rPr>
          <m:t>.</m:t>
        </m:r>
      </m:oMath>
      <w:r>
        <w:tab/>
        <w:t>(10)</w:t>
      </w:r>
      <w:bookmarkEnd w:id="1017"/>
    </w:p>
    <w:p>
      <w:pPr>
        <w:pStyle w:val="BodyText"/>
      </w:pPr>
      <w:r>
        <w:rPr>
          <w:rFonts w:hint="eastAsia"/>
        </w:rPr>
        <w:t xml:space="preserve">该得分由两节电池中的最低相关水平决定，可避免单一电池的局部高相关性主导窗口选择，使入选窗口在两节电池上均保持较强的相关性。</w:t>
      </w:r>
    </w:p>
    <w:p>
      <w:pPr>
        <w:pStyle w:val="BodyText"/>
      </w:pPr>
      <w:r>
        <w:t xml:space="preserve">MS-CCCT </w:t>
      </w:r>
      <w:r>
        <w:rPr>
          <w:rFonts w:hint="eastAsia"/>
        </w:rPr>
        <w:t xml:space="preserve">采用由粗到细的三阶段搜索。Oxford</w:t>
      </w:r>
      <w:r>
        <w:t xml:space="preserve"> </w:t>
      </w:r>
      <w:r>
        <w:rPr>
          <w:rFonts w:hint="eastAsia"/>
        </w:rPr>
        <w:t xml:space="preserve">数据集的初始搜索范围设为</w:t>
      </w:r>
      <w:r>
        <w:t xml:space="preserve"> 3.50–4.20 V。R1 </w:t>
      </w:r>
      <w:r>
        <w:rPr>
          <w:rFonts w:hint="eastAsia"/>
        </w:rPr>
        <w:t xml:space="preserve">阶段采用</w:t>
      </w:r>
      <w:r>
        <w:t xml:space="preserve"> 0.40 V </w:t>
      </w:r>
      <w:r>
        <w:rPr>
          <w:rFonts w:hint="eastAsia"/>
        </w:rPr>
        <w:t xml:space="preserve">窗宽和</w:t>
      </w:r>
      <w:r>
        <w:t xml:space="preserve"> 0.20 V </w:t>
      </w:r>
      <w:r>
        <w:rPr>
          <w:rFonts w:hint="eastAsia"/>
        </w:rPr>
        <w:t xml:space="preserve">步长进行粗定位，并将稳健得分最高的窗口作为下一阶段的搜索区域；R2</w:t>
      </w:r>
      <w:r>
        <w:t xml:space="preserve"> </w:t>
      </w:r>
      <w:r>
        <w:rPr>
          <w:rFonts w:hint="eastAsia"/>
        </w:rPr>
        <w:t xml:space="preserve">阶段在该区域内采用</w:t>
      </w:r>
      <w:r>
        <w:t xml:space="preserve"> 0.20 V </w:t>
      </w:r>
      <w:r>
        <w:rPr>
          <w:rFonts w:hint="eastAsia"/>
        </w:rPr>
        <w:t xml:space="preserve">窗宽和</w:t>
      </w:r>
      <w:r>
        <w:t xml:space="preserve"> 0.05 V </w:t>
      </w:r>
      <w:r>
        <w:rPr>
          <w:rFonts w:hint="eastAsia"/>
        </w:rPr>
        <w:t xml:space="preserve">步长继续搜索；R3</w:t>
      </w:r>
      <w:r>
        <w:t xml:space="preserve"> </w:t>
      </w:r>
      <w:r>
        <w:rPr>
          <w:rFonts w:hint="eastAsia"/>
        </w:rPr>
        <w:t xml:space="preserve">阶段进一步采用</w:t>
      </w:r>
      <w:r>
        <w:t xml:space="preserve"> 0.10 V </w:t>
      </w:r>
      <w:r>
        <w:rPr>
          <w:rFonts w:hint="eastAsia"/>
        </w:rPr>
        <w:t xml:space="preserve">窗宽和</w:t>
      </w:r>
      <w:r>
        <w:t xml:space="preserve"> 0.05 V </w:t>
      </w:r>
      <w:r>
        <w:rPr>
          <w:rFonts w:hint="eastAsia"/>
        </w:rPr>
        <w:t xml:space="preserve">步长细化搜索。若</w:t>
      </w:r>
      <w:r>
        <w:t xml:space="preserve"> R3 </w:t>
      </w:r>
      <w:r>
        <w:rPr>
          <w:rFonts w:hint="eastAsia"/>
        </w:rPr>
        <w:t xml:space="preserve">阶段所得窗口的稳健得分高于</w:t>
      </w:r>
      <w:r>
        <w:t xml:space="preserve"> R2 </w:t>
      </w:r>
      <w:r>
        <w:rPr>
          <w:rFonts w:hint="eastAsia"/>
        </w:rPr>
        <w:t xml:space="preserve">阶段，则采用</w:t>
      </w:r>
      <w:r>
        <w:t xml:space="preserve"> R3 </w:t>
      </w:r>
      <w:r>
        <w:rPr>
          <w:rFonts w:hint="eastAsia"/>
        </w:rPr>
        <w:t xml:space="preserve">窗口，否则保留</w:t>
      </w:r>
      <w:r>
        <w:t xml:space="preserve"> R2 </w:t>
      </w:r>
      <w:r>
        <w:rPr>
          <w:rFonts w:hint="eastAsia"/>
        </w:rPr>
        <w:t xml:space="preserve">阶段的结果。</w:t>
      </w:r>
    </w:p>
    <w:p>
      <w:pPr>
        <w:pStyle w:val="BodyText"/>
      </w:pPr>
      <w:r>
        <w:rPr>
          <w:rFonts w:hint="eastAsia"/>
        </w:rPr>
        <w:t xml:space="preserve">最终，Oxford</w:t>
      </w:r>
      <w:r>
        <w:t xml:space="preserve"> </w:t>
      </w:r>
      <w:r>
        <w:rPr>
          <w:rFonts w:hint="eastAsia"/>
        </w:rPr>
        <w:t xml:space="preserve">数据集的</w:t>
      </w:r>
      <w:r>
        <w:t xml:space="preserve"> 3.55–3.75 V </w:t>
      </w:r>
      <w:r>
        <w:rPr>
          <w:rFonts w:hint="eastAsia"/>
        </w:rPr>
        <w:t xml:space="preserve">窗口以</w:t>
      </w:r>
      <w:r>
        <w:t xml:space="preserve"> 0.994447 </w:t>
      </w:r>
      <w:r>
        <w:rPr>
          <w:rFonts w:hint="eastAsia"/>
        </w:rPr>
        <w:t xml:space="preserve">的最高稳健得分入选，其对应的恒流充电时间序列作为</w:t>
      </w:r>
      <w:r>
        <w:t xml:space="preserve"> HI1。</w:t>
      </w:r>
    </w:p>
    <w:bookmarkEnd w:id="19"/>
    <w:bookmarkStart w:id="20" w:name="健康指标筛选"/>
    <w:p>
      <w:pPr>
        <w:pStyle w:val="Heading3"/>
      </w:pPr>
      <w:r>
        <w:rPr>
          <w:rStyle w:val="SectionNumber"/>
        </w:rPr>
        <w:t xml:space="preserve">2.3.3</w:t>
      </w:r>
      <w:r>
        <w:tab/>
      </w:r>
      <w:r>
        <w:rPr>
          <w:rFonts w:hint="eastAsia"/>
        </w:rPr>
        <w:t xml:space="preserve">健康指标筛选</w:t>
      </w:r>
    </w:p>
    <w:p>
      <w:pPr>
        <w:pStyle w:val="FirstParagraph"/>
      </w:pPr>
      <w:r>
        <w:rPr>
          <w:rFonts w:hint="eastAsia"/>
        </w:rPr>
        <w:t xml:space="preserve">健康指标筛选是锂离子电池</w:t>
      </w:r>
      <w:r>
        <w:t xml:space="preserve"> SOH </w:t>
      </w:r>
      <w:r>
        <w:rPr>
          <w:rFonts w:hint="eastAsia"/>
        </w:rPr>
        <w:t xml:space="preserve">估计中的关键步骤[</w:t>
      </w:r>
      <w:hyperlink w:anchor="b_ref60">
        <w:r>
          <w:rPr>
            <w:rStyle w:val="Hyperlink"/>
          </w:rPr>
          <w:t xml:space="preserve">60</w:t>
        </w:r>
      </w:hyperlink>
      <w:r>
        <w:t xml:space="preserve">–</w:t>
      </w:r>
      <w:hyperlink w:anchor="b_ref62">
        <w:r>
          <w:rPr>
            <w:rStyle w:val="Hyperlink"/>
          </w:rPr>
          <w:t xml:space="preserve">62</w:t>
        </w:r>
      </w:hyperlink>
      <w:r>
        <w:rPr>
          <w:rFonts w:hint="eastAsia"/>
        </w:rPr>
        <w:t xml:space="preserve">]，所选指标的质量直接影响最终估计精度。在前述</w:t>
      </w:r>
      <w:r>
        <w:t xml:space="preserve"> HI1 </w:t>
      </w:r>
      <w:r>
        <w:rPr>
          <w:rFonts w:hint="eastAsia"/>
        </w:rPr>
        <w:t xml:space="preserve">窗口标定的基础上，将恒流充电时间、IC、DTV、DTC、窗口放电容量和能量效率等</w:t>
      </w:r>
      <w:r>
        <w:t xml:space="preserve"> 15 </w:t>
      </w:r>
      <w:r>
        <w:rPr>
          <w:rFonts w:hint="eastAsia"/>
        </w:rPr>
        <w:t xml:space="preserve">项特征共同作为候选健康指标。沿用前述组级相关性评价方式，分别计算各候选指标与</w:t>
      </w:r>
      <w:r>
        <w:t xml:space="preserve"> SOH </w:t>
      </w:r>
      <w:r>
        <w:rPr>
          <w:rFonts w:hint="eastAsia"/>
        </w:rPr>
        <w:t xml:space="preserve">之间以及不同候选指标之间的</w:t>
      </w:r>
      <w:r>
        <w:t xml:space="preserve"> PCC </w:t>
      </w:r>
      <w:r>
        <w:rPr>
          <w:rFonts w:hint="eastAsia"/>
        </w:rPr>
        <w:t xml:space="preserve">和</w:t>
      </w:r>
      <w:r>
        <w:t xml:space="preserve"> SCC。</w:t>
      </w:r>
    </w:p>
    <w:p>
      <w:pPr>
        <w:pStyle w:val="BodyText"/>
      </w:pPr>
      <w:r>
        <w:t xml:space="preserve">Oxford Cell1 </w:t>
      </w:r>
      <w:r>
        <w:rPr>
          <w:rFonts w:hint="eastAsia"/>
        </w:rPr>
        <w:t xml:space="preserve">和</w:t>
      </w:r>
      <w:r>
        <w:t xml:space="preserve"> Cell2 </w:t>
      </w:r>
      <w:r>
        <w:rPr>
          <w:rFonts w:hint="eastAsia"/>
        </w:rPr>
        <w:t xml:space="preserve">的相关性结果如</w:t>
      </w:r>
      <w:hyperlink w:anchor="b_fig_2_4">
        <w:r>
          <w:rPr>
            <w:rStyle w:val="Hyperlink"/>
          </w:rPr>
          <w:t xml:space="preserve">Fig. 4</w:t>
        </w:r>
      </w:hyperlink>
      <w:r>
        <w:rPr>
          <w:rFonts w:hint="eastAsia"/>
        </w:rPr>
        <w:t xml:space="preserve">所示。图中同时展示了候选指标与</w:t>
      </w:r>
      <w:r>
        <w:t xml:space="preserve"> SOH </w:t>
      </w:r>
      <w:r>
        <w:rPr>
          <w:rFonts w:hint="eastAsia"/>
        </w:rPr>
        <w:t xml:space="preserve">以及候选指标相互之间的</w:t>
      </w:r>
      <w:r>
        <w:t xml:space="preserve"> PCC </w:t>
      </w:r>
      <w:r>
        <w:rPr>
          <w:rFonts w:hint="eastAsia"/>
        </w:rPr>
        <w:t xml:space="preserve">和</w:t>
      </w:r>
      <w:r>
        <w:t xml:space="preserve"> </w:t>
      </w:r>
      <w:r>
        <w:rPr>
          <w:rFonts w:hint="eastAsia"/>
        </w:rPr>
        <w:t xml:space="preserve">SCC。矩阵下三角列出相关系数，上三角通过圆圈大小和颜色深浅表示相关强度。圆圈越大、颜色越深，表示相应变量之间的相关性越强。</w:t>
      </w:r>
    </w:p>
    <w:p>
      <w:pPr>
        <w:pStyle w:val="BodyText"/>
        <w:keepNext/>
        <w:keepLines/>
        <w:spacing w:before="100" w:after="80"/>
        <w:ind w:firstLine="0"/>
        <w:jc w:val="center"/>
      </w:pPr>
      <w:bookmarkStart w:id="1018" w:name="b_fig_2_4"/>
      <w:r>
        <w:drawing>
          <wp:inline>
            <wp:extent cx="6084000" cy="5731469"/>
            <wp:docPr id="7" name="Picture 7"/>
            <wp:cNvGraphicFramePr>
              <a:graphicFrameLocks noChangeAspect="1"/>
            </wp:cNvGraphicFramePr>
            <a:graphic>
              <a:graphicData uri="http://schemas.openxmlformats.org/drawingml/2006/picture">
                <pic:pic>
                  <pic:nvPicPr>
                    <pic:cNvPr id="0" name="fig4_pccscc_print.png"/>
                    <pic:cNvPicPr/>
                  </pic:nvPicPr>
                  <pic:blipFill>
                    <a:blip r:embed="rId15"/>
                    <a:stretch>
                      <a:fillRect/>
                    </a:stretch>
                  </pic:blipFill>
                  <pic:spPr>
                    <a:xfrm>
                      <a:off x="0" y="0"/>
                      <a:ext cx="6084000" cy="5731469"/>
                    </a:xfrm>
                    <a:prstGeom prst="rect"/>
                  </pic:spPr>
                </pic:pic>
              </a:graphicData>
            </a:graphic>
          </wp:inline>
        </w:drawing>
      </w:r>
      <w:bookmarkEnd w:id="1018"/>
    </w:p>
    <w:p>
      <w:pPr>
        <w:ind w:firstLine="0"/>
        <w:jc w:val="center"/>
      </w:pPr>
      <w:r>
        <w:rPr>
          <w:sz w:val="18"/>
        </w:rPr>
        <w:t>Fig. 4. Correlation matrices of candidate HIs and SOH on the Oxford dataset.</w:t>
      </w:r>
    </w:p>
    <w:p>
      <w:pPr>
        <w:pStyle w:val="BodyText"/>
      </w:pPr>
      <w:r>
        <w:rPr>
          <w:rFonts w:hint="eastAsia"/>
        </w:rPr>
        <w:t xml:space="preserve">同一候选指标在两节电池上的相关性表现并不完全相同。HI5（DTV</w:t>
      </w:r>
      <w:r>
        <w:t xml:space="preserve"> </w:t>
      </w:r>
      <w:r>
        <w:rPr>
          <w:rFonts w:hint="eastAsia"/>
        </w:rPr>
        <w:t xml:space="preserve">峰值）在</w:t>
      </w:r>
      <w:r>
        <w:t xml:space="preserve"> Cell1 </w:t>
      </w:r>
      <w:r>
        <w:rPr>
          <w:rFonts w:hint="eastAsia"/>
        </w:rPr>
        <w:t xml:space="preserve">上的绝对</w:t>
      </w:r>
      <w:r>
        <w:t xml:space="preserve"> PCC </w:t>
      </w:r>
      <w:r>
        <w:rPr>
          <w:rFonts w:hint="eastAsia"/>
        </w:rPr>
        <w:t xml:space="preserve">和绝对</w:t>
      </w:r>
      <w:r>
        <w:t xml:space="preserve"> SCC </w:t>
      </w:r>
      <w:r>
        <w:rPr>
          <w:rFonts w:hint="eastAsia"/>
        </w:rPr>
        <w:t xml:space="preserve">分别为</w:t>
      </w:r>
      <w:r>
        <w:t xml:space="preserve"> 0.949 </w:t>
      </w:r>
      <w:r>
        <w:rPr>
          <w:rFonts w:hint="eastAsia"/>
        </w:rPr>
        <w:t xml:space="preserve">和</w:t>
      </w:r>
      <w:r>
        <w:t xml:space="preserve"> </w:t>
      </w:r>
      <w:r>
        <w:rPr>
          <w:rFonts w:hint="eastAsia"/>
        </w:rPr>
        <w:t xml:space="preserve">0.966，在</w:t>
      </w:r>
      <w:r>
        <w:t xml:space="preserve"> Cell2 </w:t>
      </w:r>
      <w:r>
        <w:rPr>
          <w:rFonts w:hint="eastAsia"/>
        </w:rPr>
        <w:t xml:space="preserve">上则降至</w:t>
      </w:r>
      <w:r>
        <w:t xml:space="preserve"> 0.898 </w:t>
      </w:r>
      <w:r>
        <w:rPr>
          <w:rFonts w:hint="eastAsia"/>
        </w:rPr>
        <w:t xml:space="preserve">和</w:t>
      </w:r>
      <w:r>
        <w:t xml:space="preserve"> </w:t>
      </w:r>
      <w:r>
        <w:rPr>
          <w:rFonts w:hint="eastAsia"/>
        </w:rPr>
        <w:t xml:space="preserve">0.902；相比之下，HI1</w:t>
      </w:r>
      <w:r>
        <w:t xml:space="preserve"> </w:t>
      </w:r>
      <w:r>
        <w:rPr>
          <w:rFonts w:hint="eastAsia"/>
        </w:rPr>
        <w:t xml:space="preserve">在两节电池上均保持较高的相关性。若仅依据</w:t>
      </w:r>
      <w:r>
        <w:t xml:space="preserve"> Cell1 </w:t>
      </w:r>
      <w:r>
        <w:rPr>
          <w:rFonts w:hint="eastAsia"/>
        </w:rPr>
        <w:t xml:space="preserve">的相关性结果，HI5</w:t>
      </w:r>
      <w:r>
        <w:t xml:space="preserve"> </w:t>
      </w:r>
      <w:r>
        <w:rPr>
          <w:rFonts w:hint="eastAsia"/>
        </w:rPr>
        <w:t xml:space="preserve">会表现为强相关指标，但这一结果无法反映其在</w:t>
      </w:r>
      <w:r>
        <w:t xml:space="preserve"> Cell2 </w:t>
      </w:r>
      <w:r>
        <w:rPr>
          <w:rFonts w:hint="eastAsia"/>
        </w:rPr>
        <w:t xml:space="preserve">上的相关水平。单节电池上的相关性排序由此难以完整代表候选指标在其他电池上的表现。</w:t>
      </w:r>
    </w:p>
    <w:p>
      <w:pPr>
        <w:pStyle w:val="BodyText"/>
      </w:pPr>
      <w:r>
        <w:rPr>
          <w:rFonts w:hint="eastAsia"/>
        </w:rPr>
        <w:t xml:space="preserve">现有研究通常依据相关系数的大小选择健康指标。当候选指标的相关性分布随电池化学体系、运行温度等条件发生变化时，这类筛选结果容易受到数据条件的影响。在单一条件下表现较好的指标，在其他电池或工况下的适用性可能下降。为提高筛选结果对电池个体和运行条件变化的鲁棒性，有必要引入综合相关性分布特征的健康指标筛选策略。</w:t>
      </w:r>
    </w:p>
    <w:p>
      <w:pPr>
        <w:pStyle w:val="BodyText"/>
      </w:pPr>
      <w:r>
        <w:rPr>
          <w:rFonts w:hint="eastAsia"/>
        </w:rPr>
        <w:t xml:space="preserve">据此，本文构建组级健康指标筛选方法。该方法首先综合特征开发集合内两节电池的</w:t>
      </w:r>
      <w:r>
        <w:t xml:space="preserve"> PCC </w:t>
      </w:r>
      <w:r>
        <w:rPr>
          <w:rFonts w:hint="eastAsia"/>
        </w:rPr>
        <w:t xml:space="preserve">和</w:t>
      </w:r>
      <w:r>
        <w:t xml:space="preserve"> </w:t>
      </w:r>
      <w:r>
        <w:rPr>
          <w:rFonts w:hint="eastAsia"/>
        </w:rPr>
        <w:t xml:space="preserve">SCC，仅保留均满足相关性要求的候选指标。相关性矩阵还显示，部分候选指标之间具有较高的相关系数，表明候选池中存在重复信息。保留的指标按照相关性强度进行排序，并进一步移除与已入选指标高度相关的特征，以降低指标间冗余并保持特征多样性。具体筛选条件、阈值和完整步骤见</w:t>
      </w:r>
      <w:hyperlink w:anchor="b_tab_2_hi_screening_steps">
        <w:r>
          <w:rPr>
            <w:rStyle w:val="Hyperlink"/>
          </w:rPr>
          <w:t xml:space="preserve">Table 4</w:t>
        </w:r>
      </w:hyperlink>
      <w:r>
        <w:t xml:space="preserve">。</w:t>
      </w:r>
    </w:p>
    <w:p>
      <w:pPr>
        <w:pStyle w:val="BodyText"/>
      </w:pPr>
      <w:r>
        <w:rPr>
          <w:rFonts w:hint="eastAsia"/>
        </w:rPr>
        <w:t xml:space="preserve">经过相关性准入与冗余剔除，Oxford</w:t>
      </w:r>
      <w:r>
        <w:t xml:space="preserve"> </w:t>
      </w:r>
      <w:r>
        <w:rPr>
          <w:rFonts w:hint="eastAsia"/>
        </w:rPr>
        <w:t xml:space="preserve">数据集最终保留</w:t>
      </w:r>
      <w:r>
        <w:t xml:space="preserve"> </w:t>
      </w:r>
      <w:r>
        <w:rPr>
          <w:rFonts w:hint="eastAsia"/>
        </w:rPr>
        <w:t xml:space="preserve">HI1。该指标在</w:t>
      </w:r>
      <w:r>
        <w:t xml:space="preserve"> Cell1 </w:t>
      </w:r>
      <w:r>
        <w:rPr>
          <w:rFonts w:hint="eastAsia"/>
        </w:rPr>
        <w:t xml:space="preserve">和</w:t>
      </w:r>
      <w:r>
        <w:t xml:space="preserve"> Cell2 </w:t>
      </w:r>
      <w:r>
        <w:rPr>
          <w:rFonts w:hint="eastAsia"/>
        </w:rPr>
        <w:t xml:space="preserve">上的绝对</w:t>
      </w:r>
      <w:r>
        <w:t xml:space="preserve"> PCC </w:t>
      </w:r>
      <w:r>
        <w:rPr>
          <w:rFonts w:hint="eastAsia"/>
        </w:rPr>
        <w:t xml:space="preserve">分别为</w:t>
      </w:r>
      <w:r>
        <w:t xml:space="preserve"> 0.998759 </w:t>
      </w:r>
      <w:r>
        <w:rPr>
          <w:rFonts w:hint="eastAsia"/>
        </w:rPr>
        <w:t xml:space="preserve">和</w:t>
      </w:r>
      <w:r>
        <w:t xml:space="preserve"> </w:t>
      </w:r>
      <w:r>
        <w:rPr>
          <w:rFonts w:hint="eastAsia"/>
        </w:rPr>
        <w:t xml:space="preserve">0.997322，绝对</w:t>
      </w:r>
      <w:r>
        <w:t xml:space="preserve"> SCC </w:t>
      </w:r>
      <w:r>
        <w:rPr>
          <w:rFonts w:hint="eastAsia"/>
        </w:rPr>
        <w:t xml:space="preserve">分别为</w:t>
      </w:r>
      <w:r>
        <w:t xml:space="preserve"> 0.998710 </w:t>
      </w:r>
      <w:r>
        <w:rPr>
          <w:rFonts w:hint="eastAsia"/>
        </w:rPr>
        <w:t xml:space="preserve">和</w:t>
      </w:r>
      <w:r>
        <w:t xml:space="preserve"> </w:t>
      </w:r>
      <w:r>
        <w:rPr>
          <w:rFonts w:hint="eastAsia"/>
        </w:rPr>
        <w:t xml:space="preserve">0.994447。四项相关系数均接近</w:t>
      </w:r>
      <w:r>
        <w:t xml:space="preserve"> </w:t>
      </w:r>
      <w:r>
        <w:rPr>
          <w:rFonts w:hint="eastAsia"/>
        </w:rPr>
        <w:t xml:space="preserve">1，且在两节电池之间差异较小，表明</w:t>
      </w:r>
      <w:r>
        <w:t xml:space="preserve"> HI1 </w:t>
      </w:r>
      <w:r>
        <w:rPr>
          <w:rFonts w:hint="eastAsia"/>
        </w:rPr>
        <w:t xml:space="preserve">对</w:t>
      </w:r>
      <w:r>
        <w:t xml:space="preserve"> SOH </w:t>
      </w:r>
      <w:r>
        <w:rPr>
          <w:rFonts w:hint="eastAsia"/>
        </w:rPr>
        <w:t xml:space="preserve">变化具有较高的退化敏感性和良好的跨电池一致性。</w:t>
      </w:r>
    </w:p>
    <w:p>
      <w:pPr>
        <w:pStyle w:val="BodyText"/>
      </w:pPr>
      <w:r>
        <w:rPr>
          <w:rFonts w:hint="eastAsia"/>
        </w:rPr>
        <w:t xml:space="preserve">健康指标筛选仅在特征开发阶段执行。指标确定后，其定义和计算参数保持不变，并直接用于同一数据集其他电池的特征提取。用于后续评价的其他电池不参与相关性筛选、阈值确定或指标的重新选择，从而保持特征开发与后续评价之间的数据隔离。</w:t>
      </w:r>
    </w:p>
    <w:p>
      <w:pPr>
        <w:pStyle w:val="BodyText"/>
      </w:pPr>
      <w:r>
        <w:rPr>
          <w:rFonts w:hint="eastAsia"/>
        </w:rPr>
        <w:t xml:space="preserve">固定后的</w:t>
      </w:r>
      <w:r>
        <w:t xml:space="preserve"> HI1 </w:t>
      </w:r>
      <w:r>
        <w:rPr>
          <w:rFonts w:hint="eastAsia"/>
        </w:rPr>
        <w:t xml:space="preserve">在</w:t>
      </w:r>
      <w:r>
        <w:t xml:space="preserve"> Cell3–Cell8 </w:t>
      </w:r>
      <w:r>
        <w:rPr>
          <w:rFonts w:hint="eastAsia"/>
        </w:rPr>
        <w:t xml:space="preserve">上的绝对</w:t>
      </w:r>
      <w:r>
        <w:t xml:space="preserve"> PCC </w:t>
      </w:r>
      <w:r>
        <w:rPr>
          <w:rFonts w:hint="eastAsia"/>
        </w:rPr>
        <w:t xml:space="preserve">为</w:t>
      </w:r>
      <w:r>
        <w:t xml:space="preserve"> </w:t>
      </w:r>
      <w:r>
        <w:rPr>
          <w:rFonts w:hint="eastAsia"/>
        </w:rPr>
        <w:t xml:space="preserve">0.997874–0.999337。与已有健康指标的比较结果见</w:t>
      </w:r>
      <w:hyperlink w:anchor="b_tab_2_hi_literature">
        <w:r>
          <w:rPr>
            <w:rStyle w:val="Hyperlink"/>
          </w:rPr>
          <w:t xml:space="preserve">Table 5</w:t>
        </w:r>
      </w:hyperlink>
      <w:r>
        <w:rPr>
          <w:rFonts w:hint="eastAsia"/>
        </w:rPr>
        <w:t xml:space="preserve">，其相关水平均高于所列样本熵、DTV/IC</w:t>
      </w:r>
      <w:r>
        <w:t xml:space="preserve"> </w:t>
      </w:r>
      <w:r>
        <w:rPr>
          <w:rFonts w:hint="eastAsia"/>
        </w:rPr>
        <w:t xml:space="preserve">特征及充电电压曲线斜率在相应电池上的已报道值，说明</w:t>
      </w:r>
      <w:r>
        <w:t xml:space="preserve"> HI1 </w:t>
      </w:r>
      <w:r>
        <w:rPr>
          <w:rFonts w:hint="eastAsia"/>
        </w:rPr>
        <w:t xml:space="preserve">在其余六节电池上仍保持较高的线性相关性。</w:t>
      </w:r>
    </w:p>
    <w:p>
      <w:pPr>
        <w:pStyle w:val="BodyText"/>
        <w:keepLines/>
        <w:spacing w:before="100" w:after="80"/>
        <w:ind w:firstLine="0"/>
        <w:jc w:val="center"/>
      </w:pPr>
      <w:bookmarkStart w:id="1019" w:name="b_tab_2_hi_screening_steps"/>
      <w:r>
        <w:drawing>
          <wp:inline>
            <wp:extent cx="6084000" cy="2296963"/>
            <wp:docPr id="8" name="Picture 8"/>
            <wp:cNvGraphicFramePr>
              <a:graphicFrameLocks noChangeAspect="1"/>
            </wp:cNvGraphicFramePr>
            <a:graphic>
              <a:graphicData uri="http://schemas.openxmlformats.org/drawingml/2006/picture">
                <pic:pic>
                  <pic:nvPicPr>
                    <pic:cNvPr id="0" name="table_04.png"/>
                    <pic:cNvPicPr/>
                  </pic:nvPicPr>
                  <pic:blipFill>
                    <a:blip r:embed="rId16"/>
                    <a:stretch>
                      <a:fillRect/>
                    </a:stretch>
                  </pic:blipFill>
                  <pic:spPr>
                    <a:xfrm>
                      <a:off x="0" y="0"/>
                      <a:ext cx="6084000" cy="2296963"/>
                    </a:xfrm>
                    <a:prstGeom prst="rect"/>
                  </pic:spPr>
                </pic:pic>
              </a:graphicData>
            </a:graphic>
          </wp:inline>
        </w:drawing>
      </w:r>
      <w:bookmarkEnd w:id="1019"/>
    </w:p>
    <w:p>
      <w:pPr>
        <w:pStyle w:val="BodyText"/>
        <w:keepLines/>
        <w:spacing w:before="100" w:after="80"/>
        <w:ind w:firstLine="0"/>
        <w:jc w:val="center"/>
      </w:pPr>
      <w:bookmarkStart w:id="1020" w:name="b_tab_2_hi_literature"/>
      <w:r>
        <w:drawing>
          <wp:inline>
            <wp:extent cx="6084000" cy="1799335"/>
            <wp:docPr id="9" name="Picture 9"/>
            <wp:cNvGraphicFramePr>
              <a:graphicFrameLocks noChangeAspect="1"/>
            </wp:cNvGraphicFramePr>
            <a:graphic>
              <a:graphicData uri="http://schemas.openxmlformats.org/drawingml/2006/picture">
                <pic:pic>
                  <pic:nvPicPr>
                    <pic:cNvPr id="0" name="table_05.png"/>
                    <pic:cNvPicPr/>
                  </pic:nvPicPr>
                  <pic:blipFill>
                    <a:blip r:embed="rId17"/>
                    <a:stretch>
                      <a:fillRect/>
                    </a:stretch>
                  </pic:blipFill>
                  <pic:spPr>
                    <a:xfrm>
                      <a:off x="0" y="0"/>
                      <a:ext cx="6084000" cy="1799335"/>
                    </a:xfrm>
                    <a:prstGeom prst="rect"/>
                  </pic:spPr>
                </pic:pic>
              </a:graphicData>
            </a:graphic>
          </wp:inline>
        </w:drawing>
      </w:r>
      <w:bookmarkEnd w:id="1020"/>
    </w:p>
    <w:bookmarkEnd w:id="20"/>
    <w:bookmarkEnd w:id="21"/>
    <w:bookmarkEnd w:id="22"/>
    <w:bookmarkStart w:id="32" w:name="所提出的ms-agentnet模型"/>
    <w:p>
      <w:pPr>
        <w:pStyle w:val="Heading1"/>
      </w:pPr>
      <w:r>
        <w:rPr>
          <w:rStyle w:val="SectionNumber"/>
        </w:rPr>
        <w:t xml:space="preserve">3</w:t>
      </w:r>
      <w:r>
        <w:tab/>
      </w:r>
      <w:r>
        <w:rPr>
          <w:rFonts w:hint="eastAsia"/>
        </w:rPr>
        <w:t xml:space="preserve">所提出的MS-AgentNet模型</w:t>
      </w:r>
    </w:p>
    <w:p>
      <w:pPr>
        <w:pStyle w:val="FirstParagraph"/>
      </w:pPr>
      <w:r>
        <w:rPr>
          <w:rFonts w:hint="eastAsia"/>
        </w:rPr>
        <w:t xml:space="preserve">为同时应对电池SOH估计中精度与计算效率两方面的挑战，本文提出一种轻量级多尺度智能体网络（Multi-Scale</w:t>
      </w:r>
      <w:r>
        <w:t xml:space="preserve"> Agent </w:t>
      </w:r>
      <w:r>
        <w:rPr>
          <w:rFonts w:hint="eastAsia"/>
        </w:rPr>
        <w:t xml:space="preserve">Network，MS-AgentNet）。其命名中的”MS”源于由小核DSConv-S与大核DSConv-L构成的多尺度卷积设计，用于高效提取不同时间尺度的退化特征。下文介绍MS-AgentNet的总体架构与工作流程，阐述所设计的多尺度深度可分离卷积模块，并详细说明轻量级局部—全局融合注意力（Slim</w:t>
      </w:r>
      <w:r>
        <w:t xml:space="preserve"> Local-Global Fusion </w:t>
      </w:r>
      <w:r>
        <w:rPr>
          <w:rFonts w:hint="eastAsia"/>
        </w:rPr>
        <w:t xml:space="preserve">Attention，SLFA）模块。</w:t>
      </w:r>
    </w:p>
    <w:bookmarkStart w:id="23" w:name="ms-agentnet架构概述"/>
    <w:p>
      <w:pPr>
        <w:pStyle w:val="Heading2"/>
      </w:pPr>
      <w:r>
        <w:rPr>
          <w:rStyle w:val="SectionNumber"/>
        </w:rPr>
        <w:t xml:space="preserve">3.1</w:t>
      </w:r>
      <w:r>
        <w:tab/>
      </w:r>
      <w:r>
        <w:rPr>
          <w:rFonts w:hint="eastAsia"/>
        </w:rPr>
        <w:t xml:space="preserve">MS-AgentNet架构概述</w:t>
      </w:r>
    </w:p>
    <w:p>
      <w:pPr>
        <w:pStyle w:val="FirstParagraph"/>
      </w:pPr>
      <w:r>
        <w:rPr>
          <w:rFonts w:hint="eastAsia"/>
        </w:rPr>
        <w:t xml:space="preserve">MS-AgentNet的总体架构如</w:t>
      </w:r>
      <w:hyperlink w:anchor="b_fig_3_1">
        <w:r>
          <w:rPr>
            <w:rStyle w:val="Hyperlink"/>
          </w:rPr>
          <w:t xml:space="preserve">Fig. 5</w:t>
        </w:r>
      </w:hyperlink>
      <w:r>
        <w:rPr>
          <w:rFonts w:hint="eastAsia"/>
        </w:rPr>
        <w:t xml:space="preserve">所示：健康指标（Health</w:t>
      </w:r>
      <w:r>
        <w:t xml:space="preserve"> </w:t>
      </w:r>
      <w:r>
        <w:rPr>
          <w:rFonts w:hint="eastAsia"/>
        </w:rPr>
        <w:t xml:space="preserve">Indicators，HIs）序列经滑动窗口划分为样本片段，通过线性嵌入层映射至</w:t>
      </w:r>
      <m:oMath>
        <m:r>
          <w:rPr>
            <w:rFonts w:ascii="Cambria Math" w:hAnsi="Cambria Math"/>
            <w:sz w:val="22"/>
          </w:rPr>
          <m:t>d</m:t>
        </m:r>
      </m:oMath>
      <w:r>
        <w:rPr>
          <w:rFonts w:hint="eastAsia"/>
        </w:rPr>
        <w:t xml:space="preserve">维特征空间后输入MS-AgentNet</w:t>
      </w:r>
      <w:r>
        <w:t xml:space="preserve"> </w:t>
      </w:r>
      <w:r>
        <w:rPr>
          <w:rFonts w:hint="eastAsia"/>
        </w:rPr>
        <w:t xml:space="preserve">Block；Block输出经层归一化、展平和线性读出后得到SOH估计值，训练时以每个输入窗口后紧邻循环的真实SOH值作为监督标签。</w:t>
      </w:r>
    </w:p>
    <w:p>
      <w:pPr>
        <w:pStyle w:val="BodyText"/>
      </w:pPr>
      <w:r>
        <w:rPr>
          <w:rFonts w:hint="eastAsia"/>
        </w:rPr>
        <w:t xml:space="preserve">从数学角度看，设第</w:t>
      </w:r>
      <m:oMath>
        <m:r>
          <w:rPr>
            <w:rFonts w:ascii="Cambria Math" w:hAnsi="Cambria Math"/>
            <w:sz w:val="22"/>
          </w:rPr>
          <m:t>l</m:t>
        </m:r>
      </m:oMath>
      <w:r>
        <w:rPr>
          <w:rFonts w:hint="eastAsia"/>
        </w:rPr>
        <w:t xml:space="preserve">个MS-AgentNet</w:t>
      </w:r>
      <w:r>
        <w:t xml:space="preserve"> </w:t>
      </w:r>
      <w:r>
        <w:rPr>
          <w:rFonts w:hint="eastAsia"/>
        </w:rPr>
        <w:t xml:space="preserve">Block的输入为</w:t>
      </w:r>
      <m:oMath>
        <m:sSub>
          <m:e>
            <m:r>
              <w:rPr>
                <w:rFonts w:ascii="Cambria Math" w:hAnsi="Cambria Math"/>
                <w:sz w:val="22"/>
              </w:rPr>
              <m:rPr>
                <m:sty m:val="bi"/>
              </m:rPr>
              <m:t>X</m:t>
            </m:r>
          </m:e>
          <m:sub>
            <m:r>
              <w:rPr>
                <w:rFonts w:ascii="Cambria Math" w:hAnsi="Cambria Math"/>
                <w:sz w:val="22"/>
              </w:rPr>
              <m:t>l</m:t>
            </m:r>
          </m:sub>
        </m:sSub>
        <m:r>
          <w:rPr>
            <w:rFonts w:ascii="Cambria Math" w:hAnsi="Cambria Math"/>
            <w:sz w:val="22"/>
          </w:rPr>
          <m:rPr>
            <m:sty m:val="p"/>
          </m:rPr>
          <m:t>∈</m:t>
        </m:r>
        <m:sSup>
          <m:e>
            <m:r>
              <w:rPr>
                <w:rFonts w:ascii="Cambria Math" w:hAnsi="Cambria Math"/>
                <w:sz w:val="22"/>
              </w:rPr>
              <m:rPr>
                <m:scr m:val="double-struck"/>
                <m:sty m:val="p"/>
              </m:rPr>
              <m:t>R</m:t>
            </m:r>
          </m:e>
          <m:sup>
            <m:r>
              <w:rPr>
                <w:rFonts w:ascii="Cambria Math" w:hAnsi="Cambria Math"/>
                <w:sz w:val="22"/>
              </w:rPr>
              <m:t>B</m:t>
            </m:r>
            <m:r>
              <w:rPr>
                <w:rFonts w:ascii="Cambria Math" w:hAnsi="Cambria Math"/>
                <w:sz w:val="22"/>
              </w:rPr>
              <m:rPr>
                <m:sty m:val="p"/>
              </m:rPr>
              <m:t>×</m:t>
            </m:r>
            <m:r>
              <w:rPr>
                <w:rFonts w:ascii="Cambria Math" w:hAnsi="Cambria Math"/>
                <w:sz w:val="22"/>
              </w:rPr>
              <m:t>N</m:t>
            </m:r>
            <m:r>
              <w:rPr>
                <w:rFonts w:ascii="Cambria Math" w:hAnsi="Cambria Math"/>
                <w:sz w:val="22"/>
              </w:rPr>
              <m:rPr>
                <m:sty m:val="p"/>
              </m:rPr>
              <m:t>×</m:t>
            </m:r>
            <m:r>
              <w:rPr>
                <w:rFonts w:ascii="Cambria Math" w:hAnsi="Cambria Math"/>
                <w:sz w:val="22"/>
              </w:rPr>
              <m:t>d</m:t>
            </m:r>
          </m:sup>
        </m:sSup>
      </m:oMath>
      <w:r>
        <w:rPr>
          <w:rFonts w:hint="eastAsia"/>
        </w:rPr>
        <w:t xml:space="preserve">，其中</w:t>
      </w:r>
      <m:oMath>
        <m:r>
          <w:rPr>
            <w:rFonts w:ascii="Cambria Math" w:hAnsi="Cambria Math"/>
            <w:sz w:val="22"/>
          </w:rPr>
          <m:t>B</m:t>
        </m:r>
      </m:oMath>
      <w:r>
        <w:rPr>
          <w:rFonts w:hint="eastAsia"/>
        </w:rPr>
        <w:t xml:space="preserve">为批量大小，</w:t>
      </w:r>
      <m:oMath>
        <m:r>
          <w:rPr>
            <w:rFonts w:ascii="Cambria Math" w:hAnsi="Cambria Math"/>
            <w:sz w:val="22"/>
          </w:rPr>
          <m:t>N</m:t>
        </m:r>
      </m:oMath>
      <w:r>
        <w:rPr>
          <w:rFonts w:hint="eastAsia"/>
        </w:rPr>
        <w:t xml:space="preserve">为输入序列长度，</w:t>
      </w:r>
      <m:oMath>
        <m:r>
          <w:rPr>
            <w:rFonts w:ascii="Cambria Math" w:hAnsi="Cambria Math"/>
            <w:sz w:val="22"/>
          </w:rPr>
          <m:t>d</m:t>
        </m:r>
      </m:oMath>
      <w:r>
        <w:rPr>
          <w:rFonts w:hint="eastAsia"/>
        </w:rPr>
        <w:t xml:space="preserve">为特征嵌入维度。Block通过以下三个步骤完成特征变换：</w:t>
      </w:r>
    </w:p>
    <w:p>
      <w:pPr>
        <w:pStyle w:val="BodyText"/>
      </w:pPr>
      <w:r>
        <w:rPr>
          <w:rFonts w:hint="eastAsia"/>
          <w:b/>
          <w:bCs/>
        </w:rPr>
        <w:t xml:space="preserve">步骤1：局部—全局特征融合。</w:t>
      </w:r>
      <w:r>
        <w:t xml:space="preserve"> </w:t>
      </w:r>
      <w:r>
        <w:rPr>
          <w:rFonts w:hint="eastAsia"/>
        </w:rPr>
        <w:t xml:space="preserve">输入</w:t>
      </w:r>
      <m:oMath>
        <m:sSub>
          <m:e>
            <m:r>
              <w:rPr>
                <w:rFonts w:ascii="Cambria Math" w:hAnsi="Cambria Math"/>
                <w:sz w:val="22"/>
              </w:rPr>
              <m:rPr>
                <m:sty m:val="bi"/>
              </m:rPr>
              <m:t>X</m:t>
            </m:r>
          </m:e>
          <m:sub>
            <m:r>
              <w:rPr>
                <w:rFonts w:ascii="Cambria Math" w:hAnsi="Cambria Math"/>
                <w:sz w:val="22"/>
              </w:rPr>
              <m:t>l</m:t>
            </m:r>
          </m:sub>
        </m:sSub>
      </m:oMath>
      <w:r>
        <w:rPr>
          <w:rFonts w:hint="eastAsia"/>
        </w:rPr>
        <w:t xml:space="preserve">经SLFA模块处理。SLFA利用DSConv-S提取局部特征，并通过ReLU</w:t>
      </w:r>
      <m:oMath>
        <m:sSup>
          <m:e>
            <m:r>
              <w:rPr>
                <w:rFonts w:ascii="Cambria Math" w:hAnsi="Cambria Math"/>
                <w:sz w:val="22"/>
              </w:rPr>
              <m:t>​</m:t>
            </m:r>
          </m:e>
          <m:sup>
            <m:r>
              <w:rPr>
                <w:rFonts w:ascii="Cambria Math" w:hAnsi="Cambria Math"/>
                <w:sz w:val="22"/>
              </w:rPr>
              <m:t>2</m:t>
            </m:r>
          </m:sup>
        </m:sSup>
      </m:oMath>
      <w:r>
        <w:rPr>
          <w:rFonts w:hint="eastAsia"/>
        </w:rPr>
        <w:t xml:space="preserve">智能体注意力（ReLU</w:t>
      </w:r>
      <m:oMath>
        <m:sSup>
          <m:e>
            <m:r>
              <w:rPr>
                <w:rFonts w:ascii="Cambria Math" w:hAnsi="Cambria Math"/>
                <w:sz w:val="22"/>
              </w:rPr>
              <m:t>​</m:t>
            </m:r>
          </m:e>
          <m:sup>
            <m:r>
              <w:rPr>
                <w:rFonts w:ascii="Cambria Math" w:hAnsi="Cambria Math"/>
                <w:sz w:val="22"/>
              </w:rPr>
              <m:t>2</m:t>
            </m:r>
          </m:sup>
        </m:sSup>
      </m:oMath>
      <w:r>
        <w:t xml:space="preserve"> </w:t>
      </w:r>
      <w:r>
        <w:t xml:space="preserve">Agent </w:t>
      </w:r>
      <w:r>
        <w:rPr>
          <w:rFonts w:hint="eastAsia"/>
        </w:rPr>
        <w:t xml:space="preserve">Attention，RAA）建立跨位置全局信息交互：</w:t>
      </w:r>
    </w:p>
    <w:p>
      <w:pPr>
        <w:pStyle w:val="BodyText"/>
        <w:keepLines/>
        <w:tabs>
          <w:tab w:pos="4791" w:val="center"/>
          <w:tab w:pos="9581" w:val="right"/>
        </w:tabs>
        <w:spacing w:before="100" w:after="100"/>
        <w:ind w:firstLine="0"/>
        <w:jc w:val="left"/>
      </w:pPr>
      <w:bookmarkStart w:id="1022" w:name="equation_11"/>
      <w:bookmarkStart w:id="1021" w:name="b_eq_block_slfa"/>
      <w:r>
        <w:tab/>
      </w:r>
      <m:oMath>
        <m:sSubSup>
          <m:e>
            <m:r>
              <w:rPr>
                <w:rFonts w:ascii="Cambria Math" w:hAnsi="Cambria Math"/>
                <w:sz w:val="22"/>
              </w:rPr>
              <m:rPr>
                <m:sty m:val="bi"/>
              </m:rPr>
              <m:t>X</m:t>
            </m:r>
          </m:e>
          <m:sub>
            <m:r>
              <w:rPr>
                <w:rFonts w:ascii="Cambria Math" w:hAnsi="Cambria Math"/>
                <w:sz w:val="22"/>
              </w:rPr>
              <m:t>l</m:t>
            </m:r>
          </m:sub>
          <m:sup>
            <m:r>
              <w:rPr>
                <w:rFonts w:ascii="Cambria Math" w:hAnsi="Cambria Math"/>
                <w:sz w:val="22"/>
              </w:rPr>
              <m:rPr>
                <m:sty m:val="p"/>
              </m:rPr>
              <m:t>′</m:t>
            </m:r>
          </m:sup>
        </m:sSubSup>
        <m:r>
          <w:rPr>
            <w:rFonts w:ascii="Cambria Math" w:hAnsi="Cambria Math"/>
            <w:sz w:val="22"/>
          </w:rPr>
          <m:rPr>
            <m:sty m:val="p"/>
          </m:rPr>
          <m:t>=</m:t>
        </m:r>
        <m:r>
          <w:rPr>
            <w:rFonts w:ascii="Cambria Math" w:hAnsi="Cambria Math"/>
            <w:sz w:val="22"/>
          </w:rPr>
          <m:rPr>
            <m:sty m:val="p"/>
          </m:rPr>
          <m:t>SLFA</m:t>
        </m:r>
        <m:r>
          <w:rPr>
            <w:rFonts w:ascii="Cambria Math" w:hAnsi="Cambria Math"/>
            <w:sz w:val="22"/>
          </w:rPr>
          <m:rPr>
            <m:sty m:val="p"/>
          </m:rPr>
          <m:t>(</m:t>
        </m:r>
        <m:sSub>
          <m:e>
            <m:r>
              <w:rPr>
                <w:rFonts w:ascii="Cambria Math" w:hAnsi="Cambria Math"/>
                <w:sz w:val="22"/>
              </w:rPr>
              <m:rPr>
                <m:sty m:val="bi"/>
              </m:rPr>
              <m:t>X</m:t>
            </m:r>
          </m:e>
          <m:sub>
            <m:r>
              <w:rPr>
                <w:rFonts w:ascii="Cambria Math" w:hAnsi="Cambria Math"/>
                <w:sz w:val="22"/>
              </w:rPr>
              <m:t>l</m:t>
            </m:r>
          </m:sub>
        </m:sSub>
        <m:r>
          <w:rPr>
            <w:rFonts w:ascii="Cambria Math" w:hAnsi="Cambria Math"/>
            <w:sz w:val="22"/>
          </w:rPr>
          <m:rPr>
            <m:sty m:val="p"/>
          </m:rPr>
          <m:t>)</m:t>
        </m:r>
        <m:r>
          <w:rPr>
            <w:rFonts w:ascii="Cambria Math" w:hAnsi="Cambria Math"/>
            <w:sz w:val="22"/>
          </w:rPr>
          <m:rPr>
            <m:sty m:val="p"/>
          </m:rPr>
          <m:t>.</m:t>
        </m:r>
      </m:oMath>
      <w:r>
        <w:tab/>
        <w:t>(11)</w:t>
      </w:r>
      <w:bookmarkEnd w:id="1021"/>
      <w:bookmarkEnd w:id="1022"/>
    </w:p>
    <w:p>
      <w:pPr>
        <w:pStyle w:val="BodyText"/>
      </w:pPr>
      <w:r>
        <w:rPr>
          <w:rFonts w:hint="eastAsia"/>
          <w:b/>
          <w:bCs/>
        </w:rPr>
        <w:t xml:space="preserve">步骤2：长尺度特征细化。</w:t>
      </w:r>
      <w:r>
        <w:t xml:space="preserve"> </w:t>
      </w:r>
      <w:r>
        <w:rPr>
          <w:rFonts w:hint="eastAsia"/>
        </w:rPr>
        <w:t xml:space="preserve">SLFA的输出</w:t>
      </w:r>
      <m:oMath>
        <m:sSubSup>
          <m:e>
            <m:r>
              <w:rPr>
                <w:rFonts w:ascii="Cambria Math" w:hAnsi="Cambria Math"/>
                <w:sz w:val="22"/>
              </w:rPr>
              <m:rPr>
                <m:sty m:val="bi"/>
              </m:rPr>
              <m:t>X</m:t>
            </m:r>
          </m:e>
          <m:sub>
            <m:r>
              <w:rPr>
                <w:rFonts w:ascii="Cambria Math" w:hAnsi="Cambria Math"/>
                <w:sz w:val="22"/>
              </w:rPr>
              <m:t>l</m:t>
            </m:r>
          </m:sub>
          <m:sup>
            <m:r>
              <w:rPr>
                <w:rFonts w:ascii="Cambria Math" w:hAnsi="Cambria Math"/>
                <w:sz w:val="22"/>
              </w:rPr>
              <m:rPr>
                <m:sty m:val="p"/>
              </m:rPr>
              <m:t>′</m:t>
            </m:r>
          </m:sup>
        </m:sSubSup>
      </m:oMath>
      <w:r>
        <w:rPr>
          <w:rFonts w:hint="eastAsia"/>
        </w:rPr>
        <w:t xml:space="preserve">经层归一化后输入DSConv-L，以提取较长时间尺度的退化特征。DSConv-L的输出经</w:t>
      </w:r>
      <m:oMath>
        <m:sSub>
          <m:e>
            <m:r>
              <w:rPr>
                <w:rFonts w:ascii="Cambria Math" w:hAnsi="Cambria Math"/>
                <w:sz w:val="22"/>
              </w:rPr>
              <m:t>W</m:t>
            </m:r>
          </m:e>
          <m:sub>
            <m:r>
              <w:rPr>
                <w:rFonts w:ascii="Cambria Math" w:hAnsi="Cambria Math"/>
                <w:sz w:val="22"/>
              </w:rPr>
              <m:t>l</m:t>
            </m:r>
          </m:sub>
        </m:sSub>
      </m:oMath>
      <w:r>
        <w:rPr>
          <w:rFonts w:hint="eastAsia"/>
        </w:rPr>
        <w:t xml:space="preserve">缩放，并与</w:t>
      </w:r>
      <m:oMath>
        <m:sSubSup>
          <m:e>
            <m:r>
              <w:rPr>
                <w:rFonts w:ascii="Cambria Math" w:hAnsi="Cambria Math"/>
                <w:sz w:val="22"/>
              </w:rPr>
              <m:rPr>
                <m:sty m:val="bi"/>
              </m:rPr>
              <m:t>X</m:t>
            </m:r>
          </m:e>
          <m:sub>
            <m:r>
              <w:rPr>
                <w:rFonts w:ascii="Cambria Math" w:hAnsi="Cambria Math"/>
                <w:sz w:val="22"/>
              </w:rPr>
              <m:t>l</m:t>
            </m:r>
          </m:sub>
          <m:sup>
            <m:r>
              <w:rPr>
                <w:rFonts w:ascii="Cambria Math" w:hAnsi="Cambria Math"/>
                <w:sz w:val="22"/>
              </w:rPr>
              <m:rPr>
                <m:sty m:val="p"/>
              </m:rPr>
              <m:t>′</m:t>
            </m:r>
          </m:sup>
        </m:sSubSup>
      </m:oMath>
      <w:r>
        <w:rPr>
          <w:rFonts w:hint="eastAsia"/>
        </w:rPr>
        <w:t xml:space="preserve">进行残差相加：</w:t>
      </w:r>
    </w:p>
    <w:p>
      <w:pPr>
        <w:pStyle w:val="BodyText"/>
        <w:keepLines/>
        <w:tabs>
          <w:tab w:pos="4791" w:val="center"/>
          <w:tab w:pos="9581" w:val="right"/>
        </w:tabs>
        <w:spacing w:before="100" w:after="100"/>
        <w:ind w:firstLine="0"/>
        <w:jc w:val="left"/>
      </w:pPr>
      <w:bookmarkStart w:id="1024" w:name="equation_12"/>
      <w:bookmarkStart w:id="1023" w:name="b_eq_block_dsconv_l"/>
      <w:r>
        <w:tab/>
      </w:r>
      <m:oMath>
        <m:sSubSup>
          <m:e>
            <m:r>
              <w:rPr>
                <w:rFonts w:ascii="Cambria Math" w:hAnsi="Cambria Math"/>
                <w:sz w:val="22"/>
              </w:rPr>
              <m:rPr>
                <m:sty m:val="bi"/>
              </m:rPr>
              <m:t>X</m:t>
            </m:r>
          </m:e>
          <m:sub>
            <m:r>
              <w:rPr>
                <w:rFonts w:ascii="Cambria Math" w:hAnsi="Cambria Math"/>
                <w:sz w:val="22"/>
              </w:rPr>
              <m:t>l</m:t>
            </m:r>
          </m:sub>
          <m:sup>
            <m:r>
              <w:rPr>
                <w:rFonts w:ascii="Cambria Math" w:hAnsi="Cambria Math"/>
                <w:sz w:val="22"/>
              </w:rPr>
              <m:rPr>
                <m:sty m:val="p"/>
              </m:rPr>
              <m:t>″</m:t>
            </m:r>
          </m:sup>
        </m:sSubSup>
        <m:r>
          <w:rPr>
            <w:rFonts w:ascii="Cambria Math" w:hAnsi="Cambria Math"/>
            <w:sz w:val="22"/>
          </w:rPr>
          <m:rPr>
            <m:sty m:val="p"/>
          </m:rPr>
          <m:t>=</m:t>
        </m:r>
        <m:sSubSup>
          <m:e>
            <m:r>
              <w:rPr>
                <w:rFonts w:ascii="Cambria Math" w:hAnsi="Cambria Math"/>
                <w:sz w:val="22"/>
              </w:rPr>
              <m:rPr>
                <m:sty m:val="bi"/>
              </m:rPr>
              <m:t>X</m:t>
            </m:r>
          </m:e>
          <m:sub>
            <m:r>
              <w:rPr>
                <w:rFonts w:ascii="Cambria Math" w:hAnsi="Cambria Math"/>
                <w:sz w:val="22"/>
              </w:rPr>
              <m:t>l</m:t>
            </m:r>
          </m:sub>
          <m:sup>
            <m:r>
              <w:rPr>
                <w:rFonts w:ascii="Cambria Math" w:hAnsi="Cambria Math"/>
                <w:sz w:val="22"/>
              </w:rPr>
              <m:rPr>
                <m:sty m:val="p"/>
              </m:rPr>
              <m:t>′</m:t>
            </m:r>
          </m:sup>
        </m:sSubSup>
        <m:r>
          <w:rPr>
            <w:rFonts w:ascii="Cambria Math" w:hAnsi="Cambria Math"/>
            <w:sz w:val="22"/>
          </w:rPr>
          <m:rPr>
            <m:sty m:val="p"/>
          </m:rPr>
          <m:t>+</m:t>
        </m:r>
        <m:sSub>
          <m:e>
            <m:r>
              <w:rPr>
                <w:rFonts w:ascii="Cambria Math" w:hAnsi="Cambria Math"/>
                <w:sz w:val="22"/>
              </w:rPr>
              <m:t>W</m:t>
            </m:r>
          </m:e>
          <m:sub>
            <m:r>
              <w:rPr>
                <w:rFonts w:ascii="Cambria Math" w:hAnsi="Cambria Math"/>
                <w:sz w:val="22"/>
              </w:rPr>
              <m:t>l</m:t>
            </m:r>
          </m:sub>
        </m:sSub>
        <m:r>
          <w:rPr>
            <w:rFonts w:ascii="Cambria Math" w:hAnsi="Cambria Math"/>
            <w:sz w:val="22"/>
          </w:rPr>
          <m:rPr>
            <m:sty m:val="p"/>
          </m:rPr>
          <m:t>DSConv-L</m:t>
        </m:r>
        <m:d>
          <m:dPr>
            <m:begChr m:val="("/>
            <m:sepChr m:val=""/>
            <m:endChr m:val=")"/>
            <m:grow/>
          </m:dPr>
          <m:e>
            <m:r>
              <w:rPr>
                <w:rFonts w:ascii="Cambria Math" w:hAnsi="Cambria Math"/>
                <w:sz w:val="22"/>
              </w:rPr>
              <m:rPr>
                <m:sty m:val="p"/>
              </m:rPr>
              <m:t>LN</m:t>
            </m:r>
            <m:r>
              <w:rPr>
                <w:rFonts w:ascii="Cambria Math" w:hAnsi="Cambria Math"/>
                <w:sz w:val="22"/>
              </w:rPr>
              <m:rPr>
                <m:sty m:val="p"/>
              </m:rPr>
              <m:t>(</m:t>
            </m:r>
            <m:sSubSup>
              <m:e>
                <m:r>
                  <w:rPr>
                    <w:rFonts w:ascii="Cambria Math" w:hAnsi="Cambria Math"/>
                    <w:sz w:val="22"/>
                  </w:rPr>
                  <m:rPr>
                    <m:sty m:val="bi"/>
                  </m:rPr>
                  <m:t>X</m:t>
                </m:r>
              </m:e>
              <m:sub>
                <m:r>
                  <w:rPr>
                    <w:rFonts w:ascii="Cambria Math" w:hAnsi="Cambria Math"/>
                    <w:sz w:val="22"/>
                  </w:rPr>
                  <m:t>l</m:t>
                </m:r>
              </m:sub>
              <m:sup>
                <m:r>
                  <w:rPr>
                    <w:rFonts w:ascii="Cambria Math" w:hAnsi="Cambria Math"/>
                    <w:sz w:val="22"/>
                  </w:rPr>
                  <m:rPr>
                    <m:sty m:val="p"/>
                  </m:rPr>
                  <m:t>′</m:t>
                </m:r>
              </m:sup>
            </m:sSubSup>
            <m:r>
              <w:rPr>
                <w:rFonts w:ascii="Cambria Math" w:hAnsi="Cambria Math"/>
                <w:sz w:val="22"/>
              </w:rPr>
              <m:rPr>
                <m:sty m:val="p"/>
              </m:rPr>
              <m:t>)</m:t>
            </m:r>
          </m:e>
        </m:d>
        <m:r>
          <w:rPr>
            <w:rFonts w:ascii="Cambria Math" w:hAnsi="Cambria Math"/>
            <w:sz w:val="22"/>
          </w:rPr>
          <m:rPr>
            <m:sty m:val="p"/>
          </m:rPr>
          <m:t>.</m:t>
        </m:r>
      </m:oMath>
      <w:r>
        <w:tab/>
        <w:t>(12)</w:t>
      </w:r>
      <w:bookmarkEnd w:id="1023"/>
      <w:bookmarkEnd w:id="1024"/>
    </w:p>
    <w:p>
      <w:pPr>
        <w:pStyle w:val="BodyText"/>
      </w:pPr>
      <w:r>
        <w:rPr>
          <w:rFonts w:hint="eastAsia"/>
          <w:b/>
          <w:bCs/>
        </w:rPr>
        <w:t xml:space="preserve">步骤3：非线性映射。</w:t>
      </w:r>
      <w:r>
        <w:t xml:space="preserve"> </w:t>
      </w:r>
      <w:r>
        <w:rPr>
          <w:rFonts w:hint="eastAsia"/>
        </w:rPr>
        <w:t xml:space="preserve">特征</w:t>
      </w:r>
      <m:oMath>
        <m:sSubSup>
          <m:e>
            <m:r>
              <w:rPr>
                <w:rFonts w:ascii="Cambria Math" w:hAnsi="Cambria Math"/>
                <w:sz w:val="22"/>
              </w:rPr>
              <m:rPr>
                <m:sty m:val="bi"/>
              </m:rPr>
              <m:t>X</m:t>
            </m:r>
          </m:e>
          <m:sub>
            <m:r>
              <w:rPr>
                <w:rFonts w:ascii="Cambria Math" w:hAnsi="Cambria Math"/>
                <w:sz w:val="22"/>
              </w:rPr>
              <m:t>l</m:t>
            </m:r>
          </m:sub>
          <m:sup>
            <m:r>
              <w:rPr>
                <w:rFonts w:ascii="Cambria Math" w:hAnsi="Cambria Math"/>
                <w:sz w:val="22"/>
              </w:rPr>
              <m:rPr>
                <m:sty m:val="p"/>
              </m:rPr>
              <m:t>″</m:t>
            </m:r>
          </m:sup>
        </m:sSubSup>
      </m:oMath>
      <w:r>
        <w:rPr>
          <w:rFonts w:hint="eastAsia"/>
        </w:rPr>
        <w:t xml:space="preserve">经</w:t>
      </w:r>
      <m:oMath>
        <m:sSub>
          <m:e>
            <m:r>
              <w:rPr>
                <w:rFonts w:ascii="Cambria Math" w:hAnsi="Cambria Math"/>
                <w:sz w:val="22"/>
              </w:rPr>
              <m:rPr>
                <m:sty m:val="p"/>
              </m:rPr>
              <m:t>LN</m:t>
            </m:r>
          </m:e>
          <m:sub>
            <m:r>
              <w:rPr>
                <w:rFonts w:ascii="Cambria Math" w:hAnsi="Cambria Math"/>
                <w:sz w:val="22"/>
              </w:rPr>
              <m:t>0</m:t>
            </m:r>
          </m:sub>
        </m:sSub>
      </m:oMath>
      <w:r>
        <w:rPr>
          <w:rFonts w:hint="eastAsia"/>
        </w:rPr>
        <w:t xml:space="preserve">处理后输入前馈神经网络（FFN），并与</w:t>
      </w:r>
      <m:oMath>
        <m:sSubSup>
          <m:e>
            <m:r>
              <w:rPr>
                <w:rFonts w:ascii="Cambria Math" w:hAnsi="Cambria Math"/>
                <w:sz w:val="22"/>
              </w:rPr>
              <m:rPr>
                <m:sty m:val="bi"/>
              </m:rPr>
              <m:t>X</m:t>
            </m:r>
          </m:e>
          <m:sub>
            <m:r>
              <w:rPr>
                <w:rFonts w:ascii="Cambria Math" w:hAnsi="Cambria Math"/>
                <w:sz w:val="22"/>
              </w:rPr>
              <m:t>l</m:t>
            </m:r>
          </m:sub>
          <m:sup>
            <m:r>
              <w:rPr>
                <w:rFonts w:ascii="Cambria Math" w:hAnsi="Cambria Math"/>
                <w:sz w:val="22"/>
              </w:rPr>
              <m:rPr>
                <m:sty m:val="p"/>
              </m:rPr>
              <m:t>″</m:t>
            </m:r>
          </m:sup>
        </m:sSubSup>
      </m:oMath>
      <w:r>
        <w:rPr>
          <w:rFonts w:hint="eastAsia"/>
        </w:rPr>
        <w:t xml:space="preserve">进行残差相加，得到Block输出</w:t>
      </w:r>
      <m:oMath>
        <m:sSub>
          <m:e>
            <m:r>
              <w:rPr>
                <w:rFonts w:ascii="Cambria Math" w:hAnsi="Cambria Math"/>
                <w:sz w:val="22"/>
              </w:rPr>
              <m:rPr>
                <m:sty m:val="bi"/>
              </m:rPr>
              <m:t>Y</m:t>
            </m:r>
          </m:e>
          <m:sub>
            <m:r>
              <w:rPr>
                <w:rFonts w:ascii="Cambria Math" w:hAnsi="Cambria Math"/>
                <w:sz w:val="22"/>
              </w:rPr>
              <m:t>l</m:t>
            </m:r>
          </m:sub>
        </m:sSub>
      </m:oMath>
      <w:r>
        <w:rPr>
          <w:rFonts w:hint="eastAsia"/>
        </w:rPr>
        <w:t xml:space="preserve">：</w:t>
      </w:r>
    </w:p>
    <w:p>
      <w:pPr>
        <w:pStyle w:val="BodyText"/>
        <w:keepLines/>
        <w:tabs>
          <w:tab w:pos="4791" w:val="center"/>
          <w:tab w:pos="9581" w:val="right"/>
        </w:tabs>
        <w:spacing w:before="100" w:after="100"/>
        <w:ind w:firstLine="0"/>
        <w:jc w:val="left"/>
      </w:pPr>
      <w:bookmarkStart w:id="1026" w:name="equation_13"/>
      <w:bookmarkStart w:id="1025" w:name="b_eq_block_ffn"/>
      <w:r>
        <w:tab/>
      </w:r>
      <m:oMath>
        <m:sSub>
          <m:e>
            <m:r>
              <w:rPr>
                <w:rFonts w:ascii="Cambria Math" w:hAnsi="Cambria Math"/>
                <w:sz w:val="22"/>
              </w:rPr>
              <m:rPr>
                <m:sty m:val="bi"/>
              </m:rPr>
              <m:t>Y</m:t>
            </m:r>
          </m:e>
          <m:sub>
            <m:r>
              <w:rPr>
                <w:rFonts w:ascii="Cambria Math" w:hAnsi="Cambria Math"/>
                <w:sz w:val="22"/>
              </w:rPr>
              <m:t>l</m:t>
            </m:r>
          </m:sub>
        </m:sSub>
        <m:r>
          <w:rPr>
            <w:rFonts w:ascii="Cambria Math" w:hAnsi="Cambria Math"/>
            <w:sz w:val="22"/>
          </w:rPr>
          <m:rPr>
            <m:sty m:val="p"/>
          </m:rPr>
          <m:t>=</m:t>
        </m:r>
        <m:sSubSup>
          <m:e>
            <m:r>
              <w:rPr>
                <w:rFonts w:ascii="Cambria Math" w:hAnsi="Cambria Math"/>
                <w:sz w:val="22"/>
              </w:rPr>
              <m:rPr>
                <m:sty m:val="bi"/>
              </m:rPr>
              <m:t>X</m:t>
            </m:r>
          </m:e>
          <m:sub>
            <m:r>
              <w:rPr>
                <w:rFonts w:ascii="Cambria Math" w:hAnsi="Cambria Math"/>
                <w:sz w:val="22"/>
              </w:rPr>
              <m:t>l</m:t>
            </m:r>
          </m:sub>
          <m:sup>
            <m:r>
              <w:rPr>
                <w:rFonts w:ascii="Cambria Math" w:hAnsi="Cambria Math"/>
                <w:sz w:val="22"/>
              </w:rPr>
              <m:rPr>
                <m:sty m:val="p"/>
              </m:rPr>
              <m:t>″</m:t>
            </m:r>
          </m:sup>
        </m:sSubSup>
        <m:r>
          <w:rPr>
            <w:rFonts w:ascii="Cambria Math" w:hAnsi="Cambria Math"/>
            <w:sz w:val="22"/>
          </w:rPr>
          <m:rPr>
            <m:sty m:val="p"/>
          </m:rPr>
          <m:t>+</m:t>
        </m:r>
        <m:r>
          <w:rPr>
            <w:rFonts w:ascii="Cambria Math" w:hAnsi="Cambria Math"/>
            <w:sz w:val="22"/>
          </w:rPr>
          <m:rPr>
            <m:sty m:val="p"/>
          </m:rPr>
          <m:t>FFN</m:t>
        </m:r>
        <m:d>
          <m:dPr>
            <m:begChr m:val="("/>
            <m:sepChr m:val=""/>
            <m:endChr m:val=")"/>
            <m:grow/>
          </m:dPr>
          <m:e>
            <m:sSub>
              <m:e>
                <m:r>
                  <w:rPr>
                    <w:rFonts w:ascii="Cambria Math" w:hAnsi="Cambria Math"/>
                    <w:sz w:val="22"/>
                  </w:rPr>
                  <m:rPr>
                    <m:sty m:val="p"/>
                  </m:rPr>
                  <m:t>LN</m:t>
                </m:r>
              </m:e>
              <m:sub>
                <m:r>
                  <w:rPr>
                    <w:rFonts w:ascii="Cambria Math" w:hAnsi="Cambria Math"/>
                    <w:sz w:val="22"/>
                  </w:rPr>
                  <m:t>0</m:t>
                </m:r>
              </m:sub>
            </m:sSub>
            <m:r>
              <w:rPr>
                <w:rFonts w:ascii="Cambria Math" w:hAnsi="Cambria Math"/>
                <w:sz w:val="22"/>
              </w:rPr>
              <m:rPr>
                <m:sty m:val="p"/>
              </m:rPr>
              <m:t>(</m:t>
            </m:r>
            <m:sSubSup>
              <m:e>
                <m:r>
                  <w:rPr>
                    <w:rFonts w:ascii="Cambria Math" w:hAnsi="Cambria Math"/>
                    <w:sz w:val="22"/>
                  </w:rPr>
                  <m:rPr>
                    <m:sty m:val="bi"/>
                  </m:rPr>
                  <m:t>X</m:t>
                </m:r>
              </m:e>
              <m:sub>
                <m:r>
                  <w:rPr>
                    <w:rFonts w:ascii="Cambria Math" w:hAnsi="Cambria Math"/>
                    <w:sz w:val="22"/>
                  </w:rPr>
                  <m:t>l</m:t>
                </m:r>
              </m:sub>
              <m:sup>
                <m:r>
                  <w:rPr>
                    <w:rFonts w:ascii="Cambria Math" w:hAnsi="Cambria Math"/>
                    <w:sz w:val="22"/>
                  </w:rPr>
                  <m:rPr>
                    <m:sty m:val="p"/>
                  </m:rPr>
                  <m:t>″</m:t>
                </m:r>
              </m:sup>
            </m:sSubSup>
            <m:r>
              <w:rPr>
                <w:rFonts w:ascii="Cambria Math" w:hAnsi="Cambria Math"/>
                <w:sz w:val="22"/>
              </w:rPr>
              <m:rPr>
                <m:sty m:val="p"/>
              </m:rPr>
              <m:t>)</m:t>
            </m:r>
          </m:e>
        </m:d>
        <m:r>
          <w:rPr>
            <w:rFonts w:ascii="Cambria Math" w:hAnsi="Cambria Math"/>
            <w:sz w:val="22"/>
          </w:rPr>
          <m:rPr>
            <m:sty m:val="p"/>
          </m:rPr>
          <m:t>.</m:t>
        </m:r>
      </m:oMath>
      <w:r>
        <w:tab/>
        <w:t>(13)</w:t>
      </w:r>
      <w:bookmarkEnd w:id="1025"/>
      <w:bookmarkEnd w:id="1026"/>
    </w:p>
    <w:p>
      <w:pPr>
        <w:pStyle w:val="BodyText"/>
      </w:pPr>
      <w:r>
        <w:rPr>
          <w:rFonts w:hint="eastAsia"/>
        </w:rPr>
        <w:t xml:space="preserve">令</w:t>
      </w:r>
      <m:oMath>
        <m:sSub>
          <m:e>
            <m:r>
              <w:rPr>
                <w:rFonts w:ascii="Cambria Math" w:hAnsi="Cambria Math"/>
                <w:sz w:val="22"/>
              </w:rPr>
              <m:rPr>
                <m:sty m:val="bi"/>
              </m:rPr>
              <m:t>Y</m:t>
            </m:r>
          </m:e>
          <m:sub>
            <m:r>
              <w:rPr>
                <w:rFonts w:ascii="Cambria Math" w:hAnsi="Cambria Math"/>
                <w:sz w:val="22"/>
              </w:rPr>
              <m:t>l</m:t>
            </m:r>
          </m:sub>
        </m:sSub>
      </m:oMath>
      <w:r>
        <w:rPr>
          <w:rFonts w:hint="eastAsia"/>
        </w:rPr>
        <w:t xml:space="preserve">作为下一Block的输入，即</w:t>
      </w:r>
      <m:oMath>
        <m:sSub>
          <m:e>
            <m:r>
              <w:rPr>
                <w:rFonts w:ascii="Cambria Math" w:hAnsi="Cambria Math"/>
                <w:sz w:val="22"/>
              </w:rPr>
              <m:rPr>
                <m:sty m:val="bi"/>
              </m:rPr>
              <m:t>X</m:t>
            </m:r>
          </m:e>
          <m:sub>
            <m:r>
              <w:rPr>
                <w:rFonts w:ascii="Cambria Math" w:hAnsi="Cambria Math"/>
                <w:sz w:val="22"/>
              </w:rPr>
              <m:t>l</m:t>
            </m:r>
            <m:r>
              <w:rPr>
                <w:rFonts w:ascii="Cambria Math" w:hAnsi="Cambria Math"/>
                <w:sz w:val="22"/>
              </w:rPr>
              <m:rPr>
                <m:sty m:val="p"/>
              </m:rPr>
              <m:t>+</m:t>
            </m:r>
            <m:r>
              <w:rPr>
                <w:rFonts w:ascii="Cambria Math" w:hAnsi="Cambria Math"/>
                <w:sz w:val="22"/>
              </w:rPr>
              <m:t>1</m:t>
            </m:r>
          </m:sub>
        </m:sSub>
        <m:r>
          <w:rPr>
            <w:rFonts w:ascii="Cambria Math" w:hAnsi="Cambria Math"/>
            <w:sz w:val="22"/>
          </w:rPr>
          <m:rPr>
            <m:sty m:val="p"/>
          </m:rPr>
          <m:t>=</m:t>
        </m:r>
        <m:sSub>
          <m:e>
            <m:r>
              <w:rPr>
                <w:rFonts w:ascii="Cambria Math" w:hAnsi="Cambria Math"/>
                <w:sz w:val="22"/>
              </w:rPr>
              <m:rPr>
                <m:sty m:val="bi"/>
              </m:rPr>
              <m:t>Y</m:t>
            </m:r>
          </m:e>
          <m:sub>
            <m:r>
              <w:rPr>
                <w:rFonts w:ascii="Cambria Math" w:hAnsi="Cambria Math"/>
                <w:sz w:val="22"/>
              </w:rPr>
              <m:t>l</m:t>
            </m:r>
          </m:sub>
        </m:sSub>
      </m:oMath>
      <w:r>
        <w:rPr>
          <w:rFonts w:hint="eastAsia"/>
        </w:rPr>
        <w:t xml:space="preserve">。其中，</w:t>
      </w:r>
      <m:oMath>
        <m:sSub>
          <m:e>
            <m:r>
              <w:rPr>
                <w:rFonts w:ascii="Cambria Math" w:hAnsi="Cambria Math"/>
                <w:sz w:val="22"/>
              </w:rPr>
              <m:t>W</m:t>
            </m:r>
          </m:e>
          <m:sub>
            <m:r>
              <w:rPr>
                <w:rFonts w:ascii="Cambria Math" w:hAnsi="Cambria Math"/>
                <w:sz w:val="22"/>
              </w:rPr>
              <m:t>l</m:t>
            </m:r>
          </m:sub>
        </m:sSub>
      </m:oMath>
      <w:r>
        <w:rPr>
          <w:rFonts w:hint="eastAsia"/>
        </w:rPr>
        <w:t xml:space="preserve">为可学习缩放系数；</w:t>
      </w:r>
      <m:oMath>
        <m:r>
          <w:rPr>
            <w:rFonts w:ascii="Cambria Math" w:hAnsi="Cambria Math"/>
            <w:sz w:val="22"/>
          </w:rPr>
          <m:rPr>
            <m:sty m:val="p"/>
          </m:rPr>
          <m:t>LN</m:t>
        </m:r>
      </m:oMath>
      <w:r>
        <w:rPr>
          <w:rFonts w:hint="eastAsia"/>
        </w:rPr>
        <w:t xml:space="preserve">和</w:t>
      </w:r>
      <m:oMath>
        <m:sSub>
          <m:e>
            <m:r>
              <w:rPr>
                <w:rFonts w:ascii="Cambria Math" w:hAnsi="Cambria Math"/>
                <w:sz w:val="22"/>
              </w:rPr>
              <m:rPr>
                <m:sty m:val="p"/>
              </m:rPr>
              <m:t>LN</m:t>
            </m:r>
          </m:e>
          <m:sub>
            <m:r>
              <w:rPr>
                <w:rFonts w:ascii="Cambria Math" w:hAnsi="Cambria Math"/>
                <w:sz w:val="22"/>
              </w:rPr>
              <m:t>0</m:t>
            </m:r>
          </m:sub>
        </m:sSub>
      </m:oMath>
      <w:r>
        <w:rPr>
          <w:rFonts w:hint="eastAsia"/>
        </w:rPr>
        <w:t xml:space="preserve">均表示层归一化，</w:t>
      </w:r>
      <m:oMath>
        <m:sSub>
          <m:e>
            <m:r>
              <w:rPr>
                <w:rFonts w:ascii="Cambria Math" w:hAnsi="Cambria Math"/>
                <w:sz w:val="22"/>
              </w:rPr>
              <m:rPr>
                <m:sty m:val="p"/>
              </m:rPr>
              <m:t>LN</m:t>
            </m:r>
          </m:e>
          <m:sub>
            <m:r>
              <w:rPr>
                <w:rFonts w:ascii="Cambria Math" w:hAnsi="Cambria Math"/>
                <w:sz w:val="22"/>
              </w:rPr>
              <m:t>0</m:t>
            </m:r>
          </m:sub>
        </m:sSub>
      </m:oMath>
      <w:r>
        <w:rPr>
          <w:rFonts w:hint="eastAsia"/>
        </w:rPr>
        <w:t xml:space="preserve">不使用额外的缩放和偏置参数。</w:t>
      </w:r>
    </w:p>
    <w:p>
      <w:pPr>
        <w:pStyle w:val="BodyText"/>
        <w:keepNext/>
        <w:keepLines/>
        <w:spacing w:before="100" w:after="80"/>
        <w:ind w:firstLine="0"/>
        <w:jc w:val="center"/>
      </w:pPr>
      <w:bookmarkStart w:id="1027" w:name="b_fig_3_1"/>
      <w:r>
        <w:drawing>
          <wp:inline>
            <wp:extent cx="5580000" cy="3100000"/>
            <wp:docPr id="10" name="Picture 10"/>
            <wp:cNvGraphicFramePr>
              <a:graphicFrameLocks noChangeAspect="1"/>
            </wp:cNvGraphicFramePr>
            <a:graphic>
              <a:graphicData uri="http://schemas.openxmlformats.org/drawingml/2006/picture">
                <pic:pic>
                  <pic:nvPicPr>
                    <pic:cNvPr id="0" name="01.png"/>
                    <pic:cNvPicPr/>
                  </pic:nvPicPr>
                  <pic:blipFill>
                    <a:blip r:embed="rId18"/>
                    <a:stretch>
                      <a:fillRect/>
                    </a:stretch>
                  </pic:blipFill>
                  <pic:spPr>
                    <a:xfrm>
                      <a:off x="0" y="0"/>
                      <a:ext cx="5580000" cy="3100000"/>
                    </a:xfrm>
                    <a:prstGeom prst="rect"/>
                  </pic:spPr>
                </pic:pic>
              </a:graphicData>
            </a:graphic>
          </wp:inline>
        </w:drawing>
      </w:r>
      <w:bookmarkEnd w:id="1027"/>
    </w:p>
    <w:p>
      <w:pPr>
        <w:ind w:firstLine="0"/>
        <w:jc w:val="center"/>
      </w:pPr>
      <w:r>
        <w:rPr>
          <w:sz w:val="18"/>
        </w:rPr>
        <w:t>Fig. 5. Framework of MS-AgentNet. (a) Overall architecture; (b) core structure; (c) DSConv-L module.</w:t>
      </w:r>
    </w:p>
    <w:bookmarkEnd w:id="23"/>
    <w:bookmarkStart w:id="27" w:name="所设计的多尺度深度可分离卷积模块"/>
    <w:p>
      <w:pPr>
        <w:pStyle w:val="Heading2"/>
      </w:pPr>
      <w:r>
        <w:rPr>
          <w:rStyle w:val="SectionNumber"/>
        </w:rPr>
        <w:t xml:space="preserve">3.2</w:t>
      </w:r>
      <w:r>
        <w:tab/>
      </w:r>
      <w:r>
        <w:rPr>
          <w:rFonts w:hint="eastAsia"/>
        </w:rPr>
        <w:t xml:space="preserve">所设计的多尺度深度可分离卷积模块</w:t>
      </w:r>
    </w:p>
    <w:p>
      <w:pPr>
        <w:pStyle w:val="FirstParagraph"/>
      </w:pPr>
      <w:r>
        <w:rPr>
          <w:rFonts w:hint="eastAsia"/>
        </w:rPr>
        <w:t xml:space="preserve">为兼顾多尺度局部特征提取与计算效率，本节首先介绍DSConv的基本结构，并将其与标准卷积进行计算量比较；随后说明DSConv-S和DSConv-L的结构配置及其功能分工。</w:t>
      </w:r>
    </w:p>
    <w:bookmarkStart w:id="24" w:name="dsconv基本结构与计算量比较"/>
    <w:p>
      <w:pPr>
        <w:pStyle w:val="Heading3"/>
      </w:pPr>
      <w:r>
        <w:rPr>
          <w:rStyle w:val="SectionNumber"/>
        </w:rPr>
        <w:t xml:space="preserve">3.2.1</w:t>
      </w:r>
      <w:r>
        <w:tab/>
      </w:r>
      <w:r>
        <w:rPr>
          <w:rFonts w:hint="eastAsia"/>
        </w:rPr>
        <w:t xml:space="preserve">DSConv基本结构与计算量比较</w:t>
      </w:r>
    </w:p>
    <w:p>
      <w:pPr>
        <w:pStyle w:val="FirstParagraph"/>
      </w:pPr>
      <w:r>
        <w:rPr>
          <w:rFonts w:hint="eastAsia"/>
        </w:rPr>
        <w:t xml:space="preserve">卷积运算通过滑动卷积核提取时间序列中的局部信息[</w:t>
      </w:r>
      <w:hyperlink w:anchor="b_ref71">
        <w:r>
          <w:rPr>
            <w:rStyle w:val="Hyperlink"/>
          </w:rPr>
          <w:t xml:space="preserve">71</w:t>
        </w:r>
      </w:hyperlink>
      <w:r>
        <w:rPr>
          <w:rFonts w:hint="eastAsia"/>
        </w:rPr>
        <w:t xml:space="preserve">]。标准卷积在所有输入通道上进行运算，每个卷积核生成一个输出特征图，对应一个输出通道。随着输入通道数、输出通道数和卷积核尺寸增加，其参数量与计算开销迅速累积，显著推高计算负载并延长训练时间。在小样本电池数据集上，较大的参数量还可能增加模型的过拟合风险。其计算成本可表示为：</w:t>
      </w:r>
    </w:p>
    <w:p>
      <w:pPr>
        <w:pStyle w:val="BodyText"/>
        <w:keepLines/>
        <w:tabs>
          <w:tab w:pos="4791" w:val="center"/>
          <w:tab w:pos="9581" w:val="right"/>
        </w:tabs>
        <w:spacing w:before="100" w:after="100"/>
        <w:ind w:firstLine="0"/>
        <w:jc w:val="left"/>
      </w:pPr>
      <w:bookmarkStart w:id="1029" w:name="equation_14"/>
      <w:bookmarkStart w:id="1028" w:name="b_eq_conv_cost"/>
      <w:r>
        <w:tab/>
      </w:r>
      <m:oMath>
        <m:sSub>
          <m:e>
            <m:r>
              <w:rPr>
                <w:rFonts w:ascii="Cambria Math" w:hAnsi="Cambria Math"/>
                <w:sz w:val="22"/>
              </w:rPr>
              <m:t>C</m:t>
            </m:r>
          </m:e>
          <m:sub>
            <m:r>
              <w:rPr>
                <w:rFonts w:ascii="Cambria Math" w:hAnsi="Cambria Math"/>
                <w:sz w:val="22"/>
              </w:rPr>
              <m:rPr>
                <m:sty m:val="p"/>
              </m:rPr>
              <m:t>C</m:t>
            </m:r>
            <m:r>
              <w:rPr>
                <w:rFonts w:ascii="Cambria Math" w:hAnsi="Cambria Math"/>
                <w:sz w:val="22"/>
              </w:rPr>
              <m:rPr>
                <m:sty m:val="p"/>
              </m:rPr>
              <m:t>o</m:t>
            </m:r>
            <m:r>
              <w:rPr>
                <w:rFonts w:ascii="Cambria Math" w:hAnsi="Cambria Math"/>
                <w:sz w:val="22"/>
              </w:rPr>
              <m:rPr>
                <m:sty m:val="p"/>
              </m:rPr>
              <m:t>n</m:t>
            </m:r>
            <m:r>
              <w:rPr>
                <w:rFonts w:ascii="Cambria Math" w:hAnsi="Cambria Math"/>
                <w:sz w:val="22"/>
              </w:rPr>
              <m:rPr>
                <m:sty m:val="p"/>
              </m:rPr>
              <m:t>v</m:t>
            </m:r>
          </m:sub>
        </m:sSub>
        <m:r>
          <w:rPr>
            <w:rFonts w:ascii="Cambria Math" w:hAnsi="Cambria Math"/>
            <w:sz w:val="22"/>
          </w:rPr>
          <m:rPr>
            <m:sty m:val="p"/>
          </m:rPr>
          <m:t>=</m:t>
        </m:r>
        <m:r>
          <w:rPr>
            <w:rFonts w:ascii="Cambria Math" w:hAnsi="Cambria Math"/>
            <w:sz w:val="22"/>
          </w:rPr>
          <m:t>k</m:t>
        </m:r>
        <m:r>
          <w:rPr>
            <w:rFonts w:ascii="Cambria Math" w:hAnsi="Cambria Math"/>
            <w:sz w:val="22"/>
          </w:rPr>
          <m:rPr>
            <m:sty m:val="p"/>
          </m:rPr>
          <m:t>×</m:t>
        </m:r>
        <m:r>
          <w:rPr>
            <w:rFonts w:ascii="Cambria Math" w:hAnsi="Cambria Math"/>
            <w:sz w:val="22"/>
          </w:rPr>
          <m:t>k</m:t>
        </m:r>
        <m:r>
          <w:rPr>
            <w:rFonts w:ascii="Cambria Math" w:hAnsi="Cambria Math"/>
            <w:sz w:val="22"/>
          </w:rPr>
          <m:rPr>
            <m:sty m:val="p"/>
          </m:rPr>
          <m:t>×</m:t>
        </m:r>
        <m:sSub>
          <m:e>
            <m:r>
              <w:rPr>
                <w:rFonts w:ascii="Cambria Math" w:hAnsi="Cambria Math"/>
                <w:sz w:val="22"/>
              </w:rPr>
              <m:t>C</m:t>
            </m:r>
          </m:e>
          <m:sub>
            <m:r>
              <w:rPr>
                <w:rFonts w:ascii="Cambria Math" w:hAnsi="Cambria Math"/>
                <w:sz w:val="22"/>
              </w:rPr>
              <m:rPr>
                <m:sty m:val="p"/>
              </m:rPr>
              <m:t>i</m:t>
            </m:r>
            <m:r>
              <w:rPr>
                <w:rFonts w:ascii="Cambria Math" w:hAnsi="Cambria Math"/>
                <w:sz w:val="22"/>
              </w:rPr>
              <m:rPr>
                <m:sty m:val="p"/>
              </m:rPr>
              <m:t>n</m:t>
            </m:r>
          </m:sub>
        </m:sSub>
        <m:r>
          <w:rPr>
            <w:rFonts w:ascii="Cambria Math" w:hAnsi="Cambria Math"/>
            <w:sz w:val="22"/>
          </w:rPr>
          <m:rPr>
            <m:sty m:val="p"/>
          </m:rPr>
          <m:t>×</m:t>
        </m:r>
        <m:sSub>
          <m:e>
            <m:r>
              <w:rPr>
                <w:rFonts w:ascii="Cambria Math" w:hAnsi="Cambria Math"/>
                <w:sz w:val="22"/>
              </w:rPr>
              <m:t>C</m:t>
            </m:r>
          </m:e>
          <m:sub>
            <m:r>
              <w:rPr>
                <w:rFonts w:ascii="Cambria Math" w:hAnsi="Cambria Math"/>
                <w:sz w:val="22"/>
              </w:rPr>
              <m:rPr>
                <m:sty m:val="p"/>
              </m:rPr>
              <m:t>o</m:t>
            </m:r>
            <m:r>
              <w:rPr>
                <w:rFonts w:ascii="Cambria Math" w:hAnsi="Cambria Math"/>
                <w:sz w:val="22"/>
              </w:rPr>
              <m:rPr>
                <m:sty m:val="p"/>
              </m:rPr>
              <m:t>u</m:t>
            </m:r>
            <m:r>
              <w:rPr>
                <w:rFonts w:ascii="Cambria Math" w:hAnsi="Cambria Math"/>
                <w:sz w:val="22"/>
              </w:rPr>
              <m:rPr>
                <m:sty m:val="p"/>
              </m:rPr>
              <m:t>t</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F</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F</m:t>
            </m:r>
          </m:sub>
        </m:sSub>
        <m:r>
          <w:rPr>
            <w:rFonts w:ascii="Cambria Math" w:hAnsi="Cambria Math"/>
            <w:sz w:val="22"/>
          </w:rPr>
          <m:rPr>
            <m:sty m:val="p"/>
          </m:rPr>
          <m:t>.</m:t>
        </m:r>
      </m:oMath>
      <w:r>
        <w:tab/>
        <w:t>(14)</w:t>
      </w:r>
      <w:bookmarkEnd w:id="1028"/>
      <w:bookmarkEnd w:id="1029"/>
    </w:p>
    <w:p>
      <w:pPr>
        <w:pStyle w:val="BodyText"/>
      </w:pPr>
      <w:r>
        <w:rPr>
          <w:rFonts w:hint="eastAsia"/>
        </w:rPr>
        <w:t xml:space="preserve">其中，</w:t>
      </w:r>
      <m:oMath>
        <m:r>
          <w:rPr>
            <w:rFonts w:ascii="Cambria Math" w:hAnsi="Cambria Math"/>
            <w:sz w:val="22"/>
          </w:rPr>
          <m:t>k</m:t>
        </m:r>
      </m:oMath>
      <w:r>
        <w:t xml:space="preserve">、</w:t>
      </w:r>
      <m:oMath>
        <m:sSub>
          <m:e>
            <m:r>
              <w:rPr>
                <w:rFonts w:ascii="Cambria Math" w:hAnsi="Cambria Math"/>
                <w:sz w:val="22"/>
              </w:rPr>
              <m:t>C</m:t>
            </m:r>
          </m:e>
          <m:sub>
            <m:r>
              <w:rPr>
                <w:rFonts w:ascii="Cambria Math" w:hAnsi="Cambria Math"/>
                <w:sz w:val="22"/>
              </w:rPr>
              <m:rPr>
                <m:sty m:val="p"/>
              </m:rPr>
              <m:t>i</m:t>
            </m:r>
            <m:r>
              <w:rPr>
                <w:rFonts w:ascii="Cambria Math" w:hAnsi="Cambria Math"/>
                <w:sz w:val="22"/>
              </w:rPr>
              <m:rPr>
                <m:sty m:val="p"/>
              </m:rPr>
              <m:t>n</m:t>
            </m:r>
          </m:sub>
        </m:sSub>
      </m:oMath>
      <w:r>
        <w:t xml:space="preserve">、</w:t>
      </w:r>
      <m:oMath>
        <m:sSub>
          <m:e>
            <m:r>
              <w:rPr>
                <w:rFonts w:ascii="Cambria Math" w:hAnsi="Cambria Math"/>
                <w:sz w:val="22"/>
              </w:rPr>
              <m:t>C</m:t>
            </m:r>
          </m:e>
          <m:sub>
            <m:r>
              <w:rPr>
                <w:rFonts w:ascii="Cambria Math" w:hAnsi="Cambria Math"/>
                <w:sz w:val="22"/>
              </w:rPr>
              <m:rPr>
                <m:sty m:val="p"/>
              </m:rPr>
              <m:t>o</m:t>
            </m:r>
            <m:r>
              <w:rPr>
                <w:rFonts w:ascii="Cambria Math" w:hAnsi="Cambria Math"/>
                <w:sz w:val="22"/>
              </w:rPr>
              <m:rPr>
                <m:sty m:val="p"/>
              </m:rPr>
              <m:t>u</m:t>
            </m:r>
            <m:r>
              <w:rPr>
                <w:rFonts w:ascii="Cambria Math" w:hAnsi="Cambria Math"/>
                <w:sz w:val="22"/>
              </w:rPr>
              <m:rPr>
                <m:sty m:val="p"/>
              </m:rPr>
              <m:t>t</m:t>
            </m:r>
          </m:sub>
        </m:sSub>
      </m:oMath>
      <w:r>
        <w:rPr>
          <w:rFonts w:hint="eastAsia"/>
        </w:rPr>
        <w:t xml:space="preserve">和</w:t>
      </w:r>
      <m:oMath>
        <m:sSub>
          <m:e>
            <m:r>
              <w:rPr>
                <w:rFonts w:ascii="Cambria Math" w:hAnsi="Cambria Math"/>
                <w:sz w:val="22"/>
              </w:rPr>
              <m:t>D</m:t>
            </m:r>
          </m:e>
          <m:sub>
            <m:r>
              <w:rPr>
                <w:rFonts w:ascii="Cambria Math" w:hAnsi="Cambria Math"/>
                <w:sz w:val="22"/>
              </w:rPr>
              <m:t>F</m:t>
            </m:r>
          </m:sub>
        </m:sSub>
      </m:oMath>
      <w:r>
        <w:rPr>
          <w:rFonts w:hint="eastAsia"/>
        </w:rPr>
        <w:t xml:space="preserve">分别表示卷积核大小、输入通道数、输出通道数和特征图尺寸。</w:t>
      </w:r>
    </w:p>
    <w:p>
      <w:pPr>
        <w:pStyle w:val="BodyText"/>
      </w:pPr>
      <w:r>
        <w:rPr>
          <w:rFonts w:hint="eastAsia"/>
        </w:rPr>
        <w:t xml:space="preserve">与标准卷积不同，深度可分离卷积（DSConv）将卷积运算分解为深度卷积和逐点卷积两个阶段[</w:t>
      </w:r>
      <w:hyperlink w:anchor="b_ref71">
        <w:r>
          <w:rPr>
            <w:rStyle w:val="Hyperlink"/>
          </w:rPr>
          <w:t xml:space="preserve">71</w:t>
        </w:r>
      </w:hyperlink>
      <w:r>
        <w:rPr>
          <w:rFonts w:hint="eastAsia"/>
        </w:rPr>
        <w:t xml:space="preserve">]。其中，深度卷积为每个输入通道单独配置卷积核，在通道内完成局部特征提取；随后，</w:t>
      </w:r>
      <m:oMath>
        <m:r>
          <w:rPr>
            <w:rFonts w:ascii="Cambria Math" w:hAnsi="Cambria Math"/>
            <w:sz w:val="22"/>
          </w:rPr>
          <m:t>1</m:t>
        </m:r>
        <m:r>
          <w:rPr>
            <w:rFonts w:ascii="Cambria Math" w:hAnsi="Cambria Math"/>
            <w:sz w:val="22"/>
          </w:rPr>
          <m:rPr>
            <m:sty m:val="p"/>
          </m:rPr>
          <m:t>×</m:t>
        </m:r>
        <m:r>
          <w:rPr>
            <w:rFonts w:ascii="Cambria Math" w:hAnsi="Cambria Math"/>
            <w:sz w:val="22"/>
          </w:rPr>
          <m:t>1</m:t>
        </m:r>
      </m:oMath>
      <w:r>
        <w:rPr>
          <w:rFonts w:hint="eastAsia"/>
        </w:rPr>
        <w:t xml:space="preserve">逐点卷积融合不同通道的特征，并将通道数调整为</w:t>
      </w:r>
      <m:oMath>
        <m:sSub>
          <m:e>
            <m:r>
              <w:rPr>
                <w:rFonts w:ascii="Cambria Math" w:hAnsi="Cambria Math"/>
                <w:sz w:val="22"/>
              </w:rPr>
              <m:t>C</m:t>
            </m:r>
          </m:e>
          <m:sub>
            <m:r>
              <w:rPr>
                <w:rFonts w:ascii="Cambria Math" w:hAnsi="Cambria Math"/>
                <w:sz w:val="22"/>
              </w:rPr>
              <m:rPr>
                <m:sty m:val="p"/>
              </m:rPr>
              <m:t>o</m:t>
            </m:r>
            <m:r>
              <w:rPr>
                <w:rFonts w:ascii="Cambria Math" w:hAnsi="Cambria Math"/>
                <w:sz w:val="22"/>
              </w:rPr>
              <m:rPr>
                <m:sty m:val="p"/>
              </m:rPr>
              <m:t>u</m:t>
            </m:r>
            <m:r>
              <w:rPr>
                <w:rFonts w:ascii="Cambria Math" w:hAnsi="Cambria Math"/>
                <w:sz w:val="22"/>
              </w:rPr>
              <m:rPr>
                <m:sty m:val="p"/>
              </m:rPr>
              <m:t>t</m:t>
            </m:r>
          </m:sub>
        </m:sSub>
      </m:oMath>
      <w:r>
        <w:rPr>
          <w:rFonts w:hint="eastAsia"/>
        </w:rPr>
        <w:t xml:space="preserve">。通过分离通道内特征提取与通道间特征融合，DSConv减少了标准卷积中的密集跨通道运算。其计算成本可表示为：</w:t>
      </w:r>
    </w:p>
    <w:p>
      <w:pPr>
        <w:pStyle w:val="BodyText"/>
        <w:keepLines/>
        <w:tabs>
          <w:tab w:pos="4791" w:val="center"/>
          <w:tab w:pos="9581" w:val="right"/>
        </w:tabs>
        <w:spacing w:before="100" w:after="100"/>
        <w:ind w:firstLine="0"/>
        <w:jc w:val="left"/>
      </w:pPr>
      <w:bookmarkStart w:id="1031" w:name="equation_15"/>
      <w:bookmarkStart w:id="1030" w:name="b_eq_dsconv_cost"/>
      <w:r>
        <w:tab/>
      </w:r>
      <m:oMath>
        <m:sSub>
          <m:e>
            <m:r>
              <w:rPr>
                <w:rFonts w:ascii="Cambria Math" w:hAnsi="Cambria Math"/>
                <w:sz w:val="22"/>
              </w:rPr>
              <m:t>C</m:t>
            </m:r>
          </m:e>
          <m:sub>
            <m:r>
              <w:rPr>
                <w:rFonts w:ascii="Cambria Math" w:hAnsi="Cambria Math"/>
                <w:sz w:val="22"/>
              </w:rPr>
              <m:rPr>
                <m:sty m:val="p"/>
              </m:rPr>
              <m:t>D</m:t>
            </m:r>
            <m:r>
              <w:rPr>
                <w:rFonts w:ascii="Cambria Math" w:hAnsi="Cambria Math"/>
                <w:sz w:val="22"/>
              </w:rPr>
              <m:rPr>
                <m:sty m:val="p"/>
              </m:rPr>
              <m:t>S</m:t>
            </m:r>
            <m:r>
              <w:rPr>
                <w:rFonts w:ascii="Cambria Math" w:hAnsi="Cambria Math"/>
                <w:sz w:val="22"/>
              </w:rPr>
              <m:rPr>
                <m:sty m:val="p"/>
              </m:rPr>
              <m:t>C</m:t>
            </m:r>
            <m:r>
              <w:rPr>
                <w:rFonts w:ascii="Cambria Math" w:hAnsi="Cambria Math"/>
                <w:sz w:val="22"/>
              </w:rPr>
              <m:rPr>
                <m:sty m:val="p"/>
              </m:rPr>
              <m:t>o</m:t>
            </m:r>
            <m:r>
              <w:rPr>
                <w:rFonts w:ascii="Cambria Math" w:hAnsi="Cambria Math"/>
                <w:sz w:val="22"/>
              </w:rPr>
              <m:rPr>
                <m:sty m:val="p"/>
              </m:rPr>
              <m:t>n</m:t>
            </m:r>
            <m:r>
              <w:rPr>
                <w:rFonts w:ascii="Cambria Math" w:hAnsi="Cambria Math"/>
                <w:sz w:val="22"/>
              </w:rPr>
              <m:rPr>
                <m:sty m:val="p"/>
              </m:rPr>
              <m:t>v</m:t>
            </m:r>
          </m:sub>
        </m:sSub>
        <m:r>
          <w:rPr>
            <w:rFonts w:ascii="Cambria Math" w:hAnsi="Cambria Math"/>
            <w:sz w:val="22"/>
          </w:rPr>
          <m:rPr>
            <m:sty m:val="p"/>
          </m:rPr>
          <m:t>=</m:t>
        </m:r>
        <m:r>
          <w:rPr>
            <w:rFonts w:ascii="Cambria Math" w:hAnsi="Cambria Math"/>
            <w:sz w:val="22"/>
          </w:rPr>
          <m:t>k</m:t>
        </m:r>
        <m:r>
          <w:rPr>
            <w:rFonts w:ascii="Cambria Math" w:hAnsi="Cambria Math"/>
            <w:sz w:val="22"/>
          </w:rPr>
          <m:rPr>
            <m:sty m:val="p"/>
          </m:rPr>
          <m:t>×</m:t>
        </m:r>
        <m:r>
          <w:rPr>
            <w:rFonts w:ascii="Cambria Math" w:hAnsi="Cambria Math"/>
            <w:sz w:val="22"/>
          </w:rPr>
          <m:t>k</m:t>
        </m:r>
        <m:r>
          <w:rPr>
            <w:rFonts w:ascii="Cambria Math" w:hAnsi="Cambria Math"/>
            <w:sz w:val="22"/>
          </w:rPr>
          <m:rPr>
            <m:sty m:val="p"/>
          </m:rPr>
          <m:t>×</m:t>
        </m:r>
        <m:sSub>
          <m:e>
            <m:r>
              <w:rPr>
                <w:rFonts w:ascii="Cambria Math" w:hAnsi="Cambria Math"/>
                <w:sz w:val="22"/>
              </w:rPr>
              <m:t>C</m:t>
            </m:r>
          </m:e>
          <m:sub>
            <m:r>
              <w:rPr>
                <w:rFonts w:ascii="Cambria Math" w:hAnsi="Cambria Math"/>
                <w:sz w:val="22"/>
              </w:rPr>
              <m:rPr>
                <m:sty m:val="p"/>
              </m:rPr>
              <m:t>i</m:t>
            </m:r>
            <m:r>
              <w:rPr>
                <w:rFonts w:ascii="Cambria Math" w:hAnsi="Cambria Math"/>
                <w:sz w:val="22"/>
              </w:rPr>
              <m:rPr>
                <m:sty m:val="p"/>
              </m:rPr>
              <m:t>n</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F</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F</m:t>
            </m:r>
          </m:sub>
        </m:sSub>
        <m:r>
          <w:rPr>
            <w:rFonts w:ascii="Cambria Math" w:hAnsi="Cambria Math"/>
            <w:sz w:val="22"/>
          </w:rPr>
          <m:rPr>
            <m:sty m:val="p"/>
          </m:rPr>
          <m:t>+</m:t>
        </m:r>
        <m:sSub>
          <m:e>
            <m:r>
              <w:rPr>
                <w:rFonts w:ascii="Cambria Math" w:hAnsi="Cambria Math"/>
                <w:sz w:val="22"/>
              </w:rPr>
              <m:t>C</m:t>
            </m:r>
          </m:e>
          <m:sub>
            <m:r>
              <w:rPr>
                <w:rFonts w:ascii="Cambria Math" w:hAnsi="Cambria Math"/>
                <w:sz w:val="22"/>
              </w:rPr>
              <m:rPr>
                <m:sty m:val="p"/>
              </m:rPr>
              <m:t>i</m:t>
            </m:r>
            <m:r>
              <w:rPr>
                <w:rFonts w:ascii="Cambria Math" w:hAnsi="Cambria Math"/>
                <w:sz w:val="22"/>
              </w:rPr>
              <m:rPr>
                <m:sty m:val="p"/>
              </m:rPr>
              <m:t>n</m:t>
            </m:r>
          </m:sub>
        </m:sSub>
        <m:r>
          <w:rPr>
            <w:rFonts w:ascii="Cambria Math" w:hAnsi="Cambria Math"/>
            <w:sz w:val="22"/>
          </w:rPr>
          <m:rPr>
            <m:sty m:val="p"/>
          </m:rPr>
          <m:t>×</m:t>
        </m:r>
        <m:sSub>
          <m:e>
            <m:r>
              <w:rPr>
                <w:rFonts w:ascii="Cambria Math" w:hAnsi="Cambria Math"/>
                <w:sz w:val="22"/>
              </w:rPr>
              <m:t>C</m:t>
            </m:r>
          </m:e>
          <m:sub>
            <m:r>
              <w:rPr>
                <w:rFonts w:ascii="Cambria Math" w:hAnsi="Cambria Math"/>
                <w:sz w:val="22"/>
              </w:rPr>
              <m:rPr>
                <m:sty m:val="p"/>
              </m:rPr>
              <m:t>o</m:t>
            </m:r>
            <m:r>
              <w:rPr>
                <w:rFonts w:ascii="Cambria Math" w:hAnsi="Cambria Math"/>
                <w:sz w:val="22"/>
              </w:rPr>
              <m:rPr>
                <m:sty m:val="p"/>
              </m:rPr>
              <m:t>u</m:t>
            </m:r>
            <m:r>
              <w:rPr>
                <w:rFonts w:ascii="Cambria Math" w:hAnsi="Cambria Math"/>
                <w:sz w:val="22"/>
              </w:rPr>
              <m:rPr>
                <m:sty m:val="p"/>
              </m:rPr>
              <m:t>t</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F</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F</m:t>
            </m:r>
          </m:sub>
        </m:sSub>
        <m:r>
          <w:rPr>
            <w:rFonts w:ascii="Cambria Math" w:hAnsi="Cambria Math"/>
            <w:sz w:val="22"/>
          </w:rPr>
          <m:rPr>
            <m:sty m:val="p"/>
          </m:rPr>
          <m:t>.</m:t>
        </m:r>
      </m:oMath>
      <w:r>
        <w:tab/>
        <w:t>(15)</w:t>
      </w:r>
      <w:bookmarkEnd w:id="1030"/>
      <w:bookmarkEnd w:id="1031"/>
    </w:p>
    <w:p>
      <w:pPr>
        <w:pStyle w:val="BodyText"/>
      </w:pPr>
      <w:r>
        <w:rPr>
          <w:rFonts w:hint="eastAsia"/>
        </w:rPr>
        <w:t xml:space="preserve">进一步比较两类卷积的计算量，可得二者之比为：</w:t>
      </w:r>
    </w:p>
    <w:p>
      <w:pPr>
        <w:pStyle w:val="BodyText"/>
        <w:keepLines/>
        <w:tabs>
          <w:tab w:pos="4791" w:val="center"/>
          <w:tab w:pos="9581" w:val="right"/>
        </w:tabs>
        <w:spacing w:before="100" w:after="100"/>
        <w:ind w:firstLine="0"/>
        <w:jc w:val="left"/>
      </w:pPr>
      <w:bookmarkStart w:id="1033" w:name="equation_16"/>
      <w:bookmarkStart w:id="1032" w:name="b_eq_dsconv_cost_ratio"/>
      <w:r>
        <w:tab/>
      </w:r>
      <m:oMath>
        <m:eqArr>
          <m:e>
            <m:f>
              <m:fPr>
                <m:type m:val="bar"/>
              </m:fPr>
              <m:num>
                <m:sSub>
                  <m:e>
                    <m:r>
                      <w:rPr>
                        <w:rFonts w:ascii="Cambria Math" w:hAnsi="Cambria Math"/>
                        <w:sz w:val="22"/>
                      </w:rPr>
                      <m:t>C</m:t>
                    </m:r>
                  </m:e>
                  <m:sub>
                    <m:r>
                      <w:rPr>
                        <w:rFonts w:ascii="Cambria Math" w:hAnsi="Cambria Math"/>
                        <w:sz w:val="22"/>
                      </w:rPr>
                      <m:rPr>
                        <m:sty m:val="p"/>
                      </m:rPr>
                      <m:t>D</m:t>
                    </m:r>
                    <m:r>
                      <w:rPr>
                        <w:rFonts w:ascii="Cambria Math" w:hAnsi="Cambria Math"/>
                        <w:sz w:val="22"/>
                      </w:rPr>
                      <m:rPr>
                        <m:sty m:val="p"/>
                      </m:rPr>
                      <m:t>S</m:t>
                    </m:r>
                    <m:r>
                      <w:rPr>
                        <w:rFonts w:ascii="Cambria Math" w:hAnsi="Cambria Math"/>
                        <w:sz w:val="22"/>
                      </w:rPr>
                      <m:rPr>
                        <m:sty m:val="p"/>
                      </m:rPr>
                      <m:t>C</m:t>
                    </m:r>
                    <m:r>
                      <w:rPr>
                        <w:rFonts w:ascii="Cambria Math" w:hAnsi="Cambria Math"/>
                        <w:sz w:val="22"/>
                      </w:rPr>
                      <m:rPr>
                        <m:sty m:val="p"/>
                      </m:rPr>
                      <m:t>o</m:t>
                    </m:r>
                    <m:r>
                      <w:rPr>
                        <w:rFonts w:ascii="Cambria Math" w:hAnsi="Cambria Math"/>
                        <w:sz w:val="22"/>
                      </w:rPr>
                      <m:rPr>
                        <m:sty m:val="p"/>
                      </m:rPr>
                      <m:t>n</m:t>
                    </m:r>
                    <m:r>
                      <w:rPr>
                        <w:rFonts w:ascii="Cambria Math" w:hAnsi="Cambria Math"/>
                        <w:sz w:val="22"/>
                      </w:rPr>
                      <m:rPr>
                        <m:sty m:val="p"/>
                      </m:rPr>
                      <m:t>v</m:t>
                    </m:r>
                  </m:sub>
                </m:sSub>
              </m:num>
              <m:den>
                <m:sSub>
                  <m:e>
                    <m:r>
                      <w:rPr>
                        <w:rFonts w:ascii="Cambria Math" w:hAnsi="Cambria Math"/>
                        <w:sz w:val="22"/>
                      </w:rPr>
                      <m:t>C</m:t>
                    </m:r>
                  </m:e>
                  <m:sub>
                    <m:r>
                      <w:rPr>
                        <w:rFonts w:ascii="Cambria Math" w:hAnsi="Cambria Math"/>
                        <w:sz w:val="22"/>
                      </w:rPr>
                      <m:rPr>
                        <m:sty m:val="p"/>
                      </m:rPr>
                      <m:t>C</m:t>
                    </m:r>
                    <m:r>
                      <w:rPr>
                        <w:rFonts w:ascii="Cambria Math" w:hAnsi="Cambria Math"/>
                        <w:sz w:val="22"/>
                      </w:rPr>
                      <m:rPr>
                        <m:sty m:val="p"/>
                      </m:rPr>
                      <m:t>o</m:t>
                    </m:r>
                    <m:r>
                      <w:rPr>
                        <w:rFonts w:ascii="Cambria Math" w:hAnsi="Cambria Math"/>
                        <w:sz w:val="22"/>
                      </w:rPr>
                      <m:rPr>
                        <m:sty m:val="p"/>
                      </m:rPr>
                      <m:t>n</m:t>
                    </m:r>
                    <m:r>
                      <w:rPr>
                        <w:rFonts w:ascii="Cambria Math" w:hAnsi="Cambria Math"/>
                        <w:sz w:val="22"/>
                      </w:rPr>
                      <m:rPr>
                        <m:sty m:val="p"/>
                      </m:rPr>
                      <m:t>v</m:t>
                    </m:r>
                  </m:sub>
                </m:sSub>
              </m:den>
            </m:f>
            <m:r>
              <w:rPr>
                <w:rFonts w:ascii="Cambria Math" w:hAnsi="Cambria Math"/>
                <w:sz w:val="22"/>
              </w:rPr>
              <m:t>&amp;</m:t>
            </m:r>
            <m:r>
              <w:rPr>
                <w:rFonts w:ascii="Cambria Math" w:hAnsi="Cambria Math"/>
                <w:sz w:val="22"/>
              </w:rPr>
              <m:rPr>
                <m:sty m:val="p"/>
              </m:rPr>
              <m:t>=</m:t>
            </m:r>
            <m:f>
              <m:fPr>
                <m:type m:val="bar"/>
              </m:fPr>
              <m:num>
                <m:r>
                  <w:rPr>
                    <w:rFonts w:ascii="Cambria Math" w:hAnsi="Cambria Math"/>
                    <w:sz w:val="22"/>
                  </w:rPr>
                  <m:t>k</m:t>
                </m:r>
                <m:r>
                  <w:rPr>
                    <w:rFonts w:ascii="Cambria Math" w:hAnsi="Cambria Math"/>
                    <w:sz w:val="22"/>
                  </w:rPr>
                  <m:rPr>
                    <m:sty m:val="p"/>
                  </m:rPr>
                  <m:t>×</m:t>
                </m:r>
                <m:r>
                  <w:rPr>
                    <w:rFonts w:ascii="Cambria Math" w:hAnsi="Cambria Math"/>
                    <w:sz w:val="22"/>
                  </w:rPr>
                  <m:t>k</m:t>
                </m:r>
                <m:r>
                  <w:rPr>
                    <w:rFonts w:ascii="Cambria Math" w:hAnsi="Cambria Math"/>
                    <w:sz w:val="22"/>
                  </w:rPr>
                  <m:rPr>
                    <m:sty m:val="p"/>
                  </m:rPr>
                  <m:t>×</m:t>
                </m:r>
                <m:sSub>
                  <m:e>
                    <m:r>
                      <w:rPr>
                        <w:rFonts w:ascii="Cambria Math" w:hAnsi="Cambria Math"/>
                        <w:sz w:val="22"/>
                      </w:rPr>
                      <m:t>C</m:t>
                    </m:r>
                  </m:e>
                  <m:sub>
                    <m:r>
                      <w:rPr>
                        <w:rFonts w:ascii="Cambria Math" w:hAnsi="Cambria Math"/>
                        <w:sz w:val="22"/>
                      </w:rPr>
                      <m:rPr>
                        <m:sty m:val="p"/>
                      </m:rPr>
                      <m:t>i</m:t>
                    </m:r>
                    <m:r>
                      <w:rPr>
                        <w:rFonts w:ascii="Cambria Math" w:hAnsi="Cambria Math"/>
                        <w:sz w:val="22"/>
                      </w:rPr>
                      <m:rPr>
                        <m:sty m:val="p"/>
                      </m:rPr>
                      <m:t>n</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F</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F</m:t>
                    </m:r>
                  </m:sub>
                </m:sSub>
                <m:r>
                  <w:rPr>
                    <w:rFonts w:ascii="Cambria Math" w:hAnsi="Cambria Math"/>
                    <w:sz w:val="22"/>
                  </w:rPr>
                  <m:rPr>
                    <m:sty m:val="p"/>
                  </m:rPr>
                  <m:t>+</m:t>
                </m:r>
                <m:sSub>
                  <m:e>
                    <m:r>
                      <w:rPr>
                        <w:rFonts w:ascii="Cambria Math" w:hAnsi="Cambria Math"/>
                        <w:sz w:val="22"/>
                      </w:rPr>
                      <m:t>C</m:t>
                    </m:r>
                  </m:e>
                  <m:sub>
                    <m:r>
                      <w:rPr>
                        <w:rFonts w:ascii="Cambria Math" w:hAnsi="Cambria Math"/>
                        <w:sz w:val="22"/>
                      </w:rPr>
                      <m:rPr>
                        <m:sty m:val="p"/>
                      </m:rPr>
                      <m:t>i</m:t>
                    </m:r>
                    <m:r>
                      <w:rPr>
                        <w:rFonts w:ascii="Cambria Math" w:hAnsi="Cambria Math"/>
                        <w:sz w:val="22"/>
                      </w:rPr>
                      <m:rPr>
                        <m:sty m:val="p"/>
                      </m:rPr>
                      <m:t>n</m:t>
                    </m:r>
                  </m:sub>
                </m:sSub>
                <m:r>
                  <w:rPr>
                    <w:rFonts w:ascii="Cambria Math" w:hAnsi="Cambria Math"/>
                    <w:sz w:val="22"/>
                  </w:rPr>
                  <m:rPr>
                    <m:sty m:val="p"/>
                  </m:rPr>
                  <m:t>×</m:t>
                </m:r>
                <m:sSub>
                  <m:e>
                    <m:r>
                      <w:rPr>
                        <w:rFonts w:ascii="Cambria Math" w:hAnsi="Cambria Math"/>
                        <w:sz w:val="22"/>
                      </w:rPr>
                      <m:t>C</m:t>
                    </m:r>
                  </m:e>
                  <m:sub>
                    <m:r>
                      <w:rPr>
                        <w:rFonts w:ascii="Cambria Math" w:hAnsi="Cambria Math"/>
                        <w:sz w:val="22"/>
                      </w:rPr>
                      <m:rPr>
                        <m:sty m:val="p"/>
                      </m:rPr>
                      <m:t>o</m:t>
                    </m:r>
                    <m:r>
                      <w:rPr>
                        <w:rFonts w:ascii="Cambria Math" w:hAnsi="Cambria Math"/>
                        <w:sz w:val="22"/>
                      </w:rPr>
                      <m:rPr>
                        <m:sty m:val="p"/>
                      </m:rPr>
                      <m:t>u</m:t>
                    </m:r>
                    <m:r>
                      <w:rPr>
                        <w:rFonts w:ascii="Cambria Math" w:hAnsi="Cambria Math"/>
                        <w:sz w:val="22"/>
                      </w:rPr>
                      <m:rPr>
                        <m:sty m:val="p"/>
                      </m:rPr>
                      <m:t>t</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F</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F</m:t>
                    </m:r>
                  </m:sub>
                </m:sSub>
              </m:num>
              <m:den>
                <m:r>
                  <w:rPr>
                    <w:rFonts w:ascii="Cambria Math" w:hAnsi="Cambria Math"/>
                    <w:sz w:val="22"/>
                  </w:rPr>
                  <m:t>k</m:t>
                </m:r>
                <m:r>
                  <w:rPr>
                    <w:rFonts w:ascii="Cambria Math" w:hAnsi="Cambria Math"/>
                    <w:sz w:val="22"/>
                  </w:rPr>
                  <m:rPr>
                    <m:sty m:val="p"/>
                  </m:rPr>
                  <m:t>×</m:t>
                </m:r>
                <m:r>
                  <w:rPr>
                    <w:rFonts w:ascii="Cambria Math" w:hAnsi="Cambria Math"/>
                    <w:sz w:val="22"/>
                  </w:rPr>
                  <m:t>k</m:t>
                </m:r>
                <m:r>
                  <w:rPr>
                    <w:rFonts w:ascii="Cambria Math" w:hAnsi="Cambria Math"/>
                    <w:sz w:val="22"/>
                  </w:rPr>
                  <m:rPr>
                    <m:sty m:val="p"/>
                  </m:rPr>
                  <m:t>×</m:t>
                </m:r>
                <m:sSub>
                  <m:e>
                    <m:r>
                      <w:rPr>
                        <w:rFonts w:ascii="Cambria Math" w:hAnsi="Cambria Math"/>
                        <w:sz w:val="22"/>
                      </w:rPr>
                      <m:t>C</m:t>
                    </m:r>
                  </m:e>
                  <m:sub>
                    <m:r>
                      <w:rPr>
                        <w:rFonts w:ascii="Cambria Math" w:hAnsi="Cambria Math"/>
                        <w:sz w:val="22"/>
                      </w:rPr>
                      <m:rPr>
                        <m:sty m:val="p"/>
                      </m:rPr>
                      <m:t>i</m:t>
                    </m:r>
                    <m:r>
                      <w:rPr>
                        <w:rFonts w:ascii="Cambria Math" w:hAnsi="Cambria Math"/>
                        <w:sz w:val="22"/>
                      </w:rPr>
                      <m:rPr>
                        <m:sty m:val="p"/>
                      </m:rPr>
                      <m:t>n</m:t>
                    </m:r>
                  </m:sub>
                </m:sSub>
                <m:r>
                  <w:rPr>
                    <w:rFonts w:ascii="Cambria Math" w:hAnsi="Cambria Math"/>
                    <w:sz w:val="22"/>
                  </w:rPr>
                  <m:rPr>
                    <m:sty m:val="p"/>
                  </m:rPr>
                  <m:t>×</m:t>
                </m:r>
                <m:sSub>
                  <m:e>
                    <m:r>
                      <w:rPr>
                        <w:rFonts w:ascii="Cambria Math" w:hAnsi="Cambria Math"/>
                        <w:sz w:val="22"/>
                      </w:rPr>
                      <m:t>C</m:t>
                    </m:r>
                  </m:e>
                  <m:sub>
                    <m:r>
                      <w:rPr>
                        <w:rFonts w:ascii="Cambria Math" w:hAnsi="Cambria Math"/>
                        <w:sz w:val="22"/>
                      </w:rPr>
                      <m:rPr>
                        <m:sty m:val="p"/>
                      </m:rPr>
                      <m:t>o</m:t>
                    </m:r>
                    <m:r>
                      <w:rPr>
                        <w:rFonts w:ascii="Cambria Math" w:hAnsi="Cambria Math"/>
                        <w:sz w:val="22"/>
                      </w:rPr>
                      <m:rPr>
                        <m:sty m:val="p"/>
                      </m:rPr>
                      <m:t>u</m:t>
                    </m:r>
                    <m:r>
                      <w:rPr>
                        <w:rFonts w:ascii="Cambria Math" w:hAnsi="Cambria Math"/>
                        <w:sz w:val="22"/>
                      </w:rPr>
                      <m:rPr>
                        <m:sty m:val="p"/>
                      </m:rPr>
                      <m:t>t</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F</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F</m:t>
                    </m:r>
                  </m:sub>
                </m:sSub>
              </m:den>
            </m:f>
          </m:e>
          <m:e>
            <m:r>
              <w:rPr>
                <w:rFonts w:ascii="Cambria Math" w:hAnsi="Cambria Math"/>
                <w:sz w:val="22"/>
              </w:rPr>
              <m:t>&amp;</m:t>
            </m:r>
            <m:r>
              <w:rPr>
                <w:rFonts w:ascii="Cambria Math" w:hAnsi="Cambria Math"/>
                <w:sz w:val="22"/>
              </w:rPr>
              <m:rPr>
                <m:sty m:val="p"/>
              </m:rPr>
              <m:t>=</m:t>
            </m:r>
            <m:f>
              <m:fPr>
                <m:type m:val="bar"/>
              </m:fPr>
              <m:num>
                <m:r>
                  <w:rPr>
                    <w:rFonts w:ascii="Cambria Math" w:hAnsi="Cambria Math"/>
                    <w:sz w:val="22"/>
                  </w:rPr>
                  <m:t>1</m:t>
                </m:r>
              </m:num>
              <m:den>
                <m:sSub>
                  <m:e>
                    <m:r>
                      <w:rPr>
                        <w:rFonts w:ascii="Cambria Math" w:hAnsi="Cambria Math"/>
                        <w:sz w:val="22"/>
                      </w:rPr>
                      <m:t>C</m:t>
                    </m:r>
                  </m:e>
                  <m:sub>
                    <m:r>
                      <w:rPr>
                        <w:rFonts w:ascii="Cambria Math" w:hAnsi="Cambria Math"/>
                        <w:sz w:val="22"/>
                      </w:rPr>
                      <m:rPr>
                        <m:sty m:val="p"/>
                      </m:rPr>
                      <m:t>o</m:t>
                    </m:r>
                    <m:r>
                      <w:rPr>
                        <w:rFonts w:ascii="Cambria Math" w:hAnsi="Cambria Math"/>
                        <w:sz w:val="22"/>
                      </w:rPr>
                      <m:rPr>
                        <m:sty m:val="p"/>
                      </m:rPr>
                      <m:t>u</m:t>
                    </m:r>
                    <m:r>
                      <w:rPr>
                        <w:rFonts w:ascii="Cambria Math" w:hAnsi="Cambria Math"/>
                        <w:sz w:val="22"/>
                      </w:rPr>
                      <m:rPr>
                        <m:sty m:val="p"/>
                      </m:rPr>
                      <m:t>t</m:t>
                    </m:r>
                  </m:sub>
                </m:sSub>
              </m:den>
            </m:f>
            <m:r>
              <w:rPr>
                <w:rFonts w:ascii="Cambria Math" w:hAnsi="Cambria Math"/>
                <w:sz w:val="22"/>
              </w:rPr>
              <m:rPr>
                <m:sty m:val="p"/>
              </m:rPr>
              <m:t>+</m:t>
            </m:r>
            <m:f>
              <m:fPr>
                <m:type m:val="bar"/>
              </m:fPr>
              <m:num>
                <m:r>
                  <w:rPr>
                    <w:rFonts w:ascii="Cambria Math" w:hAnsi="Cambria Math"/>
                    <w:sz w:val="22"/>
                  </w:rPr>
                  <m:t>1</m:t>
                </m:r>
              </m:num>
              <m:den>
                <m:sSup>
                  <m:e>
                    <m:r>
                      <w:rPr>
                        <w:rFonts w:ascii="Cambria Math" w:hAnsi="Cambria Math"/>
                        <w:sz w:val="22"/>
                      </w:rPr>
                      <m:t>k</m:t>
                    </m:r>
                  </m:e>
                  <m:sup>
                    <m:r>
                      <w:rPr>
                        <w:rFonts w:ascii="Cambria Math" w:hAnsi="Cambria Math"/>
                        <w:sz w:val="22"/>
                      </w:rPr>
                      <m:t>2</m:t>
                    </m:r>
                  </m:sup>
                </m:sSup>
              </m:den>
            </m:f>
            <m:r>
              <w:rPr>
                <w:rFonts w:ascii="Cambria Math" w:hAnsi="Cambria Math"/>
                <w:sz w:val="22"/>
              </w:rPr>
              <m:rPr>
                <m:sty m:val="p"/>
              </m:rPr>
              <m:t>.</m:t>
            </m:r>
          </m:e>
        </m:eqArr>
      </m:oMath>
      <w:r>
        <w:tab/>
        <w:t>(16)</w:t>
      </w:r>
      <w:bookmarkEnd w:id="1032"/>
      <w:bookmarkEnd w:id="1033"/>
    </w:p>
    <w:p>
      <w:pPr>
        <w:pStyle w:val="BodyText"/>
      </w:pPr>
      <w:r>
        <w:rPr>
          <w:rFonts w:hint="eastAsia"/>
        </w:rPr>
        <w:t xml:space="preserve">由式</w:t>
      </w:r>
      <w:hyperlink w:anchor="b_eq_dsconv_cost_ratio">
        <w:r>
          <w:rPr>
            <w:rStyle w:val="Hyperlink"/>
          </w:rPr>
          <w:t xml:space="preserve">(16)</w:t>
        </w:r>
      </w:hyperlink>
      <w:r>
        <w:rPr>
          <w:rFonts w:hint="eastAsia"/>
        </w:rPr>
        <w:t xml:space="preserve">可知，在输入、输出通道配置一致的情况下，DSConv的计算成本低于标准卷积，为后续小核与大核卷积模块的构建提供了基础。</w:t>
      </w:r>
    </w:p>
    <w:bookmarkEnd w:id="24"/>
    <w:bookmarkStart w:id="25" w:name="dsconv-s双重作用的局部增强"/>
    <w:p>
      <w:pPr>
        <w:pStyle w:val="Heading3"/>
      </w:pPr>
      <w:r>
        <w:rPr>
          <w:rStyle w:val="SectionNumber"/>
        </w:rPr>
        <w:t xml:space="preserve">3.2.2</w:t>
      </w:r>
      <w:r>
        <w:tab/>
      </w:r>
      <w:r>
        <w:rPr>
          <w:rFonts w:hint="eastAsia"/>
        </w:rPr>
        <w:t xml:space="preserve">DSConv-S：双重作用的局部增强</w:t>
      </w:r>
    </w:p>
    <w:p>
      <w:pPr>
        <w:pStyle w:val="FirstParagraph"/>
      </w:pPr>
      <w:r>
        <w:rPr>
          <w:rFonts w:hint="eastAsia"/>
        </w:rPr>
        <w:t xml:space="preserve">小核DSConv-S采用紧凑的</w:t>
      </w:r>
      <m:oMath>
        <m:r>
          <w:rPr>
            <w:rFonts w:ascii="Cambria Math" w:hAnsi="Cambria Math"/>
            <w:sz w:val="22"/>
          </w:rPr>
          <m:t>1</m:t>
        </m:r>
        <m:r>
          <w:rPr>
            <w:rFonts w:ascii="Cambria Math" w:hAnsi="Cambria Math"/>
            <w:sz w:val="22"/>
          </w:rPr>
          <m:rPr>
            <m:sty m:val="p"/>
          </m:rPr>
          <m:t>×</m:t>
        </m:r>
        <m:r>
          <w:rPr>
            <w:rFonts w:ascii="Cambria Math" w:hAnsi="Cambria Math"/>
            <w:sz w:val="22"/>
          </w:rPr>
          <m:t>5</m:t>
        </m:r>
      </m:oMath>
      <w:r>
        <w:rPr>
          <w:rFonts w:hint="eastAsia"/>
        </w:rPr>
        <w:t xml:space="preserve">深度卷积，并嵌入SLFA模块、位于RAA全局交互之前，以实现输入增强与局部分支保留两项作用：</w:t>
      </w:r>
    </w:p>
    <w:p>
      <w:pPr>
        <w:pStyle w:val="BodyText"/>
      </w:pPr>
      <w:r>
        <w:t xml:space="preserve">1.</w:t>
      </w:r>
      <w:r>
        <w:t xml:space="preserve"> </w:t>
      </w:r>
      <w:r>
        <w:rPr>
          <w:rFonts w:hint="eastAsia"/>
          <w:b/>
          <w:bCs/>
        </w:rPr>
        <w:t xml:space="preserve">输入增强。</w:t>
      </w:r>
      <w:r>
        <w:t xml:space="preserve"> </w:t>
      </w:r>
      <w:r>
        <w:rPr>
          <w:rFonts w:hint="eastAsia"/>
        </w:rPr>
        <w:t xml:space="preserve">DSConv-S提取输入特征中的局部邻域信息，形成局部增强表示</w:t>
      </w:r>
      <m:oMath>
        <m:sSub>
          <m:e>
            <m:r>
              <w:rPr>
                <w:rFonts w:ascii="Cambria Math" w:hAnsi="Cambria Math"/>
                <w:sz w:val="22"/>
              </w:rPr>
              <m:rPr>
                <m:sty m:val="bi"/>
              </m:rPr>
              <m:t>X</m:t>
            </m:r>
          </m:e>
          <m:sub>
            <m:r>
              <w:rPr>
                <w:rFonts w:ascii="Cambria Math" w:hAnsi="Cambria Math"/>
                <w:sz w:val="22"/>
              </w:rPr>
              <m:t>S</m:t>
            </m:r>
          </m:sub>
        </m:sSub>
      </m:oMath>
      <w:r>
        <w:rPr>
          <w:rFonts w:hint="eastAsia"/>
        </w:rPr>
        <w:t xml:space="preserve">。RAA随后基于</w:t>
      </w:r>
      <m:oMath>
        <m:sSub>
          <m:e>
            <m:r>
              <w:rPr>
                <w:rFonts w:ascii="Cambria Math" w:hAnsi="Cambria Math"/>
                <w:sz w:val="22"/>
              </w:rPr>
              <m:rPr>
                <m:sty m:val="bi"/>
              </m:rPr>
              <m:t>X</m:t>
            </m:r>
          </m:e>
          <m:sub>
            <m:r>
              <w:rPr>
                <w:rFonts w:ascii="Cambria Math" w:hAnsi="Cambria Math"/>
                <w:sz w:val="22"/>
              </w:rPr>
              <m:t>S</m:t>
            </m:r>
          </m:sub>
        </m:sSub>
      </m:oMath>
      <w:r>
        <w:rPr>
          <w:rFonts w:hint="eastAsia"/>
        </w:rPr>
        <w:t xml:space="preserve">构造查询、键和值，并通过智能体聚合与广播完成跨位置交互。这一前置卷积为RAA引入局部性偏置，增强其在跨位置上下文聚合过程中对局部变化的表征。</w:t>
      </w:r>
    </w:p>
    <w:p>
      <w:pPr>
        <w:pStyle w:val="BodyText"/>
      </w:pPr>
      <w:r>
        <w:t xml:space="preserve">2.</w:t>
      </w:r>
      <w:r>
        <w:t xml:space="preserve"> </w:t>
      </w:r>
      <w:r>
        <w:rPr>
          <w:rFonts w:hint="eastAsia"/>
          <w:b/>
          <w:bCs/>
        </w:rPr>
        <w:t xml:space="preserve">局部分支保留。</w:t>
      </w:r>
      <w:r>
        <w:t xml:space="preserve"> </w:t>
      </w:r>
      <w:r>
        <w:rPr>
          <w:rFonts w:hint="eastAsia"/>
        </w:rPr>
        <w:t xml:space="preserve">在SLFA中，</w:t>
      </w:r>
      <m:oMath>
        <m:sSub>
          <m:e>
            <m:r>
              <w:rPr>
                <w:rFonts w:ascii="Cambria Math" w:hAnsi="Cambria Math"/>
                <w:sz w:val="22"/>
              </w:rPr>
              <m:rPr>
                <m:sty m:val="bi"/>
              </m:rPr>
              <m:t>X</m:t>
            </m:r>
          </m:e>
          <m:sub>
            <m:r>
              <w:rPr>
                <w:rFonts w:ascii="Cambria Math" w:hAnsi="Cambria Math"/>
                <w:sz w:val="22"/>
              </w:rPr>
              <m:t>S</m:t>
            </m:r>
          </m:sub>
        </m:sSub>
      </m:oMath>
      <w:r>
        <w:rPr>
          <w:rFonts w:hint="eastAsia"/>
        </w:rPr>
        <w:t xml:space="preserve">同时传递至RAA分支和局部分支。局部分支对</w:t>
      </w:r>
      <m:oMath>
        <m:sSub>
          <m:e>
            <m:r>
              <w:rPr>
                <w:rFonts w:ascii="Cambria Math" w:hAnsi="Cambria Math"/>
                <w:sz w:val="22"/>
              </w:rPr>
              <m:rPr>
                <m:sty m:val="bi"/>
              </m:rPr>
              <m:t>X</m:t>
            </m:r>
          </m:e>
          <m:sub>
            <m:r>
              <w:rPr>
                <w:rFonts w:ascii="Cambria Math" w:hAnsi="Cambria Math"/>
                <w:sz w:val="22"/>
              </w:rPr>
              <m:t>S</m:t>
            </m:r>
          </m:sub>
        </m:sSub>
      </m:oMath>
      <w:r>
        <w:rPr>
          <w:rFonts w:hint="eastAsia"/>
        </w:rPr>
        <w:t xml:space="preserve">进行层归一化后传递至融合端，并与RAA分支建立的跨位置上下文进行融合，形成局部特征与全局信息的互补表示。</w:t>
      </w:r>
    </w:p>
    <w:p>
      <w:pPr>
        <w:pStyle w:val="BodyText"/>
      </w:pPr>
      <w:r>
        <w:rPr>
          <w:rFonts w:hint="eastAsia"/>
        </w:rPr>
        <w:t xml:space="preserve">DSConv-S采用两倍通道扩展。给定输入特征</w:t>
      </w:r>
      <m:oMath>
        <m:r>
          <w:rPr>
            <w:rFonts w:ascii="Cambria Math" w:hAnsi="Cambria Math"/>
            <w:sz w:val="22"/>
          </w:rPr>
          <m:rPr>
            <m:sty m:val="bi"/>
          </m:rPr>
          <m:t>X</m:t>
        </m:r>
        <m:r>
          <w:rPr>
            <w:rFonts w:ascii="Cambria Math" w:hAnsi="Cambria Math"/>
            <w:sz w:val="22"/>
          </w:rPr>
          <m:rPr>
            <m:sty m:val="p"/>
          </m:rPr>
          <m:t>∈</m:t>
        </m:r>
        <m:sSup>
          <m:e>
            <m:r>
              <w:rPr>
                <w:rFonts w:ascii="Cambria Math" w:hAnsi="Cambria Math"/>
                <w:sz w:val="22"/>
              </w:rPr>
              <m:rPr>
                <m:scr m:val="double-struck"/>
                <m:sty m:val="p"/>
              </m:rPr>
              <m:t>R</m:t>
            </m:r>
          </m:e>
          <m:sup>
            <m:r>
              <w:rPr>
                <w:rFonts w:ascii="Cambria Math" w:hAnsi="Cambria Math"/>
                <w:sz w:val="22"/>
              </w:rPr>
              <m:t>B</m:t>
            </m:r>
            <m:r>
              <w:rPr>
                <w:rFonts w:ascii="Cambria Math" w:hAnsi="Cambria Math"/>
                <w:sz w:val="22"/>
              </w:rPr>
              <m:rPr>
                <m:sty m:val="p"/>
              </m:rPr>
              <m:t>×</m:t>
            </m:r>
            <m:r>
              <w:rPr>
                <w:rFonts w:ascii="Cambria Math" w:hAnsi="Cambria Math"/>
                <w:sz w:val="22"/>
              </w:rPr>
              <m:t>N</m:t>
            </m:r>
            <m:r>
              <w:rPr>
                <w:rFonts w:ascii="Cambria Math" w:hAnsi="Cambria Math"/>
                <w:sz w:val="22"/>
              </w:rPr>
              <m:rPr>
                <m:sty m:val="p"/>
              </m:rPr>
              <m:t>×</m:t>
            </m:r>
            <m:r>
              <w:rPr>
                <w:rFonts w:ascii="Cambria Math" w:hAnsi="Cambria Math"/>
                <w:sz w:val="22"/>
              </w:rPr>
              <m:t>d</m:t>
            </m:r>
          </m:sup>
        </m:sSup>
      </m:oMath>
      <w:r>
        <w:rPr>
          <w:rFonts w:hint="eastAsia"/>
        </w:rPr>
        <w:t xml:space="preserve">，其中</w:t>
      </w:r>
      <m:oMath>
        <m:r>
          <w:rPr>
            <w:rFonts w:ascii="Cambria Math" w:hAnsi="Cambria Math"/>
            <w:sz w:val="22"/>
          </w:rPr>
          <m:t>B</m:t>
        </m:r>
      </m:oMath>
      <w:r>
        <w:t xml:space="preserve">、</w:t>
      </w:r>
      <m:oMath>
        <m:r>
          <w:rPr>
            <w:rFonts w:ascii="Cambria Math" w:hAnsi="Cambria Math"/>
            <w:sz w:val="22"/>
          </w:rPr>
          <m:t>N</m:t>
        </m:r>
      </m:oMath>
      <w:r>
        <w:rPr>
          <w:rFonts w:hint="eastAsia"/>
        </w:rPr>
        <w:t xml:space="preserve">和</w:t>
      </w:r>
      <m:oMath>
        <m:r>
          <w:rPr>
            <w:rFonts w:ascii="Cambria Math" w:hAnsi="Cambria Math"/>
            <w:sz w:val="22"/>
          </w:rPr>
          <m:t>d</m:t>
        </m:r>
      </m:oMath>
      <w:r>
        <w:rPr>
          <w:rFonts w:hint="eastAsia"/>
        </w:rPr>
        <w:t xml:space="preserve">分别表示批量大小、序列长度和嵌入维度，输入首先经转置使嵌入维度对应卷积通道维度，随后通过第一层</w:t>
      </w:r>
      <m:oMath>
        <m:r>
          <w:rPr>
            <w:rFonts w:ascii="Cambria Math" w:hAnsi="Cambria Math"/>
            <w:sz w:val="22"/>
          </w:rPr>
          <m:t>1</m:t>
        </m:r>
        <m:r>
          <w:rPr>
            <w:rFonts w:ascii="Cambria Math" w:hAnsi="Cambria Math"/>
            <w:sz w:val="22"/>
          </w:rPr>
          <m:rPr>
            <m:sty m:val="p"/>
          </m:rPr>
          <m:t>×</m:t>
        </m:r>
        <m:r>
          <w:rPr>
            <w:rFonts w:ascii="Cambria Math" w:hAnsi="Cambria Math"/>
            <w:sz w:val="22"/>
          </w:rPr>
          <m:t>1</m:t>
        </m:r>
      </m:oMath>
      <w:r>
        <w:rPr>
          <w:rFonts w:hint="eastAsia"/>
        </w:rPr>
        <w:t xml:space="preserve">逐点卷积将通道维度扩展至</w:t>
      </w:r>
      <m:oMath>
        <m:r>
          <w:rPr>
            <w:rFonts w:ascii="Cambria Math" w:hAnsi="Cambria Math"/>
            <w:sz w:val="22"/>
          </w:rPr>
          <m:t>2</m:t>
        </m:r>
        <m:r>
          <w:rPr>
            <w:rFonts w:ascii="Cambria Math" w:hAnsi="Cambria Math"/>
            <w:sz w:val="22"/>
          </w:rPr>
          <m:t>d</m:t>
        </m:r>
      </m:oMath>
      <w:r>
        <w:rPr>
          <w:rFonts w:hint="eastAsia"/>
        </w:rPr>
        <w:t xml:space="preserve">：</w:t>
      </w:r>
    </w:p>
    <w:p>
      <w:pPr>
        <w:pStyle w:val="BodyText"/>
        <w:keepLines/>
        <w:tabs>
          <w:tab w:pos="4791" w:val="center"/>
          <w:tab w:pos="9581" w:val="right"/>
        </w:tabs>
        <w:spacing w:before="100" w:after="100"/>
        <w:ind w:firstLine="0"/>
        <w:jc w:val="left"/>
      </w:pPr>
      <w:bookmarkStart w:id="1034" w:name="equation_17"/>
      <w:r>
        <w:tab/>
      </w:r>
      <m:oMath>
        <m:sSub>
          <m:e>
            <m:r>
              <w:rPr>
                <w:rFonts w:ascii="Cambria Math" w:hAnsi="Cambria Math"/>
                <w:sz w:val="22"/>
              </w:rPr>
              <m:rPr>
                <m:sty m:val="bi"/>
              </m:rPr>
              <m:t>Y</m:t>
            </m:r>
          </m:e>
          <m:sub>
            <m:r>
              <w:rPr>
                <w:rFonts w:ascii="Cambria Math" w:hAnsi="Cambria Math"/>
                <w:sz w:val="22"/>
              </w:rPr>
              <m:t>1</m:t>
            </m:r>
          </m:sub>
        </m:sSub>
        <m:r>
          <w:rPr>
            <w:rFonts w:ascii="Cambria Math" w:hAnsi="Cambria Math"/>
            <w:sz w:val="22"/>
          </w:rPr>
          <m:rPr>
            <m:sty m:val="p"/>
          </m:rPr>
          <m:t>=</m:t>
        </m:r>
        <m:sSub>
          <m:e>
            <m:r>
              <w:rPr>
                <w:rFonts w:ascii="Cambria Math" w:hAnsi="Cambria Math"/>
                <w:sz w:val="22"/>
              </w:rPr>
              <m:rPr>
                <m:sty m:val="p"/>
              </m:rPr>
              <m:t>PW</m:t>
            </m:r>
          </m:e>
          <m:sub>
            <m:r>
              <w:rPr>
                <w:rFonts w:ascii="Cambria Math" w:hAnsi="Cambria Math"/>
                <w:sz w:val="22"/>
              </w:rPr>
              <m:rPr>
                <m:sty m:val="p"/>
              </m:rPr>
              <m:t>↑</m:t>
            </m:r>
          </m:sub>
        </m:sSub>
        <m:d>
          <m:dPr>
            <m:begChr m:val="("/>
            <m:sepChr m:val=""/>
            <m:endChr m:val=")"/>
            <m:grow/>
          </m:dPr>
          <m:e>
            <m:r>
              <w:rPr>
                <w:rFonts w:ascii="Cambria Math" w:hAnsi="Cambria Math"/>
                <w:sz w:val="22"/>
              </w:rPr>
              <m:rPr>
                <m:scr m:val="script"/>
                <m:sty m:val="p"/>
              </m:rPr>
              <m:t>T</m:t>
            </m:r>
            <m:r>
              <w:rPr>
                <w:rFonts w:ascii="Cambria Math" w:hAnsi="Cambria Math"/>
                <w:sz w:val="22"/>
              </w:rPr>
              <m:rPr>
                <m:sty m:val="p"/>
              </m:rPr>
              <m:t>(</m:t>
            </m:r>
            <m:r>
              <w:rPr>
                <w:rFonts w:ascii="Cambria Math" w:hAnsi="Cambria Math"/>
                <w:sz w:val="22"/>
              </w:rPr>
              <m:rPr>
                <m:sty m:val="bi"/>
              </m:rPr>
              <m:t>X</m:t>
            </m:r>
            <m:r>
              <w:rPr>
                <w:rFonts w:ascii="Cambria Math" w:hAnsi="Cambria Math"/>
                <w:sz w:val="22"/>
              </w:rPr>
              <m:rPr>
                <m:sty m:val="p"/>
              </m:rPr>
              <m:t>)</m:t>
            </m:r>
          </m:e>
        </m:d>
        <m:r>
          <w:rPr>
            <w:rFonts w:ascii="Cambria Math" w:hAnsi="Cambria Math"/>
            <w:sz w:val="22"/>
          </w:rPr>
          <m:rPr>
            <m:sty m:val="p"/>
          </m:rPr>
          <m:t>∈</m:t>
        </m:r>
        <m:sSup>
          <m:e>
            <m:r>
              <w:rPr>
                <w:rFonts w:ascii="Cambria Math" w:hAnsi="Cambria Math"/>
                <w:sz w:val="22"/>
              </w:rPr>
              <m:rPr>
                <m:scr m:val="double-struck"/>
                <m:sty m:val="p"/>
              </m:rPr>
              <m:t>R</m:t>
            </m:r>
          </m:e>
          <m:sup>
            <m:r>
              <w:rPr>
                <w:rFonts w:ascii="Cambria Math" w:hAnsi="Cambria Math"/>
                <w:sz w:val="22"/>
              </w:rPr>
              <m:t>B</m:t>
            </m:r>
            <m:r>
              <w:rPr>
                <w:rFonts w:ascii="Cambria Math" w:hAnsi="Cambria Math"/>
                <w:sz w:val="22"/>
              </w:rPr>
              <m:rPr>
                <m:sty m:val="p"/>
              </m:rPr>
              <m:t>×</m:t>
            </m:r>
            <m:r>
              <w:rPr>
                <w:rFonts w:ascii="Cambria Math" w:hAnsi="Cambria Math"/>
                <w:sz w:val="22"/>
              </w:rPr>
              <m:t>2</m:t>
            </m:r>
            <m:r>
              <w:rPr>
                <w:rFonts w:ascii="Cambria Math" w:hAnsi="Cambria Math"/>
                <w:sz w:val="22"/>
              </w:rPr>
              <m:t>d</m:t>
            </m:r>
            <m:r>
              <w:rPr>
                <w:rFonts w:ascii="Cambria Math" w:hAnsi="Cambria Math"/>
                <w:sz w:val="22"/>
              </w:rPr>
              <m:rPr>
                <m:sty m:val="p"/>
              </m:rPr>
              <m:t>×</m:t>
            </m:r>
            <m:r>
              <w:rPr>
                <w:rFonts w:ascii="Cambria Math" w:hAnsi="Cambria Math"/>
                <w:sz w:val="22"/>
              </w:rPr>
              <m:t>N</m:t>
            </m:r>
          </m:sup>
        </m:sSup>
        <m:r>
          <w:rPr>
            <w:rFonts w:ascii="Cambria Math" w:hAnsi="Cambria Math"/>
            <w:sz w:val="22"/>
          </w:rPr>
          <m:rPr>
            <m:sty m:val="p"/>
          </m:rPr>
          <m:t>.</m:t>
        </m:r>
      </m:oMath>
      <w:r>
        <w:tab/>
        <w:t>(17)</w:t>
      </w:r>
      <w:bookmarkEnd w:id="1034"/>
    </w:p>
    <w:p>
      <w:pPr>
        <w:pStyle w:val="BodyText"/>
      </w:pPr>
      <w:r>
        <w:rPr>
          <w:rFonts w:hint="eastAsia"/>
        </w:rPr>
        <w:t xml:space="preserve">扩展后的特征通过</w:t>
      </w:r>
      <m:oMath>
        <m:r>
          <w:rPr>
            <w:rFonts w:ascii="Cambria Math" w:hAnsi="Cambria Math"/>
            <w:sz w:val="22"/>
          </w:rPr>
          <m:t>1</m:t>
        </m:r>
        <m:r>
          <w:rPr>
            <w:rFonts w:ascii="Cambria Math" w:hAnsi="Cambria Math"/>
            <w:sz w:val="22"/>
          </w:rPr>
          <m:rPr>
            <m:sty m:val="p"/>
          </m:rPr>
          <m:t>×</m:t>
        </m:r>
        <m:r>
          <w:rPr>
            <w:rFonts w:ascii="Cambria Math" w:hAnsi="Cambria Math"/>
            <w:sz w:val="22"/>
          </w:rPr>
          <m:t>5</m:t>
        </m:r>
      </m:oMath>
      <w:r>
        <w:rPr>
          <w:rFonts w:hint="eastAsia"/>
        </w:rPr>
        <w:t xml:space="preserve">深度卷积，该卷积在各通道内独立处理序列特征，以提取短邻域信息：</w:t>
      </w:r>
    </w:p>
    <w:p>
      <w:pPr>
        <w:pStyle w:val="BodyText"/>
        <w:keepLines/>
        <w:tabs>
          <w:tab w:pos="4791" w:val="center"/>
          <w:tab w:pos="9581" w:val="right"/>
        </w:tabs>
        <w:spacing w:before="100" w:after="100"/>
        <w:ind w:firstLine="0"/>
        <w:jc w:val="left"/>
      </w:pPr>
      <w:bookmarkStart w:id="1035" w:name="equation_18"/>
      <w:r>
        <w:tab/>
      </w:r>
      <m:oMath>
        <m:sSub>
          <m:e>
            <m:r>
              <w:rPr>
                <w:rFonts w:ascii="Cambria Math" w:hAnsi="Cambria Math"/>
                <w:sz w:val="22"/>
              </w:rPr>
              <m:rPr>
                <m:sty m:val="bi"/>
              </m:rPr>
              <m:t>Y</m:t>
            </m:r>
          </m:e>
          <m:sub>
            <m:r>
              <w:rPr>
                <w:rFonts w:ascii="Cambria Math" w:hAnsi="Cambria Math"/>
                <w:sz w:val="22"/>
              </w:rPr>
              <m:t>2</m:t>
            </m:r>
          </m:sub>
        </m:sSub>
        <m:r>
          <w:rPr>
            <w:rFonts w:ascii="Cambria Math" w:hAnsi="Cambria Math"/>
            <w:sz w:val="22"/>
          </w:rPr>
          <m:rPr>
            <m:sty m:val="p"/>
          </m:rPr>
          <m:t>=</m:t>
        </m:r>
        <m:sSub>
          <m:e>
            <m:r>
              <w:rPr>
                <w:rFonts w:ascii="Cambria Math" w:hAnsi="Cambria Math"/>
                <w:sz w:val="22"/>
              </w:rPr>
              <m:rPr>
                <m:sty m:val="p"/>
              </m:rPr>
              <m:t>DW</m:t>
            </m:r>
          </m:e>
          <m:sub>
            <m:r>
              <w:rPr>
                <w:rFonts w:ascii="Cambria Math" w:hAnsi="Cambria Math"/>
                <w:sz w:val="22"/>
              </w:rPr>
              <m:t>5</m:t>
            </m:r>
          </m:sub>
        </m:sSub>
        <m:r>
          <w:rPr>
            <w:rFonts w:ascii="Cambria Math" w:hAnsi="Cambria Math"/>
            <w:sz w:val="22"/>
          </w:rPr>
          <m:rPr>
            <m:sty m:val="p"/>
          </m:rPr>
          <m:t>(</m:t>
        </m:r>
        <m:sSub>
          <m:e>
            <m:r>
              <w:rPr>
                <w:rFonts w:ascii="Cambria Math" w:hAnsi="Cambria Math"/>
                <w:sz w:val="22"/>
              </w:rPr>
              <m:rPr>
                <m:sty m:val="bi"/>
              </m:rPr>
              <m:t>Y</m:t>
            </m:r>
          </m:e>
          <m:sub>
            <m:r>
              <w:rPr>
                <w:rFonts w:ascii="Cambria Math" w:hAnsi="Cambria Math"/>
                <w:sz w:val="22"/>
              </w:rPr>
              <m:t>1</m:t>
            </m:r>
          </m:sub>
        </m:sSub>
        <m:r>
          <w:rPr>
            <w:rFonts w:ascii="Cambria Math" w:hAnsi="Cambria Math"/>
            <w:sz w:val="22"/>
          </w:rPr>
          <m:rPr>
            <m:sty m:val="p"/>
          </m:rPr>
          <m:t>)</m:t>
        </m:r>
        <m:r>
          <w:rPr>
            <w:rFonts w:ascii="Cambria Math" w:hAnsi="Cambria Math"/>
            <w:sz w:val="22"/>
          </w:rPr>
          <m:rPr>
            <m:sty m:val="p"/>
          </m:rPr>
          <m:t>∈</m:t>
        </m:r>
        <m:sSup>
          <m:e>
            <m:r>
              <w:rPr>
                <w:rFonts w:ascii="Cambria Math" w:hAnsi="Cambria Math"/>
                <w:sz w:val="22"/>
              </w:rPr>
              <m:rPr>
                <m:scr m:val="double-struck"/>
                <m:sty m:val="p"/>
              </m:rPr>
              <m:t>R</m:t>
            </m:r>
          </m:e>
          <m:sup>
            <m:r>
              <w:rPr>
                <w:rFonts w:ascii="Cambria Math" w:hAnsi="Cambria Math"/>
                <w:sz w:val="22"/>
              </w:rPr>
              <m:t>B</m:t>
            </m:r>
            <m:r>
              <w:rPr>
                <w:rFonts w:ascii="Cambria Math" w:hAnsi="Cambria Math"/>
                <w:sz w:val="22"/>
              </w:rPr>
              <m:rPr>
                <m:sty m:val="p"/>
              </m:rPr>
              <m:t>×</m:t>
            </m:r>
            <m:r>
              <w:rPr>
                <w:rFonts w:ascii="Cambria Math" w:hAnsi="Cambria Math"/>
                <w:sz w:val="22"/>
              </w:rPr>
              <m:t>2</m:t>
            </m:r>
            <m:r>
              <w:rPr>
                <w:rFonts w:ascii="Cambria Math" w:hAnsi="Cambria Math"/>
                <w:sz w:val="22"/>
              </w:rPr>
              <m:t>d</m:t>
            </m:r>
            <m:r>
              <w:rPr>
                <w:rFonts w:ascii="Cambria Math" w:hAnsi="Cambria Math"/>
                <w:sz w:val="22"/>
              </w:rPr>
              <m:rPr>
                <m:sty m:val="p"/>
              </m:rPr>
              <m:t>×</m:t>
            </m:r>
            <m:r>
              <w:rPr>
                <w:rFonts w:ascii="Cambria Math" w:hAnsi="Cambria Math"/>
                <w:sz w:val="22"/>
              </w:rPr>
              <m:t>N</m:t>
            </m:r>
          </m:sup>
        </m:sSup>
        <m:r>
          <w:rPr>
            <w:rFonts w:ascii="Cambria Math" w:hAnsi="Cambria Math"/>
            <w:sz w:val="22"/>
          </w:rPr>
          <m:rPr>
            <m:sty m:val="p"/>
          </m:rPr>
          <m:t>.</m:t>
        </m:r>
      </m:oMath>
      <w:r>
        <w:tab/>
        <w:t>(18)</w:t>
      </w:r>
      <w:bookmarkEnd w:id="1035"/>
    </w:p>
    <w:p>
      <w:pPr>
        <w:pStyle w:val="BodyText"/>
      </w:pPr>
      <w:r>
        <w:rPr>
          <w:rFonts w:hint="eastAsia"/>
        </w:rPr>
        <w:t xml:space="preserve">随后，应用ReLU激活函数引入非线性：</w:t>
      </w:r>
    </w:p>
    <w:p>
      <w:pPr>
        <w:pStyle w:val="BodyText"/>
        <w:keepLines/>
        <w:tabs>
          <w:tab w:pos="4791" w:val="center"/>
          <w:tab w:pos="9581" w:val="right"/>
        </w:tabs>
        <w:spacing w:before="100" w:after="100"/>
        <w:ind w:firstLine="0"/>
        <w:jc w:val="left"/>
      </w:pPr>
      <w:bookmarkStart w:id="1036" w:name="equation_19"/>
      <w:r>
        <w:tab/>
      </w:r>
      <m:oMath>
        <m:sSub>
          <m:e>
            <m:r>
              <w:rPr>
                <w:rFonts w:ascii="Cambria Math" w:hAnsi="Cambria Math"/>
                <w:sz w:val="22"/>
              </w:rPr>
              <m:rPr>
                <m:sty m:val="bi"/>
              </m:rPr>
              <m:t>Y</m:t>
            </m:r>
          </m:e>
          <m:sub>
            <m:r>
              <w:rPr>
                <w:rFonts w:ascii="Cambria Math" w:hAnsi="Cambria Math"/>
                <w:sz w:val="22"/>
              </w:rPr>
              <m:t>3</m:t>
            </m:r>
          </m:sub>
        </m:sSub>
        <m:r>
          <w:rPr>
            <w:rFonts w:ascii="Cambria Math" w:hAnsi="Cambria Math"/>
            <w:sz w:val="22"/>
          </w:rPr>
          <m:rPr>
            <m:sty m:val="p"/>
          </m:rPr>
          <m:t>=</m:t>
        </m:r>
        <m:r>
          <w:rPr>
            <w:rFonts w:ascii="Cambria Math" w:hAnsi="Cambria Math"/>
            <w:sz w:val="22"/>
          </w:rPr>
          <m:rPr>
            <m:sty m:val="p"/>
          </m:rPr>
          <m:t>ReLU</m:t>
        </m:r>
        <m:r>
          <w:rPr>
            <w:rFonts w:ascii="Cambria Math" w:hAnsi="Cambria Math"/>
            <w:sz w:val="22"/>
          </w:rPr>
          <m:rPr>
            <m:sty m:val="p"/>
          </m:rPr>
          <m:t>(</m:t>
        </m:r>
        <m:sSub>
          <m:e>
            <m:r>
              <w:rPr>
                <w:rFonts w:ascii="Cambria Math" w:hAnsi="Cambria Math"/>
                <w:sz w:val="22"/>
              </w:rPr>
              <m:rPr>
                <m:sty m:val="bi"/>
              </m:rPr>
              <m:t>Y</m:t>
            </m:r>
          </m:e>
          <m:sub>
            <m:r>
              <w:rPr>
                <w:rFonts w:ascii="Cambria Math" w:hAnsi="Cambria Math"/>
                <w:sz w:val="22"/>
              </w:rPr>
              <m:t>2</m:t>
            </m:r>
          </m:sub>
        </m:sSub>
        <m:r>
          <w:rPr>
            <w:rFonts w:ascii="Cambria Math" w:hAnsi="Cambria Math"/>
            <w:sz w:val="22"/>
          </w:rPr>
          <m:rPr>
            <m:sty m:val="p"/>
          </m:rPr>
          <m:t>)</m:t>
        </m:r>
        <m:r>
          <w:rPr>
            <w:rFonts w:ascii="Cambria Math" w:hAnsi="Cambria Math"/>
            <w:sz w:val="22"/>
          </w:rPr>
          <m:rPr>
            <m:sty m:val="p"/>
          </m:rPr>
          <m:t>.</m:t>
        </m:r>
      </m:oMath>
      <w:r>
        <w:tab/>
        <w:t>(19)</w:t>
      </w:r>
      <w:bookmarkEnd w:id="1036"/>
    </w:p>
    <w:p>
      <w:pPr>
        <w:pStyle w:val="BodyText"/>
      </w:pPr>
      <w:r>
        <w:rPr>
          <w:rFonts w:hint="eastAsia"/>
        </w:rPr>
        <w:t xml:space="preserve">之后，第二层</w:t>
      </w:r>
      <m:oMath>
        <m:r>
          <w:rPr>
            <w:rFonts w:ascii="Cambria Math" w:hAnsi="Cambria Math"/>
            <w:sz w:val="22"/>
          </w:rPr>
          <m:t>1</m:t>
        </m:r>
        <m:r>
          <w:rPr>
            <w:rFonts w:ascii="Cambria Math" w:hAnsi="Cambria Math"/>
            <w:sz w:val="22"/>
          </w:rPr>
          <m:rPr>
            <m:sty m:val="p"/>
          </m:rPr>
          <m:t>×</m:t>
        </m:r>
        <m:r>
          <w:rPr>
            <w:rFonts w:ascii="Cambria Math" w:hAnsi="Cambria Math"/>
            <w:sz w:val="22"/>
          </w:rPr>
          <m:t>1</m:t>
        </m:r>
      </m:oMath>
      <w:r>
        <w:rPr>
          <w:rFonts w:hint="eastAsia"/>
        </w:rPr>
        <w:t xml:space="preserve">逐点卷积融合不同通道的信息，并将通道维度恢复为</w:t>
      </w:r>
      <m:oMath>
        <m:r>
          <w:rPr>
            <w:rFonts w:ascii="Cambria Math" w:hAnsi="Cambria Math"/>
            <w:sz w:val="22"/>
          </w:rPr>
          <m:t>d</m:t>
        </m:r>
      </m:oMath>
      <w:r>
        <w:rPr>
          <w:rFonts w:hint="eastAsia"/>
        </w:rPr>
        <w:t xml:space="preserve">：</w:t>
      </w:r>
    </w:p>
    <w:p>
      <w:pPr>
        <w:pStyle w:val="BodyText"/>
        <w:keepLines/>
        <w:tabs>
          <w:tab w:pos="4791" w:val="center"/>
          <w:tab w:pos="9581" w:val="right"/>
        </w:tabs>
        <w:spacing w:before="100" w:after="100"/>
        <w:ind w:firstLine="0"/>
        <w:jc w:val="left"/>
      </w:pPr>
      <w:bookmarkStart w:id="1037" w:name="equation_20"/>
      <w:r>
        <w:tab/>
      </w:r>
      <m:oMath>
        <m:sSub>
          <m:e>
            <m:r>
              <w:rPr>
                <w:rFonts w:ascii="Cambria Math" w:hAnsi="Cambria Math"/>
                <w:sz w:val="22"/>
              </w:rPr>
              <m:rPr>
                <m:sty m:val="bi"/>
              </m:rPr>
              <m:t>Y</m:t>
            </m:r>
          </m:e>
          <m:sub>
            <m:r>
              <w:rPr>
                <w:rFonts w:ascii="Cambria Math" w:hAnsi="Cambria Math"/>
                <w:sz w:val="22"/>
              </w:rPr>
              <m:t>4</m:t>
            </m:r>
          </m:sub>
        </m:sSub>
        <m:r>
          <w:rPr>
            <w:rFonts w:ascii="Cambria Math" w:hAnsi="Cambria Math"/>
            <w:sz w:val="22"/>
          </w:rPr>
          <m:rPr>
            <m:sty m:val="p"/>
          </m:rPr>
          <m:t>=</m:t>
        </m:r>
        <m:sSub>
          <m:e>
            <m:r>
              <w:rPr>
                <w:rFonts w:ascii="Cambria Math" w:hAnsi="Cambria Math"/>
                <w:sz w:val="22"/>
              </w:rPr>
              <m:rPr>
                <m:sty m:val="p"/>
              </m:rPr>
              <m:t>PW</m:t>
            </m:r>
          </m:e>
          <m:sub>
            <m:r>
              <w:rPr>
                <w:rFonts w:ascii="Cambria Math" w:hAnsi="Cambria Math"/>
                <w:sz w:val="22"/>
              </w:rPr>
              <m:rPr>
                <m:sty m:val="p"/>
              </m:rPr>
              <m:t>↓</m:t>
            </m:r>
          </m:sub>
        </m:sSub>
        <m:r>
          <w:rPr>
            <w:rFonts w:ascii="Cambria Math" w:hAnsi="Cambria Math"/>
            <w:sz w:val="22"/>
          </w:rPr>
          <m:rPr>
            <m:sty m:val="p"/>
          </m:rPr>
          <m:t>(</m:t>
        </m:r>
        <m:sSub>
          <m:e>
            <m:r>
              <w:rPr>
                <w:rFonts w:ascii="Cambria Math" w:hAnsi="Cambria Math"/>
                <w:sz w:val="22"/>
              </w:rPr>
              <m:rPr>
                <m:sty m:val="bi"/>
              </m:rPr>
              <m:t>Y</m:t>
            </m:r>
          </m:e>
          <m:sub>
            <m:r>
              <w:rPr>
                <w:rFonts w:ascii="Cambria Math" w:hAnsi="Cambria Math"/>
                <w:sz w:val="22"/>
              </w:rPr>
              <m:t>3</m:t>
            </m:r>
          </m:sub>
        </m:sSub>
        <m:r>
          <w:rPr>
            <w:rFonts w:ascii="Cambria Math" w:hAnsi="Cambria Math"/>
            <w:sz w:val="22"/>
          </w:rPr>
          <m:rPr>
            <m:sty m:val="p"/>
          </m:rPr>
          <m:t>)</m:t>
        </m:r>
        <m:r>
          <w:rPr>
            <w:rFonts w:ascii="Cambria Math" w:hAnsi="Cambria Math"/>
            <w:sz w:val="22"/>
          </w:rPr>
          <m:rPr>
            <m:sty m:val="p"/>
          </m:rPr>
          <m:t>∈</m:t>
        </m:r>
        <m:sSup>
          <m:e>
            <m:r>
              <w:rPr>
                <w:rFonts w:ascii="Cambria Math" w:hAnsi="Cambria Math"/>
                <w:sz w:val="22"/>
              </w:rPr>
              <m:rPr>
                <m:scr m:val="double-struck"/>
                <m:sty m:val="p"/>
              </m:rPr>
              <m:t>R</m:t>
            </m:r>
          </m:e>
          <m:sup>
            <m:r>
              <w:rPr>
                <w:rFonts w:ascii="Cambria Math" w:hAnsi="Cambria Math"/>
                <w:sz w:val="22"/>
              </w:rPr>
              <m:t>B</m:t>
            </m:r>
            <m:r>
              <w:rPr>
                <w:rFonts w:ascii="Cambria Math" w:hAnsi="Cambria Math"/>
                <w:sz w:val="22"/>
              </w:rPr>
              <m:rPr>
                <m:sty m:val="p"/>
              </m:rPr>
              <m:t>×</m:t>
            </m:r>
            <m:r>
              <w:rPr>
                <w:rFonts w:ascii="Cambria Math" w:hAnsi="Cambria Math"/>
                <w:sz w:val="22"/>
              </w:rPr>
              <m:t>d</m:t>
            </m:r>
            <m:r>
              <w:rPr>
                <w:rFonts w:ascii="Cambria Math" w:hAnsi="Cambria Math"/>
                <w:sz w:val="22"/>
              </w:rPr>
              <m:rPr>
                <m:sty m:val="p"/>
              </m:rPr>
              <m:t>×</m:t>
            </m:r>
            <m:r>
              <w:rPr>
                <w:rFonts w:ascii="Cambria Math" w:hAnsi="Cambria Math"/>
                <w:sz w:val="22"/>
              </w:rPr>
              <m:t>N</m:t>
            </m:r>
          </m:sup>
        </m:sSup>
        <m:r>
          <w:rPr>
            <w:rFonts w:ascii="Cambria Math" w:hAnsi="Cambria Math"/>
            <w:sz w:val="22"/>
          </w:rPr>
          <m:rPr>
            <m:sty m:val="p"/>
          </m:rPr>
          <m:t>.</m:t>
        </m:r>
      </m:oMath>
      <w:r>
        <w:tab/>
        <w:t>(20)</w:t>
      </w:r>
      <w:bookmarkEnd w:id="1037"/>
    </w:p>
    <w:p>
      <w:pPr>
        <w:pStyle w:val="BodyText"/>
      </w:pPr>
      <w:r>
        <w:rPr>
          <w:rFonts w:hint="eastAsia"/>
        </w:rPr>
        <w:t xml:space="preserve">最后，输出经逆转置恢复至原始排列，并与输入通过残差连接融合：</w:t>
      </w:r>
    </w:p>
    <w:p>
      <w:pPr>
        <w:pStyle w:val="BodyText"/>
        <w:keepLines/>
        <w:tabs>
          <w:tab w:pos="4791" w:val="center"/>
          <w:tab w:pos="9581" w:val="right"/>
        </w:tabs>
        <w:spacing w:before="100" w:after="100"/>
        <w:ind w:firstLine="0"/>
        <w:jc w:val="left"/>
      </w:pPr>
      <w:bookmarkStart w:id="1039" w:name="equation_21"/>
      <w:bookmarkStart w:id="1038" w:name="b_eq_dsconv_s"/>
      <w:r>
        <w:tab/>
      </w:r>
      <m:oMath>
        <m:sSub>
          <m:e>
            <m:r>
              <w:rPr>
                <w:rFonts w:ascii="Cambria Math" w:hAnsi="Cambria Math"/>
                <w:sz w:val="22"/>
              </w:rPr>
              <m:rPr>
                <m:sty m:val="bi"/>
              </m:rPr>
              <m:t>X</m:t>
            </m:r>
          </m:e>
          <m:sub>
            <m:r>
              <w:rPr>
                <w:rFonts w:ascii="Cambria Math" w:hAnsi="Cambria Math"/>
                <w:sz w:val="22"/>
              </w:rPr>
              <m:t>S</m:t>
            </m:r>
          </m:sub>
        </m:sSub>
        <m:r>
          <w:rPr>
            <w:rFonts w:ascii="Cambria Math" w:hAnsi="Cambria Math"/>
            <w:sz w:val="22"/>
          </w:rPr>
          <m:rPr>
            <m:sty m:val="p"/>
          </m:rPr>
          <m:t>=</m:t>
        </m:r>
        <m:r>
          <w:rPr>
            <w:rFonts w:ascii="Cambria Math" w:hAnsi="Cambria Math"/>
            <w:sz w:val="22"/>
          </w:rPr>
          <m:rPr>
            <m:sty m:val="p"/>
          </m:rPr>
          <m:t>DSConv-S</m:t>
        </m:r>
        <m:r>
          <w:rPr>
            <w:rFonts w:ascii="Cambria Math" w:hAnsi="Cambria Math"/>
            <w:sz w:val="22"/>
          </w:rPr>
          <m:rPr>
            <m:sty m:val="p"/>
          </m:rPr>
          <m:t>(</m:t>
        </m:r>
        <m:r>
          <w:rPr>
            <w:rFonts w:ascii="Cambria Math" w:hAnsi="Cambria Math"/>
            <w:sz w:val="22"/>
          </w:rPr>
          <m:rPr>
            <m:sty m:val="bi"/>
          </m:rPr>
          <m:t>X</m:t>
        </m:r>
        <m:r>
          <w:rPr>
            <w:rFonts w:ascii="Cambria Math" w:hAnsi="Cambria Math"/>
            <w:sz w:val="22"/>
          </w:rPr>
          <m:rPr>
            <m:sty m:val="p"/>
          </m:rPr>
          <m:t>)</m:t>
        </m:r>
        <m:r>
          <w:rPr>
            <w:rFonts w:ascii="Cambria Math" w:hAnsi="Cambria Math"/>
            <w:sz w:val="22"/>
          </w:rPr>
          <m:rPr>
            <m:sty m:val="p"/>
          </m:rPr>
          <m:t>=</m:t>
        </m:r>
        <m:r>
          <w:rPr>
            <w:rFonts w:ascii="Cambria Math" w:hAnsi="Cambria Math"/>
            <w:sz w:val="22"/>
          </w:rPr>
          <m:rPr>
            <m:sty m:val="bi"/>
          </m:rPr>
          <m:t>X</m:t>
        </m:r>
        <m:r>
          <w:rPr>
            <w:rFonts w:ascii="Cambria Math" w:hAnsi="Cambria Math"/>
            <w:sz w:val="22"/>
          </w:rPr>
          <m:rPr>
            <m:sty m:val="p"/>
          </m:rPr>
          <m:t>+</m:t>
        </m:r>
        <m:sSup>
          <m:e>
            <m:r>
              <w:rPr>
                <w:rFonts w:ascii="Cambria Math" w:hAnsi="Cambria Math"/>
                <w:sz w:val="22"/>
              </w:rPr>
              <m:rPr>
                <m:scr m:val="script"/>
                <m:sty m:val="p"/>
              </m:rPr>
              <m:t>T</m:t>
            </m:r>
          </m:e>
          <m:sup>
            <m:r>
              <w:rPr>
                <w:rFonts w:ascii="Cambria Math" w:hAnsi="Cambria Math"/>
                <w:sz w:val="22"/>
              </w:rPr>
              <m:rPr>
                <m:sty m:val="p"/>
              </m:rPr>
              <m:t>−</m:t>
            </m:r>
            <m:r>
              <w:rPr>
                <w:rFonts w:ascii="Cambria Math" w:hAnsi="Cambria Math"/>
                <w:sz w:val="22"/>
              </w:rPr>
              <m:t>1</m:t>
            </m:r>
          </m:sup>
        </m:sSup>
        <m:r>
          <w:rPr>
            <w:rFonts w:ascii="Cambria Math" w:hAnsi="Cambria Math"/>
            <w:sz w:val="22"/>
          </w:rPr>
          <m:rPr>
            <m:sty m:val="p"/>
          </m:rPr>
          <m:t>(</m:t>
        </m:r>
        <m:sSub>
          <m:e>
            <m:r>
              <w:rPr>
                <w:rFonts w:ascii="Cambria Math" w:hAnsi="Cambria Math"/>
                <w:sz w:val="22"/>
              </w:rPr>
              <m:rPr>
                <m:sty m:val="bi"/>
              </m:rPr>
              <m:t>Y</m:t>
            </m:r>
          </m:e>
          <m:sub>
            <m:r>
              <w:rPr>
                <w:rFonts w:ascii="Cambria Math" w:hAnsi="Cambria Math"/>
                <w:sz w:val="22"/>
              </w:rPr>
              <m:t>4</m:t>
            </m:r>
          </m:sub>
        </m:sSub>
        <m:r>
          <w:rPr>
            <w:rFonts w:ascii="Cambria Math" w:hAnsi="Cambria Math"/>
            <w:sz w:val="22"/>
          </w:rPr>
          <m:rPr>
            <m:sty m:val="p"/>
          </m:rPr>
          <m:t>)</m:t>
        </m:r>
        <m:r>
          <w:rPr>
            <w:rFonts w:ascii="Cambria Math" w:hAnsi="Cambria Math"/>
            <w:sz w:val="22"/>
          </w:rPr>
          <m:rPr>
            <m:sty m:val="p"/>
          </m:rPr>
          <m:t>.</m:t>
        </m:r>
      </m:oMath>
      <w:r>
        <w:tab/>
        <w:t>(21)</w:t>
      </w:r>
      <w:bookmarkEnd w:id="1038"/>
      <w:bookmarkEnd w:id="1039"/>
    </w:p>
    <w:p>
      <w:pPr>
        <w:pStyle w:val="BodyText"/>
      </w:pPr>
      <w:r>
        <w:rPr>
          <w:rFonts w:hint="eastAsia"/>
        </w:rPr>
        <w:t xml:space="preserve">其中，</w:t>
      </w:r>
      <m:oMath>
        <m:sSub>
          <m:e>
            <m:r>
              <w:rPr>
                <w:rFonts w:ascii="Cambria Math" w:hAnsi="Cambria Math"/>
                <w:sz w:val="22"/>
              </w:rPr>
              <m:rPr>
                <m:sty m:val="p"/>
              </m:rPr>
              <m:t>PW</m:t>
            </m:r>
          </m:e>
          <m:sub>
            <m:r>
              <w:rPr>
                <w:rFonts w:ascii="Cambria Math" w:hAnsi="Cambria Math"/>
                <w:sz w:val="22"/>
              </w:rPr>
              <m:rPr>
                <m:sty m:val="p"/>
              </m:rPr>
              <m:t>↑</m:t>
            </m:r>
          </m:sub>
        </m:sSub>
      </m:oMath>
      <w:r>
        <w:rPr>
          <w:rFonts w:hint="eastAsia"/>
        </w:rPr>
        <w:t xml:space="preserve">和</w:t>
      </w:r>
      <m:oMath>
        <m:sSub>
          <m:e>
            <m:r>
              <w:rPr>
                <w:rFonts w:ascii="Cambria Math" w:hAnsi="Cambria Math"/>
                <w:sz w:val="22"/>
              </w:rPr>
              <m:rPr>
                <m:sty m:val="p"/>
              </m:rPr>
              <m:t>PW</m:t>
            </m:r>
          </m:e>
          <m:sub>
            <m:r>
              <w:rPr>
                <w:rFonts w:ascii="Cambria Math" w:hAnsi="Cambria Math"/>
                <w:sz w:val="22"/>
              </w:rPr>
              <m:rPr>
                <m:sty m:val="p"/>
              </m:rPr>
              <m:t>↓</m:t>
            </m:r>
          </m:sub>
        </m:sSub>
      </m:oMath>
      <w:r>
        <w:rPr>
          <w:rFonts w:hint="eastAsia"/>
        </w:rPr>
        <w:t xml:space="preserve">分别表示通道扩展和通道恢复的逐点卷积，</w:t>
      </w:r>
      <m:oMath>
        <m:sSub>
          <m:e>
            <m:r>
              <w:rPr>
                <w:rFonts w:ascii="Cambria Math" w:hAnsi="Cambria Math"/>
                <w:sz w:val="22"/>
              </w:rPr>
              <m:rPr>
                <m:sty m:val="p"/>
              </m:rPr>
              <m:t>DW</m:t>
            </m:r>
          </m:e>
          <m:sub>
            <m:r>
              <w:rPr>
                <w:rFonts w:ascii="Cambria Math" w:hAnsi="Cambria Math"/>
                <w:sz w:val="22"/>
              </w:rPr>
              <m:t>5</m:t>
            </m:r>
          </m:sub>
        </m:sSub>
      </m:oMath>
      <w:r>
        <w:rPr>
          <w:rFonts w:hint="eastAsia"/>
        </w:rPr>
        <w:t xml:space="preserve">表示尺寸为</w:t>
      </w:r>
      <m:oMath>
        <m:r>
          <w:rPr>
            <w:rFonts w:ascii="Cambria Math" w:hAnsi="Cambria Math"/>
            <w:sz w:val="22"/>
          </w:rPr>
          <m:t>1</m:t>
        </m:r>
        <m:r>
          <w:rPr>
            <w:rFonts w:ascii="Cambria Math" w:hAnsi="Cambria Math"/>
            <w:sz w:val="22"/>
          </w:rPr>
          <m:rPr>
            <m:sty m:val="p"/>
          </m:rPr>
          <m:t>×</m:t>
        </m:r>
        <m:r>
          <w:rPr>
            <w:rFonts w:ascii="Cambria Math" w:hAnsi="Cambria Math"/>
            <w:sz w:val="22"/>
          </w:rPr>
          <m:t>5</m:t>
        </m:r>
      </m:oMath>
      <w:r>
        <w:rPr>
          <w:rFonts w:hint="eastAsia"/>
        </w:rPr>
        <w:t xml:space="preserve">的深度卷积，</w:t>
      </w:r>
      <m:oMath>
        <m:r>
          <w:rPr>
            <w:rFonts w:ascii="Cambria Math" w:hAnsi="Cambria Math"/>
            <w:sz w:val="22"/>
          </w:rPr>
          <m:rPr>
            <m:scr m:val="script"/>
            <m:sty m:val="p"/>
          </m:rPr>
          <m:t>T</m:t>
        </m:r>
        <m:r>
          <w:rPr>
            <w:rFonts w:ascii="Cambria Math" w:hAnsi="Cambria Math"/>
            <w:sz w:val="22"/>
          </w:rPr>
          <m:rPr>
            <m:sty m:val="p"/>
          </m:rPr>
          <m:t>(</m:t>
        </m:r>
        <m:r>
          <w:rPr>
            <w:rFonts w:ascii="Cambria Math" w:hAnsi="Cambria Math"/>
            <w:sz w:val="22"/>
          </w:rPr>
          <m:rPr>
            <m:sty m:val="p"/>
          </m:rPr>
          <m:t>⋅</m:t>
        </m:r>
        <m:r>
          <w:rPr>
            <w:rFonts w:ascii="Cambria Math" w:hAnsi="Cambria Math"/>
            <w:sz w:val="22"/>
          </w:rPr>
          <m:rPr>
            <m:sty m:val="p"/>
          </m:rPr>
          <m:t>)</m:t>
        </m:r>
      </m:oMath>
      <w:r>
        <w:rPr>
          <w:rFonts w:hint="eastAsia"/>
        </w:rPr>
        <w:t xml:space="preserve">与</w:t>
      </w:r>
      <m:oMath>
        <m:sSup>
          <m:e>
            <m:r>
              <w:rPr>
                <w:rFonts w:ascii="Cambria Math" w:hAnsi="Cambria Math"/>
                <w:sz w:val="22"/>
              </w:rPr>
              <m:rPr>
                <m:scr m:val="script"/>
                <m:sty m:val="p"/>
              </m:rPr>
              <m:t>T</m:t>
            </m:r>
          </m:e>
          <m:sup>
            <m:r>
              <w:rPr>
                <w:rFonts w:ascii="Cambria Math" w:hAnsi="Cambria Math"/>
                <w:sz w:val="22"/>
              </w:rPr>
              <m:rPr>
                <m:sty m:val="p"/>
              </m:rPr>
              <m:t>−</m:t>
            </m:r>
            <m:r>
              <w:rPr>
                <w:rFonts w:ascii="Cambria Math" w:hAnsi="Cambria Math"/>
                <w:sz w:val="22"/>
              </w:rPr>
              <m:t>1</m:t>
            </m:r>
          </m:sup>
        </m:sSup>
        <m:r>
          <w:rPr>
            <w:rFonts w:ascii="Cambria Math" w:hAnsi="Cambria Math"/>
            <w:sz w:val="22"/>
          </w:rPr>
          <m:rPr>
            <m:sty m:val="p"/>
          </m:rPr>
          <m:t>(</m:t>
        </m:r>
        <m:r>
          <w:rPr>
            <w:rFonts w:ascii="Cambria Math" w:hAnsi="Cambria Math"/>
            <w:sz w:val="22"/>
          </w:rPr>
          <m:rPr>
            <m:sty m:val="p"/>
          </m:rPr>
          <m:t>⋅</m:t>
        </m:r>
        <m:r>
          <w:rPr>
            <w:rFonts w:ascii="Cambria Math" w:hAnsi="Cambria Math"/>
            <w:sz w:val="22"/>
          </w:rPr>
          <m:rPr>
            <m:sty m:val="p"/>
          </m:rPr>
          <m:t>)</m:t>
        </m:r>
      </m:oMath>
      <w:r>
        <w:rPr>
          <w:rFonts w:hint="eastAsia"/>
        </w:rPr>
        <w:t xml:space="preserve">分别表示转置和逆转置操作。</w:t>
      </w:r>
    </w:p>
    <w:p>
      <w:pPr>
        <w:pStyle w:val="BodyText"/>
      </w:pPr>
      <w:r>
        <w:rPr>
          <w:rFonts w:hint="eastAsia"/>
          <w:b/>
          <w:bCs/>
        </w:rPr>
        <w:t xml:space="preserve">计算分析。</w:t>
      </w:r>
      <w:r>
        <w:t xml:space="preserve"> </w:t>
      </w:r>
      <w:r>
        <w:rPr>
          <w:rFonts w:hint="eastAsia"/>
        </w:rPr>
        <w:t xml:space="preserve">在两倍通道扩展条件下，DSConv-S的计算成本主要来自两层</w:t>
      </w:r>
      <m:oMath>
        <m:r>
          <w:rPr>
            <w:rFonts w:ascii="Cambria Math" w:hAnsi="Cambria Math"/>
            <w:sz w:val="22"/>
          </w:rPr>
          <m:t>1</m:t>
        </m:r>
        <m:r>
          <w:rPr>
            <w:rFonts w:ascii="Cambria Math" w:hAnsi="Cambria Math"/>
            <w:sz w:val="22"/>
          </w:rPr>
          <m:rPr>
            <m:sty m:val="p"/>
          </m:rPr>
          <m:t>×</m:t>
        </m:r>
        <m:r>
          <w:rPr>
            <w:rFonts w:ascii="Cambria Math" w:hAnsi="Cambria Math"/>
            <w:sz w:val="22"/>
          </w:rPr>
          <m:t>1</m:t>
        </m:r>
      </m:oMath>
      <w:r>
        <w:rPr>
          <w:rFonts w:hint="eastAsia"/>
        </w:rPr>
        <w:t xml:space="preserve">逐点卷积和一层</w:t>
      </w:r>
      <m:oMath>
        <m:r>
          <w:rPr>
            <w:rFonts w:ascii="Cambria Math" w:hAnsi="Cambria Math"/>
            <w:sz w:val="22"/>
          </w:rPr>
          <m:t>1</m:t>
        </m:r>
        <m:r>
          <w:rPr>
            <w:rFonts w:ascii="Cambria Math" w:hAnsi="Cambria Math"/>
            <w:sz w:val="22"/>
          </w:rPr>
          <m:rPr>
            <m:sty m:val="p"/>
          </m:rPr>
          <m:t>×</m:t>
        </m:r>
        <m:r>
          <w:rPr>
            <w:rFonts w:ascii="Cambria Math" w:hAnsi="Cambria Math"/>
            <w:sz w:val="22"/>
          </w:rPr>
          <m:t>5</m:t>
        </m:r>
      </m:oMath>
      <w:r>
        <w:rPr>
          <w:rFonts w:hint="eastAsia"/>
        </w:rPr>
        <w:t xml:space="preserve">深度卷积，可表示为：</w:t>
      </w:r>
    </w:p>
    <w:p>
      <w:pPr>
        <w:pStyle w:val="BodyText"/>
        <w:keepLines/>
        <w:tabs>
          <w:tab w:pos="4791" w:val="center"/>
          <w:tab w:pos="9581" w:val="right"/>
        </w:tabs>
        <w:spacing w:before="100" w:after="100"/>
        <w:ind w:firstLine="0"/>
        <w:jc w:val="left"/>
      </w:pPr>
      <w:bookmarkStart w:id="1041" w:name="equation_22"/>
      <w:bookmarkStart w:id="1040" w:name="b_eq_dsconv_s_expanded_cost"/>
      <w:r>
        <w:tab/>
      </w:r>
      <m:oMath>
        <m:sSub>
          <m:e>
            <m:r>
              <w:rPr>
                <w:rFonts w:ascii="Cambria Math" w:hAnsi="Cambria Math"/>
                <w:sz w:val="22"/>
              </w:rPr>
              <m:t>C</m:t>
            </m:r>
          </m:e>
          <m:sub>
            <m:r>
              <w:rPr>
                <w:rFonts w:ascii="Cambria Math" w:hAnsi="Cambria Math"/>
                <w:sz w:val="22"/>
              </w:rPr>
              <m:rPr>
                <m:sty m:val="p"/>
              </m:rPr>
              <m:t>i</m:t>
            </m:r>
            <m:r>
              <w:rPr>
                <w:rFonts w:ascii="Cambria Math" w:hAnsi="Cambria Math"/>
                <w:sz w:val="22"/>
              </w:rPr>
              <m:rPr>
                <m:sty m:val="p"/>
              </m:rPr>
              <m:t>n</m:t>
            </m:r>
          </m:sub>
        </m:sSub>
        <m:r>
          <w:rPr>
            <w:rFonts w:ascii="Cambria Math" w:hAnsi="Cambria Math"/>
            <w:sz w:val="22"/>
          </w:rPr>
          <m:rPr>
            <m:sty m:val="p"/>
          </m:rPr>
          <m:t>×</m:t>
        </m:r>
        <m:r>
          <w:rPr>
            <w:rFonts w:ascii="Cambria Math" w:hAnsi="Cambria Math"/>
            <w:sz w:val="22"/>
          </w:rPr>
          <m:t>2</m:t>
        </m:r>
        <m:sSub>
          <m:e>
            <m:r>
              <w:rPr>
                <w:rFonts w:ascii="Cambria Math" w:hAnsi="Cambria Math"/>
                <w:sz w:val="22"/>
              </w:rPr>
              <m:t>C</m:t>
            </m:r>
          </m:e>
          <m:sub>
            <m:r>
              <w:rPr>
                <w:rFonts w:ascii="Cambria Math" w:hAnsi="Cambria Math"/>
                <w:sz w:val="22"/>
              </w:rPr>
              <m:rPr>
                <m:sty m:val="p"/>
              </m:rPr>
              <m:t>o</m:t>
            </m:r>
            <m:r>
              <w:rPr>
                <w:rFonts w:ascii="Cambria Math" w:hAnsi="Cambria Math"/>
                <w:sz w:val="22"/>
              </w:rPr>
              <m:rPr>
                <m:sty m:val="p"/>
              </m:rPr>
              <m:t>u</m:t>
            </m:r>
            <m:r>
              <w:rPr>
                <w:rFonts w:ascii="Cambria Math" w:hAnsi="Cambria Math"/>
                <w:sz w:val="22"/>
              </w:rPr>
              <m:rPr>
                <m:sty m:val="p"/>
              </m:rPr>
              <m:t>t</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F</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F</m:t>
            </m:r>
          </m:sub>
        </m:sSub>
        <m:r>
          <w:rPr>
            <w:rFonts w:ascii="Cambria Math" w:hAnsi="Cambria Math"/>
            <w:sz w:val="22"/>
          </w:rPr>
          <m:rPr>
            <m:sty m:val="p"/>
          </m:rPr>
          <m:t>+</m:t>
        </m:r>
        <m:r>
          <w:rPr>
            <w:rFonts w:ascii="Cambria Math" w:hAnsi="Cambria Math"/>
            <w:sz w:val="22"/>
          </w:rPr>
          <m:t>1</m:t>
        </m:r>
        <m:r>
          <w:rPr>
            <w:rFonts w:ascii="Cambria Math" w:hAnsi="Cambria Math"/>
            <w:sz w:val="22"/>
          </w:rPr>
          <m:rPr>
            <m:sty m:val="p"/>
          </m:rPr>
          <m:t>×</m:t>
        </m:r>
        <m:r>
          <w:rPr>
            <w:rFonts w:ascii="Cambria Math" w:hAnsi="Cambria Math"/>
            <w:sz w:val="22"/>
          </w:rPr>
          <m:t>5</m:t>
        </m:r>
        <m:r>
          <w:rPr>
            <w:rFonts w:ascii="Cambria Math" w:hAnsi="Cambria Math"/>
            <w:sz w:val="22"/>
          </w:rPr>
          <m:rPr>
            <m:sty m:val="p"/>
          </m:rPr>
          <m:t>×</m:t>
        </m:r>
        <m:r>
          <w:rPr>
            <w:rFonts w:ascii="Cambria Math" w:hAnsi="Cambria Math"/>
            <w:sz w:val="22"/>
          </w:rPr>
          <m:t>2</m:t>
        </m:r>
        <m:sSub>
          <m:e>
            <m:r>
              <w:rPr>
                <w:rFonts w:ascii="Cambria Math" w:hAnsi="Cambria Math"/>
                <w:sz w:val="22"/>
              </w:rPr>
              <m:t>C</m:t>
            </m:r>
          </m:e>
          <m:sub>
            <m:r>
              <w:rPr>
                <w:rFonts w:ascii="Cambria Math" w:hAnsi="Cambria Math"/>
                <w:sz w:val="22"/>
              </w:rPr>
              <m:rPr>
                <m:sty m:val="p"/>
              </m:rPr>
              <m:t>o</m:t>
            </m:r>
            <m:r>
              <w:rPr>
                <w:rFonts w:ascii="Cambria Math" w:hAnsi="Cambria Math"/>
                <w:sz w:val="22"/>
              </w:rPr>
              <m:rPr>
                <m:sty m:val="p"/>
              </m:rPr>
              <m:t>u</m:t>
            </m:r>
            <m:r>
              <w:rPr>
                <w:rFonts w:ascii="Cambria Math" w:hAnsi="Cambria Math"/>
                <w:sz w:val="22"/>
              </w:rPr>
              <m:rPr>
                <m:sty m:val="p"/>
              </m:rPr>
              <m:t>t</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F</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F</m:t>
            </m:r>
          </m:sub>
        </m:sSub>
        <m:r>
          <w:rPr>
            <w:rFonts w:ascii="Cambria Math" w:hAnsi="Cambria Math"/>
            <w:sz w:val="22"/>
          </w:rPr>
          <m:rPr>
            <m:sty m:val="p"/>
          </m:rPr>
          <m:t>+</m:t>
        </m:r>
        <m:r>
          <w:rPr>
            <w:rFonts w:ascii="Cambria Math" w:hAnsi="Cambria Math"/>
            <w:sz w:val="22"/>
          </w:rPr>
          <m:t>2</m:t>
        </m:r>
        <m:sSub>
          <m:e>
            <m:r>
              <w:rPr>
                <w:rFonts w:ascii="Cambria Math" w:hAnsi="Cambria Math"/>
                <w:sz w:val="22"/>
              </w:rPr>
              <m:t>C</m:t>
            </m:r>
          </m:e>
          <m:sub>
            <m:r>
              <w:rPr>
                <w:rFonts w:ascii="Cambria Math" w:hAnsi="Cambria Math"/>
                <w:sz w:val="22"/>
              </w:rPr>
              <m:rPr>
                <m:sty m:val="p"/>
              </m:rPr>
              <m:t>o</m:t>
            </m:r>
            <m:r>
              <w:rPr>
                <w:rFonts w:ascii="Cambria Math" w:hAnsi="Cambria Math"/>
                <w:sz w:val="22"/>
              </w:rPr>
              <m:rPr>
                <m:sty m:val="p"/>
              </m:rPr>
              <m:t>u</m:t>
            </m:r>
            <m:r>
              <w:rPr>
                <w:rFonts w:ascii="Cambria Math" w:hAnsi="Cambria Math"/>
                <w:sz w:val="22"/>
              </w:rPr>
              <m:rPr>
                <m:sty m:val="p"/>
              </m:rPr>
              <m:t>t</m:t>
            </m:r>
          </m:sub>
        </m:sSub>
        <m:r>
          <w:rPr>
            <w:rFonts w:ascii="Cambria Math" w:hAnsi="Cambria Math"/>
            <w:sz w:val="22"/>
          </w:rPr>
          <m:rPr>
            <m:sty m:val="p"/>
          </m:rPr>
          <m:t>×</m:t>
        </m:r>
        <m:sSub>
          <m:e>
            <m:r>
              <w:rPr>
                <w:rFonts w:ascii="Cambria Math" w:hAnsi="Cambria Math"/>
                <w:sz w:val="22"/>
              </w:rPr>
              <m:t>C</m:t>
            </m:r>
          </m:e>
          <m:sub>
            <m:r>
              <w:rPr>
                <w:rFonts w:ascii="Cambria Math" w:hAnsi="Cambria Math"/>
                <w:sz w:val="22"/>
              </w:rPr>
              <m:rPr>
                <m:sty m:val="p"/>
              </m:rPr>
              <m:t>o</m:t>
            </m:r>
            <m:r>
              <w:rPr>
                <w:rFonts w:ascii="Cambria Math" w:hAnsi="Cambria Math"/>
                <w:sz w:val="22"/>
              </w:rPr>
              <m:rPr>
                <m:sty m:val="p"/>
              </m:rPr>
              <m:t>u</m:t>
            </m:r>
            <m:r>
              <w:rPr>
                <w:rFonts w:ascii="Cambria Math" w:hAnsi="Cambria Math"/>
                <w:sz w:val="22"/>
              </w:rPr>
              <m:rPr>
                <m:sty m:val="p"/>
              </m:rPr>
              <m:t>t</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F</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F</m:t>
            </m:r>
          </m:sub>
        </m:sSub>
        <m:r>
          <w:rPr>
            <w:rFonts w:ascii="Cambria Math" w:hAnsi="Cambria Math"/>
            <w:sz w:val="22"/>
          </w:rPr>
          <m:rPr>
            <m:sty m:val="p"/>
          </m:rPr>
          <m:t>.</m:t>
        </m:r>
      </m:oMath>
      <w:r>
        <w:tab/>
        <w:t>(22)</w:t>
      </w:r>
      <w:bookmarkEnd w:id="1040"/>
      <w:bookmarkEnd w:id="1041"/>
    </w:p>
    <w:p>
      <w:pPr>
        <w:pStyle w:val="BodyText"/>
      </w:pPr>
      <w:r>
        <w:rPr>
          <w:rFonts w:hint="eastAsia"/>
        </w:rPr>
        <w:t xml:space="preserve">其中，</w:t>
      </w:r>
      <m:oMath>
        <m:r>
          <w:rPr>
            <w:rFonts w:ascii="Cambria Math" w:hAnsi="Cambria Math"/>
            <w:sz w:val="22"/>
          </w:rPr>
          <m:t>2</m:t>
        </m:r>
        <m:sSub>
          <m:e>
            <m:r>
              <w:rPr>
                <w:rFonts w:ascii="Cambria Math" w:hAnsi="Cambria Math"/>
                <w:sz w:val="22"/>
              </w:rPr>
              <m:t>C</m:t>
            </m:r>
          </m:e>
          <m:sub>
            <m:r>
              <w:rPr>
                <w:rFonts w:ascii="Cambria Math" w:hAnsi="Cambria Math"/>
                <w:sz w:val="22"/>
              </w:rPr>
              <m:rPr>
                <m:sty m:val="p"/>
              </m:rPr>
              <m:t>o</m:t>
            </m:r>
            <m:r>
              <w:rPr>
                <w:rFonts w:ascii="Cambria Math" w:hAnsi="Cambria Math"/>
                <w:sz w:val="22"/>
              </w:rPr>
              <m:rPr>
                <m:sty m:val="p"/>
              </m:rPr>
              <m:t>u</m:t>
            </m:r>
            <m:r>
              <w:rPr>
                <w:rFonts w:ascii="Cambria Math" w:hAnsi="Cambria Math"/>
                <w:sz w:val="22"/>
              </w:rPr>
              <m:rPr>
                <m:sty m:val="p"/>
              </m:rPr>
              <m:t>t</m:t>
            </m:r>
          </m:sub>
        </m:sSub>
      </m:oMath>
      <w:r>
        <w:rPr>
          <w:rFonts w:hint="eastAsia"/>
        </w:rPr>
        <w:t xml:space="preserve">和</w:t>
      </w:r>
      <m:oMath>
        <m:sSub>
          <m:e>
            <m:r>
              <w:rPr>
                <w:rFonts w:ascii="Cambria Math" w:hAnsi="Cambria Math"/>
                <w:sz w:val="22"/>
              </w:rPr>
              <m:t>D</m:t>
            </m:r>
          </m:e>
          <m:sub>
            <m:r>
              <w:rPr>
                <w:rFonts w:ascii="Cambria Math" w:hAnsi="Cambria Math"/>
                <w:sz w:val="22"/>
              </w:rPr>
              <m:t>F</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F</m:t>
            </m:r>
          </m:sub>
        </m:sSub>
      </m:oMath>
      <w:r>
        <w:rPr>
          <w:rFonts w:hint="eastAsia"/>
        </w:rPr>
        <w:t xml:space="preserve">分别表示扩展后的通道数和特征图尺寸。</w:t>
      </w:r>
    </w:p>
    <w:bookmarkEnd w:id="25"/>
    <w:bookmarkStart w:id="26" w:name="dsconv-l长尺度特征细化"/>
    <w:p>
      <w:pPr>
        <w:pStyle w:val="Heading3"/>
      </w:pPr>
      <w:r>
        <w:rPr>
          <w:rStyle w:val="SectionNumber"/>
        </w:rPr>
        <w:t xml:space="preserve">3.2.3</w:t>
      </w:r>
      <w:r>
        <w:tab/>
      </w:r>
      <w:r>
        <w:rPr>
          <w:rFonts w:hint="eastAsia"/>
        </w:rPr>
        <w:t xml:space="preserve">DSConv-L：长尺度特征细化</w:t>
      </w:r>
    </w:p>
    <w:p>
      <w:pPr>
        <w:pStyle w:val="FirstParagraph"/>
      </w:pPr>
      <w:r>
        <w:rPr>
          <w:rFonts w:hint="eastAsia"/>
        </w:rPr>
        <w:t xml:space="preserve">DSConv-L置于SLFA之后，采用三倍通道扩展和</w:t>
      </w:r>
      <m:oMath>
        <m:r>
          <w:rPr>
            <w:rFonts w:ascii="Cambria Math" w:hAnsi="Cambria Math"/>
            <w:sz w:val="22"/>
          </w:rPr>
          <m:t>1</m:t>
        </m:r>
        <m:r>
          <w:rPr>
            <w:rFonts w:ascii="Cambria Math" w:hAnsi="Cambria Math"/>
            <w:sz w:val="22"/>
          </w:rPr>
          <m:rPr>
            <m:sty m:val="p"/>
          </m:rPr>
          <m:t>×</m:t>
        </m:r>
        <m:r>
          <w:rPr>
            <w:rFonts w:ascii="Cambria Math" w:hAnsi="Cambria Math"/>
            <w:sz w:val="22"/>
          </w:rPr>
          <m:t>31</m:t>
        </m:r>
      </m:oMath>
      <w:r>
        <w:rPr>
          <w:rFonts w:hint="eastAsia"/>
        </w:rPr>
        <w:t xml:space="preserve">深度卷积，从融合表示中提取较长时间尺度的退化特征。两层</w:t>
      </w:r>
      <m:oMath>
        <m:r>
          <w:rPr>
            <w:rFonts w:ascii="Cambria Math" w:hAnsi="Cambria Math"/>
            <w:sz w:val="22"/>
          </w:rPr>
          <m:t>1</m:t>
        </m:r>
        <m:r>
          <w:rPr>
            <w:rFonts w:ascii="Cambria Math" w:hAnsi="Cambria Math"/>
            <w:sz w:val="22"/>
          </w:rPr>
          <m:rPr>
            <m:sty m:val="p"/>
          </m:rPr>
          <m:t>×</m:t>
        </m:r>
        <m:r>
          <w:rPr>
            <w:rFonts w:ascii="Cambria Math" w:hAnsi="Cambria Math"/>
            <w:sz w:val="22"/>
          </w:rPr>
          <m:t>1</m:t>
        </m:r>
      </m:oMath>
      <w:r>
        <w:rPr>
          <w:rFonts w:hint="eastAsia"/>
        </w:rPr>
        <w:t xml:space="preserve">逐点卷积分别完成通道扩展与恢复，整体变换顺序与DSConv-S一致；其残差连接在MS-AgentNet</w:t>
      </w:r>
      <w:r>
        <w:t xml:space="preserve"> </w:t>
      </w:r>
      <w:r>
        <w:rPr>
          <w:rFonts w:hint="eastAsia"/>
        </w:rPr>
        <w:t xml:space="preserve">Block层完成，如式</w:t>
      </w:r>
      <w:hyperlink w:anchor="b_eq_block_dsconv_l">
        <w:r>
          <w:rPr>
            <w:rStyle w:val="Hyperlink"/>
          </w:rPr>
          <w:t xml:space="preserve">(12)</w:t>
        </w:r>
      </w:hyperlink>
      <w:r>
        <w:rPr>
          <w:rFonts w:hint="eastAsia"/>
        </w:rPr>
        <w:t xml:space="preserve">所示。</w:t>
      </w:r>
    </w:p>
    <w:p>
      <w:pPr>
        <w:pStyle w:val="BodyText"/>
      </w:pPr>
      <w:r>
        <w:rPr>
          <w:rFonts w:hint="eastAsia"/>
          <w:b/>
          <w:bCs/>
        </w:rPr>
        <w:t xml:space="preserve">计算分析。</w:t>
      </w:r>
      <w:r>
        <w:t xml:space="preserve"> </w:t>
      </w:r>
      <w:r>
        <w:rPr>
          <w:rFonts w:hint="eastAsia"/>
        </w:rPr>
        <w:t xml:space="preserve">在三倍通道扩展条件下，DSConv-L的计算成本可表示为：</w:t>
      </w:r>
    </w:p>
    <w:p>
      <w:pPr>
        <w:pStyle w:val="BodyText"/>
        <w:keepLines/>
        <w:tabs>
          <w:tab w:pos="4791" w:val="center"/>
          <w:tab w:pos="9581" w:val="right"/>
        </w:tabs>
        <w:spacing w:before="100" w:after="100"/>
        <w:ind w:firstLine="0"/>
        <w:jc w:val="left"/>
      </w:pPr>
      <w:bookmarkStart w:id="1043" w:name="equation_23"/>
      <w:bookmarkStart w:id="1042" w:name="b_eq_dsconv_l_expanded_cost"/>
      <w:r>
        <w:tab/>
      </w:r>
      <m:oMath>
        <m:sSub>
          <m:e>
            <m:r>
              <w:rPr>
                <w:rFonts w:ascii="Cambria Math" w:hAnsi="Cambria Math"/>
                <w:sz w:val="22"/>
              </w:rPr>
              <m:t>C</m:t>
            </m:r>
          </m:e>
          <m:sub>
            <m:r>
              <w:rPr>
                <w:rFonts w:ascii="Cambria Math" w:hAnsi="Cambria Math"/>
                <w:sz w:val="22"/>
              </w:rPr>
              <m:rPr>
                <m:sty m:val="p"/>
              </m:rPr>
              <m:t>i</m:t>
            </m:r>
            <m:r>
              <w:rPr>
                <w:rFonts w:ascii="Cambria Math" w:hAnsi="Cambria Math"/>
                <w:sz w:val="22"/>
              </w:rPr>
              <m:rPr>
                <m:sty m:val="p"/>
              </m:rPr>
              <m:t>n</m:t>
            </m:r>
          </m:sub>
        </m:sSub>
        <m:r>
          <w:rPr>
            <w:rFonts w:ascii="Cambria Math" w:hAnsi="Cambria Math"/>
            <w:sz w:val="22"/>
          </w:rPr>
          <m:rPr>
            <m:sty m:val="p"/>
          </m:rPr>
          <m:t>×</m:t>
        </m:r>
        <m:r>
          <w:rPr>
            <w:rFonts w:ascii="Cambria Math" w:hAnsi="Cambria Math"/>
            <w:sz w:val="22"/>
          </w:rPr>
          <m:t>3</m:t>
        </m:r>
        <m:sSub>
          <m:e>
            <m:r>
              <w:rPr>
                <w:rFonts w:ascii="Cambria Math" w:hAnsi="Cambria Math"/>
                <w:sz w:val="22"/>
              </w:rPr>
              <m:t>C</m:t>
            </m:r>
          </m:e>
          <m:sub>
            <m:r>
              <w:rPr>
                <w:rFonts w:ascii="Cambria Math" w:hAnsi="Cambria Math"/>
                <w:sz w:val="22"/>
              </w:rPr>
              <m:rPr>
                <m:sty m:val="p"/>
              </m:rPr>
              <m:t>o</m:t>
            </m:r>
            <m:r>
              <w:rPr>
                <w:rFonts w:ascii="Cambria Math" w:hAnsi="Cambria Math"/>
                <w:sz w:val="22"/>
              </w:rPr>
              <m:rPr>
                <m:sty m:val="p"/>
              </m:rPr>
              <m:t>u</m:t>
            </m:r>
            <m:r>
              <w:rPr>
                <w:rFonts w:ascii="Cambria Math" w:hAnsi="Cambria Math"/>
                <w:sz w:val="22"/>
              </w:rPr>
              <m:rPr>
                <m:sty m:val="p"/>
              </m:rPr>
              <m:t>t</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F</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F</m:t>
            </m:r>
          </m:sub>
        </m:sSub>
        <m:r>
          <w:rPr>
            <w:rFonts w:ascii="Cambria Math" w:hAnsi="Cambria Math"/>
            <w:sz w:val="22"/>
          </w:rPr>
          <m:rPr>
            <m:sty m:val="p"/>
          </m:rPr>
          <m:t>+</m:t>
        </m:r>
        <m:r>
          <w:rPr>
            <w:rFonts w:ascii="Cambria Math" w:hAnsi="Cambria Math"/>
            <w:sz w:val="22"/>
          </w:rPr>
          <m:t>1</m:t>
        </m:r>
        <m:r>
          <w:rPr>
            <w:rFonts w:ascii="Cambria Math" w:hAnsi="Cambria Math"/>
            <w:sz w:val="22"/>
          </w:rPr>
          <m:rPr>
            <m:sty m:val="p"/>
          </m:rPr>
          <m:t>×</m:t>
        </m:r>
        <m:r>
          <w:rPr>
            <w:rFonts w:ascii="Cambria Math" w:hAnsi="Cambria Math"/>
            <w:sz w:val="22"/>
          </w:rPr>
          <m:t>31</m:t>
        </m:r>
        <m:r>
          <w:rPr>
            <w:rFonts w:ascii="Cambria Math" w:hAnsi="Cambria Math"/>
            <w:sz w:val="22"/>
          </w:rPr>
          <m:rPr>
            <m:sty m:val="p"/>
          </m:rPr>
          <m:t>×</m:t>
        </m:r>
        <m:r>
          <w:rPr>
            <w:rFonts w:ascii="Cambria Math" w:hAnsi="Cambria Math"/>
            <w:sz w:val="22"/>
          </w:rPr>
          <m:t>3</m:t>
        </m:r>
        <m:sSub>
          <m:e>
            <m:r>
              <w:rPr>
                <w:rFonts w:ascii="Cambria Math" w:hAnsi="Cambria Math"/>
                <w:sz w:val="22"/>
              </w:rPr>
              <m:t>C</m:t>
            </m:r>
          </m:e>
          <m:sub>
            <m:r>
              <w:rPr>
                <w:rFonts w:ascii="Cambria Math" w:hAnsi="Cambria Math"/>
                <w:sz w:val="22"/>
              </w:rPr>
              <m:rPr>
                <m:sty m:val="p"/>
              </m:rPr>
              <m:t>o</m:t>
            </m:r>
            <m:r>
              <w:rPr>
                <w:rFonts w:ascii="Cambria Math" w:hAnsi="Cambria Math"/>
                <w:sz w:val="22"/>
              </w:rPr>
              <m:rPr>
                <m:sty m:val="p"/>
              </m:rPr>
              <m:t>u</m:t>
            </m:r>
            <m:r>
              <w:rPr>
                <w:rFonts w:ascii="Cambria Math" w:hAnsi="Cambria Math"/>
                <w:sz w:val="22"/>
              </w:rPr>
              <m:rPr>
                <m:sty m:val="p"/>
              </m:rPr>
              <m:t>t</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F</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F</m:t>
            </m:r>
          </m:sub>
        </m:sSub>
        <m:r>
          <w:rPr>
            <w:rFonts w:ascii="Cambria Math" w:hAnsi="Cambria Math"/>
            <w:sz w:val="22"/>
          </w:rPr>
          <m:rPr>
            <m:sty m:val="p"/>
          </m:rPr>
          <m:t>+</m:t>
        </m:r>
        <m:r>
          <w:rPr>
            <w:rFonts w:ascii="Cambria Math" w:hAnsi="Cambria Math"/>
            <w:sz w:val="22"/>
          </w:rPr>
          <m:t>3</m:t>
        </m:r>
        <m:sSub>
          <m:e>
            <m:r>
              <w:rPr>
                <w:rFonts w:ascii="Cambria Math" w:hAnsi="Cambria Math"/>
                <w:sz w:val="22"/>
              </w:rPr>
              <m:t>C</m:t>
            </m:r>
          </m:e>
          <m:sub>
            <m:r>
              <w:rPr>
                <w:rFonts w:ascii="Cambria Math" w:hAnsi="Cambria Math"/>
                <w:sz w:val="22"/>
              </w:rPr>
              <m:rPr>
                <m:sty m:val="p"/>
              </m:rPr>
              <m:t>o</m:t>
            </m:r>
            <m:r>
              <w:rPr>
                <w:rFonts w:ascii="Cambria Math" w:hAnsi="Cambria Math"/>
                <w:sz w:val="22"/>
              </w:rPr>
              <m:rPr>
                <m:sty m:val="p"/>
              </m:rPr>
              <m:t>u</m:t>
            </m:r>
            <m:r>
              <w:rPr>
                <w:rFonts w:ascii="Cambria Math" w:hAnsi="Cambria Math"/>
                <w:sz w:val="22"/>
              </w:rPr>
              <m:rPr>
                <m:sty m:val="p"/>
              </m:rPr>
              <m:t>t</m:t>
            </m:r>
          </m:sub>
        </m:sSub>
        <m:r>
          <w:rPr>
            <w:rFonts w:ascii="Cambria Math" w:hAnsi="Cambria Math"/>
            <w:sz w:val="22"/>
          </w:rPr>
          <m:rPr>
            <m:sty m:val="p"/>
          </m:rPr>
          <m:t>×</m:t>
        </m:r>
        <m:sSub>
          <m:e>
            <m:r>
              <w:rPr>
                <w:rFonts w:ascii="Cambria Math" w:hAnsi="Cambria Math"/>
                <w:sz w:val="22"/>
              </w:rPr>
              <m:t>C</m:t>
            </m:r>
          </m:e>
          <m:sub>
            <m:r>
              <w:rPr>
                <w:rFonts w:ascii="Cambria Math" w:hAnsi="Cambria Math"/>
                <w:sz w:val="22"/>
              </w:rPr>
              <m:rPr>
                <m:sty m:val="p"/>
              </m:rPr>
              <m:t>o</m:t>
            </m:r>
            <m:r>
              <w:rPr>
                <w:rFonts w:ascii="Cambria Math" w:hAnsi="Cambria Math"/>
                <w:sz w:val="22"/>
              </w:rPr>
              <m:rPr>
                <m:sty m:val="p"/>
              </m:rPr>
              <m:t>u</m:t>
            </m:r>
            <m:r>
              <w:rPr>
                <w:rFonts w:ascii="Cambria Math" w:hAnsi="Cambria Math"/>
                <w:sz w:val="22"/>
              </w:rPr>
              <m:rPr>
                <m:sty m:val="p"/>
              </m:rPr>
              <m:t>t</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F</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F</m:t>
            </m:r>
          </m:sub>
        </m:sSub>
        <m:r>
          <w:rPr>
            <w:rFonts w:ascii="Cambria Math" w:hAnsi="Cambria Math"/>
            <w:sz w:val="22"/>
          </w:rPr>
          <m:rPr>
            <m:sty m:val="p"/>
          </m:rPr>
          <m:t>.</m:t>
        </m:r>
      </m:oMath>
      <w:r>
        <w:tab/>
        <w:t>(23)</w:t>
      </w:r>
      <w:bookmarkEnd w:id="1042"/>
      <w:bookmarkEnd w:id="1043"/>
    </w:p>
    <w:p>
      <w:pPr>
        <w:pStyle w:val="BodyText"/>
      </w:pPr>
      <w:r>
        <w:rPr>
          <w:rFonts w:hint="eastAsia"/>
        </w:rPr>
        <w:t xml:space="preserve">其中，</w:t>
      </w:r>
      <m:oMath>
        <m:r>
          <w:rPr>
            <w:rFonts w:ascii="Cambria Math" w:hAnsi="Cambria Math"/>
            <w:sz w:val="22"/>
          </w:rPr>
          <m:t>3</m:t>
        </m:r>
        <m:sSub>
          <m:e>
            <m:r>
              <w:rPr>
                <w:rFonts w:ascii="Cambria Math" w:hAnsi="Cambria Math"/>
                <w:sz w:val="22"/>
              </w:rPr>
              <m:t>C</m:t>
            </m:r>
          </m:e>
          <m:sub>
            <m:r>
              <w:rPr>
                <w:rFonts w:ascii="Cambria Math" w:hAnsi="Cambria Math"/>
                <w:sz w:val="22"/>
              </w:rPr>
              <m:rPr>
                <m:sty m:val="p"/>
              </m:rPr>
              <m:t>o</m:t>
            </m:r>
            <m:r>
              <w:rPr>
                <w:rFonts w:ascii="Cambria Math" w:hAnsi="Cambria Math"/>
                <w:sz w:val="22"/>
              </w:rPr>
              <m:rPr>
                <m:sty m:val="p"/>
              </m:rPr>
              <m:t>u</m:t>
            </m:r>
            <m:r>
              <w:rPr>
                <w:rFonts w:ascii="Cambria Math" w:hAnsi="Cambria Math"/>
                <w:sz w:val="22"/>
              </w:rPr>
              <m:rPr>
                <m:sty m:val="p"/>
              </m:rPr>
              <m:t>t</m:t>
            </m:r>
          </m:sub>
        </m:sSub>
      </m:oMath>
      <w:r>
        <w:rPr>
          <w:rFonts w:hint="eastAsia"/>
        </w:rPr>
        <w:t xml:space="preserve">和</w:t>
      </w:r>
      <m:oMath>
        <m:sSub>
          <m:e>
            <m:r>
              <w:rPr>
                <w:rFonts w:ascii="Cambria Math" w:hAnsi="Cambria Math"/>
                <w:sz w:val="22"/>
              </w:rPr>
              <m:t>D</m:t>
            </m:r>
          </m:e>
          <m:sub>
            <m:r>
              <w:rPr>
                <w:rFonts w:ascii="Cambria Math" w:hAnsi="Cambria Math"/>
                <w:sz w:val="22"/>
              </w:rPr>
              <m:t>F</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F</m:t>
            </m:r>
          </m:sub>
        </m:sSub>
      </m:oMath>
      <w:r>
        <w:rPr>
          <w:rFonts w:hint="eastAsia"/>
        </w:rPr>
        <w:t xml:space="preserve">分别表示扩展后的通道数和特征图尺寸。</w:t>
      </w:r>
    </w:p>
    <w:p>
      <w:pPr>
        <w:pStyle w:val="BodyText"/>
        <w:keepNext/>
        <w:keepLines/>
        <w:spacing w:before="100" w:after="80"/>
        <w:ind w:firstLine="0"/>
        <w:jc w:val="center"/>
      </w:pPr>
      <w:bookmarkStart w:id="1044" w:name="b_fig_3_2"/>
      <w:r>
        <w:drawing>
          <wp:inline>
            <wp:extent cx="6084000" cy="2765787"/>
            <wp:docPr id="11" name="Picture 11"/>
            <wp:cNvGraphicFramePr>
              <a:graphicFrameLocks noChangeAspect="1"/>
            </wp:cNvGraphicFramePr>
            <a:graphic>
              <a:graphicData uri="http://schemas.openxmlformats.org/drawingml/2006/picture">
                <pic:pic>
                  <pic:nvPicPr>
                    <pic:cNvPr id="0" name="02.png"/>
                    <pic:cNvPicPr/>
                  </pic:nvPicPr>
                  <pic:blipFill>
                    <a:blip r:embed="rId19"/>
                    <a:stretch>
                      <a:fillRect/>
                    </a:stretch>
                  </pic:blipFill>
                  <pic:spPr>
                    <a:xfrm>
                      <a:off x="0" y="0"/>
                      <a:ext cx="6084000" cy="2765787"/>
                    </a:xfrm>
                    <a:prstGeom prst="rect"/>
                  </pic:spPr>
                </pic:pic>
              </a:graphicData>
            </a:graphic>
          </wp:inline>
        </w:drawing>
      </w:r>
      <w:bookmarkEnd w:id="1044"/>
    </w:p>
    <w:p>
      <w:pPr>
        <w:ind w:firstLine="0"/>
        <w:jc w:val="center"/>
      </w:pPr>
      <w:r>
        <w:rPr>
          <w:sz w:val="18"/>
        </w:rPr>
        <w:t>Fig. 6. The fundamental structures of convolutional modules: (a) standard convolution; (b) standard depthwise separable convolution; (c) DSConv-S module; and (d) DSConv-L module.</w:t>
      </w:r>
    </w:p>
    <w:bookmarkEnd w:id="26"/>
    <w:bookmarkEnd w:id="27"/>
    <w:bookmarkStart w:id="31" w:name="所提出的轻量级局部全局融合注意力模块"/>
    <w:p>
      <w:pPr>
        <w:pStyle w:val="Heading2"/>
      </w:pPr>
      <w:r>
        <w:rPr>
          <w:rStyle w:val="SectionNumber"/>
        </w:rPr>
        <w:t xml:space="preserve">3.3</w:t>
      </w:r>
      <w:r>
        <w:tab/>
      </w:r>
      <w:r>
        <w:rPr>
          <w:rFonts w:hint="eastAsia"/>
        </w:rPr>
        <w:t xml:space="preserve">所提出的轻量级局部—全局融合注意力模块</w:t>
      </w:r>
    </w:p>
    <w:p>
      <w:pPr>
        <w:pStyle w:val="FirstParagraph"/>
      </w:pPr>
      <w:r>
        <w:rPr>
          <w:rFonts w:hint="eastAsia"/>
        </w:rPr>
        <w:t xml:space="preserve">本节给出多头自注意力的一般形式，简要比较Softmax注意力与线性注意力，并在此基础上介绍所提出的SLFA模块。该模块兼顾局部—全局特征建模与计算效率。</w:t>
      </w:r>
    </w:p>
    <w:bookmarkStart w:id="28" w:name="多头自注意力的一般形式"/>
    <w:p>
      <w:pPr>
        <w:pStyle w:val="Heading3"/>
      </w:pPr>
      <w:r>
        <w:rPr>
          <w:rStyle w:val="SectionNumber"/>
        </w:rPr>
        <w:t xml:space="preserve">3.3.1</w:t>
      </w:r>
      <w:r>
        <w:tab/>
      </w:r>
      <w:r>
        <w:rPr>
          <w:rFonts w:hint="eastAsia"/>
        </w:rPr>
        <w:t xml:space="preserve">多头自注意力的一般形式</w:t>
      </w:r>
    </w:p>
    <w:p>
      <w:pPr>
        <w:pStyle w:val="FirstParagraph"/>
      </w:pPr>
      <w:r>
        <w:rPr>
          <w:rFonts w:hint="eastAsia"/>
        </w:rPr>
        <w:t xml:space="preserve">多头自注意力通过多个并行注意力头在不同表示子空间内计算特征之间的相关性[</w:t>
      </w:r>
      <w:hyperlink w:anchor="b_ref34">
        <w:r>
          <w:rPr>
            <w:rStyle w:val="Hyperlink"/>
          </w:rPr>
          <w:t xml:space="preserve">34</w:t>
        </w:r>
      </w:hyperlink>
      <w:r>
        <w:rPr>
          <w:rFonts w:hint="eastAsia"/>
        </w:rPr>
        <w:t xml:space="preserve">]。设输入特征为</w:t>
      </w:r>
      <m:oMath>
        <m:r>
          <w:rPr>
            <w:rFonts w:ascii="Cambria Math" w:hAnsi="Cambria Math"/>
            <w:sz w:val="22"/>
          </w:rPr>
          <m:rPr>
            <m:sty m:val="bi"/>
          </m:rPr>
          <m:t>X</m:t>
        </m:r>
        <m:r>
          <w:rPr>
            <w:rFonts w:ascii="Cambria Math" w:hAnsi="Cambria Math"/>
            <w:sz w:val="22"/>
          </w:rPr>
          <m:rPr>
            <m:sty m:val="p"/>
          </m:rPr>
          <m:t>∈</m:t>
        </m:r>
        <m:sSup>
          <m:e>
            <m:r>
              <w:rPr>
                <w:rFonts w:ascii="Cambria Math" w:hAnsi="Cambria Math"/>
                <w:sz w:val="22"/>
              </w:rPr>
              <m:rPr>
                <m:scr m:val="double-struck"/>
                <m:sty m:val="p"/>
              </m:rPr>
              <m:t>R</m:t>
            </m:r>
          </m:e>
          <m:sup>
            <m:r>
              <w:rPr>
                <w:rFonts w:ascii="Cambria Math" w:hAnsi="Cambria Math"/>
                <w:sz w:val="22"/>
              </w:rPr>
              <m:t>N</m:t>
            </m:r>
            <m:r>
              <w:rPr>
                <w:rFonts w:ascii="Cambria Math" w:hAnsi="Cambria Math"/>
                <w:sz w:val="22"/>
              </w:rPr>
              <m:rPr>
                <m:sty m:val="p"/>
              </m:rPr>
              <m:t>×</m:t>
            </m:r>
            <m:r>
              <w:rPr>
                <w:rFonts w:ascii="Cambria Math" w:hAnsi="Cambria Math"/>
                <w:sz w:val="22"/>
              </w:rPr>
              <m:t>d</m:t>
            </m:r>
          </m:sup>
        </m:sSup>
      </m:oMath>
      <w:r>
        <w:rPr>
          <w:rFonts w:hint="eastAsia"/>
        </w:rPr>
        <w:t xml:space="preserve">，第</w:t>
      </w:r>
      <m:oMath>
        <m:r>
          <w:rPr>
            <w:rFonts w:ascii="Cambria Math" w:hAnsi="Cambria Math"/>
            <w:sz w:val="22"/>
          </w:rPr>
          <m:t>i</m:t>
        </m:r>
      </m:oMath>
      <w:r>
        <w:rPr>
          <w:rFonts w:hint="eastAsia"/>
        </w:rPr>
        <w:t xml:space="preserve">个注意力头的查询、键和值表示为：</w:t>
      </w:r>
    </w:p>
    <w:p>
      <w:pPr>
        <w:pStyle w:val="BodyText"/>
        <w:keepLines/>
        <w:tabs>
          <w:tab w:pos="4791" w:val="center"/>
          <w:tab w:pos="9581" w:val="right"/>
        </w:tabs>
        <w:spacing w:before="100" w:after="100"/>
        <w:ind w:firstLine="0"/>
        <w:jc w:val="left"/>
      </w:pPr>
      <w:bookmarkStart w:id="1046" w:name="equation_24"/>
      <w:bookmarkStart w:id="1045" w:name="b_eq_qkv_projection"/>
      <w:r>
        <w:tab/>
      </w:r>
      <m:oMath>
        <m:sSub>
          <m:e>
            <m:r>
              <w:rPr>
                <w:rFonts w:ascii="Cambria Math" w:hAnsi="Cambria Math"/>
                <w:sz w:val="22"/>
              </w:rPr>
              <m:rPr>
                <m:sty m:val="bi"/>
              </m:rPr>
              <m:t>Q</m:t>
            </m:r>
          </m:e>
          <m:sub>
            <m:r>
              <w:rPr>
                <w:rFonts w:ascii="Cambria Math" w:hAnsi="Cambria Math"/>
                <w:sz w:val="22"/>
              </w:rPr>
              <m:t>i</m:t>
            </m:r>
          </m:sub>
        </m:sSub>
        <m:r>
          <w:rPr>
            <w:rFonts w:ascii="Cambria Math" w:hAnsi="Cambria Math"/>
            <w:sz w:val="22"/>
          </w:rPr>
          <m:rPr>
            <m:sty m:val="p"/>
          </m:rPr>
          <m:t>=</m:t>
        </m:r>
        <m:r>
          <w:rPr>
            <w:rFonts w:ascii="Cambria Math" w:hAnsi="Cambria Math"/>
            <w:sz w:val="22"/>
          </w:rPr>
          <m:rPr>
            <m:sty m:val="bi"/>
          </m:rPr>
          <m:t>X</m:t>
        </m:r>
        <m:sSubSup>
          <m:e>
            <m:r>
              <w:rPr>
                <w:rFonts w:ascii="Cambria Math" w:hAnsi="Cambria Math"/>
                <w:sz w:val="22"/>
              </w:rPr>
              <m:rPr>
                <m:sty m:val="bi"/>
              </m:rPr>
              <m:t>W</m:t>
            </m:r>
          </m:e>
          <m:sub>
            <m:r>
              <w:rPr>
                <w:rFonts w:ascii="Cambria Math" w:hAnsi="Cambria Math"/>
                <w:sz w:val="22"/>
              </w:rPr>
              <m:t>i</m:t>
            </m:r>
          </m:sub>
          <m:sup>
            <m:r>
              <w:rPr>
                <w:rFonts w:ascii="Cambria Math" w:hAnsi="Cambria Math"/>
                <w:sz w:val="22"/>
              </w:rPr>
              <m:t>Q</m:t>
            </m:r>
          </m:sup>
        </m:sSubSup>
        <m:r>
          <w:rPr>
            <w:rFonts w:ascii="Cambria Math" w:hAnsi="Cambria Math"/>
            <w:sz w:val="22"/>
          </w:rPr>
          <m:rPr>
            <m:sty m:val="p"/>
          </m:rPr>
          <m:t>,</m:t>
        </m:r>
        <m:r>
          <w:rPr>
            <w:rFonts w:ascii="Cambria Math" w:hAnsi="Cambria Math"/>
            <w:sz w:val="22"/>
          </w:rPr>
          <m:t>  </m:t>
        </m:r>
        <m:sSub>
          <m:e>
            <m:r>
              <w:rPr>
                <w:rFonts w:ascii="Cambria Math" w:hAnsi="Cambria Math"/>
                <w:sz w:val="22"/>
              </w:rPr>
              <m:rPr>
                <m:sty m:val="bi"/>
              </m:rPr>
              <m:t>K</m:t>
            </m:r>
          </m:e>
          <m:sub>
            <m:r>
              <w:rPr>
                <w:rFonts w:ascii="Cambria Math" w:hAnsi="Cambria Math"/>
                <w:sz w:val="22"/>
              </w:rPr>
              <m:t>i</m:t>
            </m:r>
          </m:sub>
        </m:sSub>
        <m:r>
          <w:rPr>
            <w:rFonts w:ascii="Cambria Math" w:hAnsi="Cambria Math"/>
            <w:sz w:val="22"/>
          </w:rPr>
          <m:rPr>
            <m:sty m:val="p"/>
          </m:rPr>
          <m:t>=</m:t>
        </m:r>
        <m:r>
          <w:rPr>
            <w:rFonts w:ascii="Cambria Math" w:hAnsi="Cambria Math"/>
            <w:sz w:val="22"/>
          </w:rPr>
          <m:rPr>
            <m:sty m:val="bi"/>
          </m:rPr>
          <m:t>X</m:t>
        </m:r>
        <m:sSubSup>
          <m:e>
            <m:r>
              <w:rPr>
                <w:rFonts w:ascii="Cambria Math" w:hAnsi="Cambria Math"/>
                <w:sz w:val="22"/>
              </w:rPr>
              <m:rPr>
                <m:sty m:val="bi"/>
              </m:rPr>
              <m:t>W</m:t>
            </m:r>
          </m:e>
          <m:sub>
            <m:r>
              <w:rPr>
                <w:rFonts w:ascii="Cambria Math" w:hAnsi="Cambria Math"/>
                <w:sz w:val="22"/>
              </w:rPr>
              <m:t>i</m:t>
            </m:r>
          </m:sub>
          <m:sup>
            <m:r>
              <w:rPr>
                <w:rFonts w:ascii="Cambria Math" w:hAnsi="Cambria Math"/>
                <w:sz w:val="22"/>
              </w:rPr>
              <m:t>K</m:t>
            </m:r>
          </m:sup>
        </m:sSubSup>
        <m:r>
          <w:rPr>
            <w:rFonts w:ascii="Cambria Math" w:hAnsi="Cambria Math"/>
            <w:sz w:val="22"/>
          </w:rPr>
          <m:rPr>
            <m:sty m:val="p"/>
          </m:rPr>
          <m:t>,</m:t>
        </m:r>
        <m:r>
          <w:rPr>
            <w:rFonts w:ascii="Cambria Math" w:hAnsi="Cambria Math"/>
            <w:sz w:val="22"/>
          </w:rPr>
          <m:t>  </m:t>
        </m:r>
        <m:sSub>
          <m:e>
            <m:r>
              <w:rPr>
                <w:rFonts w:ascii="Cambria Math" w:hAnsi="Cambria Math"/>
                <w:sz w:val="22"/>
              </w:rPr>
              <m:rPr>
                <m:sty m:val="bi"/>
              </m:rPr>
              <m:t>V</m:t>
            </m:r>
          </m:e>
          <m:sub>
            <m:r>
              <w:rPr>
                <w:rFonts w:ascii="Cambria Math" w:hAnsi="Cambria Math"/>
                <w:sz w:val="22"/>
              </w:rPr>
              <m:t>i</m:t>
            </m:r>
          </m:sub>
        </m:sSub>
        <m:r>
          <w:rPr>
            <w:rFonts w:ascii="Cambria Math" w:hAnsi="Cambria Math"/>
            <w:sz w:val="22"/>
          </w:rPr>
          <m:rPr>
            <m:sty m:val="p"/>
          </m:rPr>
          <m:t>=</m:t>
        </m:r>
        <m:r>
          <w:rPr>
            <w:rFonts w:ascii="Cambria Math" w:hAnsi="Cambria Math"/>
            <w:sz w:val="22"/>
          </w:rPr>
          <m:rPr>
            <m:sty m:val="bi"/>
          </m:rPr>
          <m:t>X</m:t>
        </m:r>
        <m:sSubSup>
          <m:e>
            <m:r>
              <w:rPr>
                <w:rFonts w:ascii="Cambria Math" w:hAnsi="Cambria Math"/>
                <w:sz w:val="22"/>
              </w:rPr>
              <m:rPr>
                <m:sty m:val="bi"/>
              </m:rPr>
              <m:t>W</m:t>
            </m:r>
          </m:e>
          <m:sub>
            <m:r>
              <w:rPr>
                <w:rFonts w:ascii="Cambria Math" w:hAnsi="Cambria Math"/>
                <w:sz w:val="22"/>
              </w:rPr>
              <m:t>i</m:t>
            </m:r>
          </m:sub>
          <m:sup>
            <m:r>
              <w:rPr>
                <w:rFonts w:ascii="Cambria Math" w:hAnsi="Cambria Math"/>
                <w:sz w:val="22"/>
              </w:rPr>
              <m:t>V</m:t>
            </m:r>
          </m:sup>
        </m:sSubSup>
        <m:r>
          <w:rPr>
            <w:rFonts w:ascii="Cambria Math" w:hAnsi="Cambria Math"/>
            <w:sz w:val="22"/>
          </w:rPr>
          <m:rPr>
            <m:sty m:val="p"/>
          </m:rPr>
          <m:t>.</m:t>
        </m:r>
      </m:oMath>
      <w:r>
        <w:tab/>
        <w:t>(24)</w:t>
      </w:r>
      <w:bookmarkEnd w:id="1045"/>
      <w:bookmarkEnd w:id="1046"/>
    </w:p>
    <w:p>
      <w:pPr>
        <w:pStyle w:val="BodyText"/>
      </w:pPr>
      <w:r>
        <w:rPr>
          <w:rFonts w:hint="eastAsia"/>
        </w:rPr>
        <w:t xml:space="preserve">其中，</w:t>
      </w:r>
      <m:oMath>
        <m:r>
          <w:rPr>
            <w:rFonts w:ascii="Cambria Math" w:hAnsi="Cambria Math"/>
            <w:sz w:val="22"/>
          </w:rPr>
          <m:t>N</m:t>
        </m:r>
      </m:oMath>
      <w:r>
        <w:rPr>
          <w:rFonts w:hint="eastAsia"/>
        </w:rPr>
        <w:t xml:space="preserve">为序列长度，</w:t>
      </w:r>
      <m:oMath>
        <m:r>
          <w:rPr>
            <w:rFonts w:ascii="Cambria Math" w:hAnsi="Cambria Math"/>
            <w:sz w:val="22"/>
          </w:rPr>
          <m:t>d</m:t>
        </m:r>
      </m:oMath>
      <w:r>
        <w:rPr>
          <w:rFonts w:hint="eastAsia"/>
        </w:rPr>
        <w:t xml:space="preserve">为输入特征维度，</w:t>
      </w:r>
      <m:oMath>
        <m:sSubSup>
          <m:e>
            <m:r>
              <w:rPr>
                <w:rFonts w:ascii="Cambria Math" w:hAnsi="Cambria Math"/>
                <w:sz w:val="22"/>
              </w:rPr>
              <m:rPr>
                <m:sty m:val="bi"/>
              </m:rPr>
              <m:t>W</m:t>
            </m:r>
          </m:e>
          <m:sub>
            <m:r>
              <w:rPr>
                <w:rFonts w:ascii="Cambria Math" w:hAnsi="Cambria Math"/>
                <w:sz w:val="22"/>
              </w:rPr>
              <m:t>i</m:t>
            </m:r>
          </m:sub>
          <m:sup>
            <m:r>
              <w:rPr>
                <w:rFonts w:ascii="Cambria Math" w:hAnsi="Cambria Math"/>
                <w:sz w:val="22"/>
              </w:rPr>
              <m:t>Q</m:t>
            </m:r>
          </m:sup>
        </m:sSubSup>
        <m:r>
          <w:rPr>
            <w:rFonts w:ascii="Cambria Math" w:hAnsi="Cambria Math"/>
            <w:sz w:val="22"/>
          </w:rPr>
          <m:rPr>
            <m:sty m:val="p"/>
          </m:rPr>
          <m:t>,</m:t>
        </m:r>
        <m:sSubSup>
          <m:e>
            <m:r>
              <w:rPr>
                <w:rFonts w:ascii="Cambria Math" w:hAnsi="Cambria Math"/>
                <w:sz w:val="22"/>
              </w:rPr>
              <m:rPr>
                <m:sty m:val="bi"/>
              </m:rPr>
              <m:t>W</m:t>
            </m:r>
          </m:e>
          <m:sub>
            <m:r>
              <w:rPr>
                <w:rFonts w:ascii="Cambria Math" w:hAnsi="Cambria Math"/>
                <w:sz w:val="22"/>
              </w:rPr>
              <m:t>i</m:t>
            </m:r>
          </m:sub>
          <m:sup>
            <m:r>
              <w:rPr>
                <w:rFonts w:ascii="Cambria Math" w:hAnsi="Cambria Math"/>
                <w:sz w:val="22"/>
              </w:rPr>
              <m:t>K</m:t>
            </m:r>
          </m:sup>
        </m:sSubSup>
        <m:r>
          <w:rPr>
            <w:rFonts w:ascii="Cambria Math" w:hAnsi="Cambria Math"/>
            <w:sz w:val="22"/>
          </w:rPr>
          <m:rPr>
            <m:sty m:val="p"/>
          </m:rPr>
          <m:t>,</m:t>
        </m:r>
        <m:sSubSup>
          <m:e>
            <m:r>
              <w:rPr>
                <w:rFonts w:ascii="Cambria Math" w:hAnsi="Cambria Math"/>
                <w:sz w:val="22"/>
              </w:rPr>
              <m:rPr>
                <m:sty m:val="bi"/>
              </m:rPr>
              <m:t>W</m:t>
            </m:r>
          </m:e>
          <m:sub>
            <m:r>
              <w:rPr>
                <w:rFonts w:ascii="Cambria Math" w:hAnsi="Cambria Math"/>
                <w:sz w:val="22"/>
              </w:rPr>
              <m:t>i</m:t>
            </m:r>
          </m:sub>
          <m:sup>
            <m:r>
              <w:rPr>
                <w:rFonts w:ascii="Cambria Math" w:hAnsi="Cambria Math"/>
                <w:sz w:val="22"/>
              </w:rPr>
              <m:t>V</m:t>
            </m:r>
          </m:sup>
        </m:sSubSup>
        <m:r>
          <w:rPr>
            <w:rFonts w:ascii="Cambria Math" w:hAnsi="Cambria Math"/>
            <w:sz w:val="22"/>
          </w:rPr>
          <m:rPr>
            <m:sty m:val="p"/>
          </m:rPr>
          <m:t>∈</m:t>
        </m:r>
        <m:sSup>
          <m:e>
            <m:r>
              <w:rPr>
                <w:rFonts w:ascii="Cambria Math" w:hAnsi="Cambria Math"/>
                <w:sz w:val="22"/>
              </w:rPr>
              <m:rPr>
                <m:scr m:val="double-struck"/>
                <m:sty m:val="p"/>
              </m:rPr>
              <m:t>R</m:t>
            </m:r>
          </m:e>
          <m:sup>
            <m:r>
              <w:rPr>
                <w:rFonts w:ascii="Cambria Math" w:hAnsi="Cambria Math"/>
                <w:sz w:val="22"/>
              </w:rPr>
              <m:t>d</m:t>
            </m:r>
            <m:r>
              <w:rPr>
                <w:rFonts w:ascii="Cambria Math" w:hAnsi="Cambria Math"/>
                <w:sz w:val="22"/>
              </w:rPr>
              <m:rPr>
                <m:sty m:val="p"/>
              </m:rPr>
              <m:t>×</m:t>
            </m:r>
            <m:sSub>
              <m:e>
                <m:r>
                  <w:rPr>
                    <w:rFonts w:ascii="Cambria Math" w:hAnsi="Cambria Math"/>
                    <w:sz w:val="22"/>
                  </w:rPr>
                  <m:t>d</m:t>
                </m:r>
              </m:e>
              <m:sub>
                <m:r>
                  <w:rPr>
                    <w:rFonts w:ascii="Cambria Math" w:hAnsi="Cambria Math"/>
                    <w:sz w:val="22"/>
                  </w:rPr>
                  <m:t>h</m:t>
                </m:r>
              </m:sub>
            </m:sSub>
          </m:sup>
        </m:sSup>
      </m:oMath>
      <w:r>
        <w:rPr>
          <w:rFonts w:hint="eastAsia"/>
        </w:rPr>
        <w:t xml:space="preserve">为可学习投影矩阵，</w:t>
      </w:r>
      <m:oMath>
        <m:r>
          <w:rPr>
            <w:rFonts w:ascii="Cambria Math" w:hAnsi="Cambria Math"/>
            <w:sz w:val="22"/>
          </w:rPr>
          <m:t>i</m:t>
        </m:r>
        <m:r>
          <w:rPr>
            <w:rFonts w:ascii="Cambria Math" w:hAnsi="Cambria Math"/>
            <w:sz w:val="22"/>
          </w:rPr>
          <m:rPr>
            <m:sty m:val="p"/>
          </m:rPr>
          <m:t>=</m:t>
        </m:r>
        <m:r>
          <w:rPr>
            <w:rFonts w:ascii="Cambria Math" w:hAnsi="Cambria Math"/>
            <w:sz w:val="22"/>
          </w:rPr>
          <m:t>1</m:t>
        </m:r>
        <m:r>
          <w:rPr>
            <w:rFonts w:ascii="Cambria Math" w:hAnsi="Cambria Math"/>
            <w:sz w:val="22"/>
          </w:rPr>
          <m:rPr>
            <m:sty m:val="p"/>
          </m:rPr>
          <m:t>,</m:t>
        </m:r>
        <m:r>
          <w:rPr>
            <w:rFonts w:ascii="Cambria Math" w:hAnsi="Cambria Math"/>
            <w:sz w:val="22"/>
          </w:rPr>
          <m:t>2</m:t>
        </m:r>
        <m:r>
          <w:rPr>
            <w:rFonts w:ascii="Cambria Math" w:hAnsi="Cambria Math"/>
            <w:sz w:val="22"/>
          </w:rPr>
          <m:rPr>
            <m:sty m:val="p"/>
          </m:rPr>
          <m:t>,</m:t>
        </m:r>
        <m:r>
          <w:rPr>
            <w:rFonts w:ascii="Cambria Math" w:hAnsi="Cambria Math"/>
            <w:sz w:val="22"/>
          </w:rPr>
          <m:rPr>
            <m:sty m:val="p"/>
          </m:rPr>
          <m:t>…</m:t>
        </m:r>
        <m:r>
          <w:rPr>
            <w:rFonts w:ascii="Cambria Math" w:hAnsi="Cambria Math"/>
            <w:sz w:val="22"/>
          </w:rPr>
          <m:rPr>
            <m:sty m:val="p"/>
          </m:rPr>
          <m:t>,</m:t>
        </m:r>
        <m:r>
          <w:rPr>
            <w:rFonts w:ascii="Cambria Math" w:hAnsi="Cambria Math"/>
            <w:sz w:val="22"/>
          </w:rPr>
          <m:t>h</m:t>
        </m:r>
      </m:oMath>
      <w:r>
        <w:rPr>
          <w:rFonts w:hint="eastAsia"/>
        </w:rPr>
        <w:t xml:space="preserve">，</w:t>
      </w:r>
      <m:oMath>
        <m:r>
          <w:rPr>
            <w:rFonts w:ascii="Cambria Math" w:hAnsi="Cambria Math"/>
            <w:sz w:val="22"/>
          </w:rPr>
          <m:t>h</m:t>
        </m:r>
      </m:oMath>
      <w:r>
        <w:rPr>
          <w:rFonts w:hint="eastAsia"/>
        </w:rPr>
        <w:t xml:space="preserve">为注意力头数，</w:t>
      </w:r>
      <m:oMath>
        <m:sSub>
          <m:e>
            <m:r>
              <w:rPr>
                <w:rFonts w:ascii="Cambria Math" w:hAnsi="Cambria Math"/>
                <w:sz w:val="22"/>
              </w:rPr>
              <m:t>d</m:t>
            </m:r>
          </m:e>
          <m:sub>
            <m:r>
              <w:rPr>
                <w:rFonts w:ascii="Cambria Math" w:hAnsi="Cambria Math"/>
                <w:sz w:val="22"/>
              </w:rPr>
              <m:t>h</m:t>
            </m:r>
          </m:sub>
        </m:sSub>
        <m:r>
          <w:rPr>
            <w:rFonts w:ascii="Cambria Math" w:hAnsi="Cambria Math"/>
            <w:sz w:val="22"/>
          </w:rPr>
          <m:rPr>
            <m:sty m:val="p"/>
          </m:rPr>
          <m:t>=</m:t>
        </m:r>
        <m:r>
          <w:rPr>
            <w:rFonts w:ascii="Cambria Math" w:hAnsi="Cambria Math"/>
            <w:sz w:val="22"/>
          </w:rPr>
          <m:t>d</m:t>
        </m:r>
        <m:r>
          <w:rPr>
            <w:rFonts w:ascii="Cambria Math" w:hAnsi="Cambria Math"/>
            <w:sz w:val="22"/>
          </w:rPr>
          <m:rPr>
            <m:sty m:val="p"/>
          </m:rPr>
          <m:t>/</m:t>
        </m:r>
        <m:r>
          <w:rPr>
            <w:rFonts w:ascii="Cambria Math" w:hAnsi="Cambria Math"/>
            <w:sz w:val="22"/>
          </w:rPr>
          <m:t>h</m:t>
        </m:r>
      </m:oMath>
      <w:r>
        <w:rPr>
          <w:rFonts w:hint="eastAsia"/>
        </w:rPr>
        <w:t xml:space="preserve">为单个注意力头的特征维度。</w:t>
      </w:r>
    </w:p>
    <w:p>
      <w:pPr>
        <w:pStyle w:val="BodyText"/>
      </w:pPr>
      <w:r>
        <w:rPr>
          <w:rFonts w:hint="eastAsia"/>
        </w:rPr>
        <w:t xml:space="preserve">在采用非负相似度函数构造归一化注意力权重时，第</w:t>
      </w:r>
      <m:oMath>
        <m:r>
          <w:rPr>
            <w:rFonts w:ascii="Cambria Math" w:hAnsi="Cambria Math"/>
            <w:sz w:val="22"/>
          </w:rPr>
          <m:t>i</m:t>
        </m:r>
      </m:oMath>
      <w:r>
        <w:rPr>
          <w:rFonts w:hint="eastAsia"/>
        </w:rPr>
        <w:t xml:space="preserve">个注意力头在第</w:t>
      </w:r>
      <m:oMath>
        <m:r>
          <w:rPr>
            <w:rFonts w:ascii="Cambria Math" w:hAnsi="Cambria Math"/>
            <w:sz w:val="22"/>
          </w:rPr>
          <m:t>p</m:t>
        </m:r>
      </m:oMath>
      <w:r>
        <w:rPr>
          <w:rFonts w:hint="eastAsia"/>
        </w:rPr>
        <w:t xml:space="preserve">个位置的输出可表示为：</w:t>
      </w:r>
    </w:p>
    <w:p>
      <w:pPr>
        <w:pStyle w:val="BodyText"/>
        <w:keepLines/>
        <w:tabs>
          <w:tab w:pos="4791" w:val="center"/>
          <w:tab w:pos="9581" w:val="right"/>
        </w:tabs>
        <w:spacing w:before="100" w:after="100"/>
        <w:ind w:firstLine="0"/>
        <w:jc w:val="left"/>
      </w:pPr>
      <w:bookmarkStart w:id="1048" w:name="equation_25"/>
      <w:bookmarkStart w:id="1047" w:name="b_eq_general_attention"/>
      <w:r>
        <w:tab/>
      </w:r>
      <m:oMath>
        <m:sSub>
          <m:e>
            <m:r>
              <w:rPr>
                <w:rFonts w:ascii="Cambria Math" w:hAnsi="Cambria Math"/>
                <w:sz w:val="22"/>
              </w:rPr>
              <m:rPr>
                <m:sty m:val="bi"/>
              </m:rPr>
              <m:t>O</m:t>
            </m:r>
          </m:e>
          <m:sub>
            <m:r>
              <w:rPr>
                <w:rFonts w:ascii="Cambria Math" w:hAnsi="Cambria Math"/>
                <w:sz w:val="22"/>
              </w:rPr>
              <m:t>i</m:t>
            </m:r>
            <m:r>
              <w:rPr>
                <w:rFonts w:ascii="Cambria Math" w:hAnsi="Cambria Math"/>
                <w:sz w:val="22"/>
              </w:rPr>
              <m:rPr>
                <m:sty m:val="p"/>
              </m:rPr>
              <m:t>,</m:t>
            </m:r>
            <m:r>
              <w:rPr>
                <w:rFonts w:ascii="Cambria Math" w:hAnsi="Cambria Math"/>
                <w:sz w:val="22"/>
              </w:rPr>
              <m:t>p</m:t>
            </m:r>
          </m:sub>
        </m:sSub>
        <m:r>
          <w:rPr>
            <w:rFonts w:ascii="Cambria Math" w:hAnsi="Cambria Math"/>
            <w:sz w:val="22"/>
          </w:rPr>
          <m:rPr>
            <m:sty m:val="p"/>
          </m:rPr>
          <m:t>=</m:t>
        </m:r>
        <m:f>
          <m:fPr>
            <m:type m:val="bar"/>
          </m:fPr>
          <m:num>
            <m:nary>
              <m:naryPr>
                <m:chr m:val="∑"/>
                <m:limLoc m:val="undOvr"/>
                <m:subHide m:val="off"/>
                <m:supHide m:val="off"/>
              </m:naryPr>
              <m:sub>
                <m:r>
                  <w:rPr>
                    <w:rFonts w:ascii="Cambria Math" w:hAnsi="Cambria Math"/>
                    <w:sz w:val="22"/>
                  </w:rPr>
                  <m:t>j</m:t>
                </m:r>
                <m:r>
                  <w:rPr>
                    <w:rFonts w:ascii="Cambria Math" w:hAnsi="Cambria Math"/>
                    <w:sz w:val="22"/>
                  </w:rPr>
                  <m:rPr>
                    <m:sty m:val="p"/>
                  </m:rPr>
                  <m:t>=</m:t>
                </m:r>
                <m:r>
                  <w:rPr>
                    <w:rFonts w:ascii="Cambria Math" w:hAnsi="Cambria Math"/>
                    <w:sz w:val="22"/>
                  </w:rPr>
                  <m:t>1</m:t>
                </m:r>
              </m:sub>
              <m:sup>
                <m:r>
                  <w:rPr>
                    <w:rFonts w:ascii="Cambria Math" w:hAnsi="Cambria Math"/>
                    <w:sz w:val="22"/>
                  </w:rPr>
                  <m:t>N</m:t>
                </m:r>
              </m:sup>
              <m:e>
                <m:r>
                  <w:rPr>
                    <w:rFonts w:ascii="Cambria Math" w:hAnsi="Cambria Math"/>
                    <w:sz w:val="22"/>
                  </w:rPr>
                  <m:rPr>
                    <m:sty m:val="p"/>
                  </m:rPr>
                  <m:t>Sim</m:t>
                </m:r>
              </m:e>
            </m:nary>
            <m:d>
              <m:dPr>
                <m:begChr m:val="("/>
                <m:sepChr m:val=""/>
                <m:endChr m:val=")"/>
                <m:grow/>
              </m:dPr>
              <m:e>
                <m:sSub>
                  <m:e>
                    <m:r>
                      <w:rPr>
                        <w:rFonts w:ascii="Cambria Math" w:hAnsi="Cambria Math"/>
                        <w:sz w:val="22"/>
                      </w:rPr>
                      <m:rPr>
                        <m:sty m:val="bi"/>
                      </m:rPr>
                      <m:t>Q</m:t>
                    </m:r>
                  </m:e>
                  <m:sub>
                    <m:r>
                      <w:rPr>
                        <w:rFonts w:ascii="Cambria Math" w:hAnsi="Cambria Math"/>
                        <w:sz w:val="22"/>
                      </w:rPr>
                      <m:t>i</m:t>
                    </m:r>
                    <m:r>
                      <w:rPr>
                        <w:rFonts w:ascii="Cambria Math" w:hAnsi="Cambria Math"/>
                        <w:sz w:val="22"/>
                      </w:rPr>
                      <m:rPr>
                        <m:sty m:val="p"/>
                      </m:rPr>
                      <m:t>,</m:t>
                    </m:r>
                    <m:r>
                      <w:rPr>
                        <w:rFonts w:ascii="Cambria Math" w:hAnsi="Cambria Math"/>
                        <w:sz w:val="22"/>
                      </w:rPr>
                      <m:t>p</m:t>
                    </m:r>
                  </m:sub>
                </m:sSub>
                <m:r>
                  <w:rPr>
                    <w:rFonts w:ascii="Cambria Math" w:hAnsi="Cambria Math"/>
                    <w:sz w:val="22"/>
                  </w:rPr>
                  <m:rPr>
                    <m:sty m:val="p"/>
                  </m:rPr>
                  <m:t>,</m:t>
                </m:r>
                <m:sSub>
                  <m:e>
                    <m:r>
                      <w:rPr>
                        <w:rFonts w:ascii="Cambria Math" w:hAnsi="Cambria Math"/>
                        <w:sz w:val="22"/>
                      </w:rPr>
                      <m:rPr>
                        <m:sty m:val="bi"/>
                      </m:rPr>
                      <m:t>K</m:t>
                    </m:r>
                  </m:e>
                  <m:sub>
                    <m:r>
                      <w:rPr>
                        <w:rFonts w:ascii="Cambria Math" w:hAnsi="Cambria Math"/>
                        <w:sz w:val="22"/>
                      </w:rPr>
                      <m:t>i</m:t>
                    </m:r>
                    <m:r>
                      <w:rPr>
                        <w:rFonts w:ascii="Cambria Math" w:hAnsi="Cambria Math"/>
                        <w:sz w:val="22"/>
                      </w:rPr>
                      <m:rPr>
                        <m:sty m:val="p"/>
                      </m:rPr>
                      <m:t>,</m:t>
                    </m:r>
                    <m:r>
                      <w:rPr>
                        <w:rFonts w:ascii="Cambria Math" w:hAnsi="Cambria Math"/>
                        <w:sz w:val="22"/>
                      </w:rPr>
                      <m:t>j</m:t>
                    </m:r>
                  </m:sub>
                </m:sSub>
              </m:e>
            </m:d>
            <m:sSub>
              <m:e>
                <m:r>
                  <w:rPr>
                    <w:rFonts w:ascii="Cambria Math" w:hAnsi="Cambria Math"/>
                    <w:sz w:val="22"/>
                  </w:rPr>
                  <m:rPr>
                    <m:sty m:val="bi"/>
                  </m:rPr>
                  <m:t>V</m:t>
                </m:r>
              </m:e>
              <m:sub>
                <m:r>
                  <w:rPr>
                    <w:rFonts w:ascii="Cambria Math" w:hAnsi="Cambria Math"/>
                    <w:sz w:val="22"/>
                  </w:rPr>
                  <m:t>i</m:t>
                </m:r>
                <m:r>
                  <w:rPr>
                    <w:rFonts w:ascii="Cambria Math" w:hAnsi="Cambria Math"/>
                    <w:sz w:val="22"/>
                  </w:rPr>
                  <m:rPr>
                    <m:sty m:val="p"/>
                  </m:rPr>
                  <m:t>,</m:t>
                </m:r>
                <m:r>
                  <w:rPr>
                    <w:rFonts w:ascii="Cambria Math" w:hAnsi="Cambria Math"/>
                    <w:sz w:val="22"/>
                  </w:rPr>
                  <m:t>j</m:t>
                </m:r>
              </m:sub>
            </m:sSub>
          </m:num>
          <m:den>
            <m:nary>
              <m:naryPr>
                <m:chr m:val="∑"/>
                <m:limLoc m:val="undOvr"/>
                <m:subHide m:val="off"/>
                <m:supHide m:val="off"/>
              </m:naryPr>
              <m:sub>
                <m:r>
                  <w:rPr>
                    <w:rFonts w:ascii="Cambria Math" w:hAnsi="Cambria Math"/>
                    <w:sz w:val="22"/>
                  </w:rPr>
                  <m:t>j</m:t>
                </m:r>
                <m:r>
                  <w:rPr>
                    <w:rFonts w:ascii="Cambria Math" w:hAnsi="Cambria Math"/>
                    <w:sz w:val="22"/>
                  </w:rPr>
                  <m:rPr>
                    <m:sty m:val="p"/>
                  </m:rPr>
                  <m:t>=</m:t>
                </m:r>
                <m:r>
                  <w:rPr>
                    <w:rFonts w:ascii="Cambria Math" w:hAnsi="Cambria Math"/>
                    <w:sz w:val="22"/>
                  </w:rPr>
                  <m:t>1</m:t>
                </m:r>
              </m:sub>
              <m:sup>
                <m:r>
                  <w:rPr>
                    <w:rFonts w:ascii="Cambria Math" w:hAnsi="Cambria Math"/>
                    <w:sz w:val="22"/>
                  </w:rPr>
                  <m:t>N</m:t>
                </m:r>
              </m:sup>
              <m:e>
                <m:r>
                  <w:rPr>
                    <w:rFonts w:ascii="Cambria Math" w:hAnsi="Cambria Math"/>
                    <w:sz w:val="22"/>
                  </w:rPr>
                  <m:rPr>
                    <m:sty m:val="p"/>
                  </m:rPr>
                  <m:t>Sim</m:t>
                </m:r>
              </m:e>
            </m:nary>
            <m:d>
              <m:dPr>
                <m:begChr m:val="("/>
                <m:sepChr m:val=""/>
                <m:endChr m:val=")"/>
                <m:grow/>
              </m:dPr>
              <m:e>
                <m:sSub>
                  <m:e>
                    <m:r>
                      <w:rPr>
                        <w:rFonts w:ascii="Cambria Math" w:hAnsi="Cambria Math"/>
                        <w:sz w:val="22"/>
                      </w:rPr>
                      <m:rPr>
                        <m:sty m:val="bi"/>
                      </m:rPr>
                      <m:t>Q</m:t>
                    </m:r>
                  </m:e>
                  <m:sub>
                    <m:r>
                      <w:rPr>
                        <w:rFonts w:ascii="Cambria Math" w:hAnsi="Cambria Math"/>
                        <w:sz w:val="22"/>
                      </w:rPr>
                      <m:t>i</m:t>
                    </m:r>
                    <m:r>
                      <w:rPr>
                        <w:rFonts w:ascii="Cambria Math" w:hAnsi="Cambria Math"/>
                        <w:sz w:val="22"/>
                      </w:rPr>
                      <m:rPr>
                        <m:sty m:val="p"/>
                      </m:rPr>
                      <m:t>,</m:t>
                    </m:r>
                    <m:r>
                      <w:rPr>
                        <w:rFonts w:ascii="Cambria Math" w:hAnsi="Cambria Math"/>
                        <w:sz w:val="22"/>
                      </w:rPr>
                      <m:t>p</m:t>
                    </m:r>
                  </m:sub>
                </m:sSub>
                <m:r>
                  <w:rPr>
                    <w:rFonts w:ascii="Cambria Math" w:hAnsi="Cambria Math"/>
                    <w:sz w:val="22"/>
                  </w:rPr>
                  <m:rPr>
                    <m:sty m:val="p"/>
                  </m:rPr>
                  <m:t>,</m:t>
                </m:r>
                <m:sSub>
                  <m:e>
                    <m:r>
                      <w:rPr>
                        <w:rFonts w:ascii="Cambria Math" w:hAnsi="Cambria Math"/>
                        <w:sz w:val="22"/>
                      </w:rPr>
                      <m:rPr>
                        <m:sty m:val="bi"/>
                      </m:rPr>
                      <m:t>K</m:t>
                    </m:r>
                  </m:e>
                  <m:sub>
                    <m:r>
                      <w:rPr>
                        <w:rFonts w:ascii="Cambria Math" w:hAnsi="Cambria Math"/>
                        <w:sz w:val="22"/>
                      </w:rPr>
                      <m:t>i</m:t>
                    </m:r>
                    <m:r>
                      <w:rPr>
                        <w:rFonts w:ascii="Cambria Math" w:hAnsi="Cambria Math"/>
                        <w:sz w:val="22"/>
                      </w:rPr>
                      <m:rPr>
                        <m:sty m:val="p"/>
                      </m:rPr>
                      <m:t>,</m:t>
                    </m:r>
                    <m:r>
                      <w:rPr>
                        <w:rFonts w:ascii="Cambria Math" w:hAnsi="Cambria Math"/>
                        <w:sz w:val="22"/>
                      </w:rPr>
                      <m:t>j</m:t>
                    </m:r>
                  </m:sub>
                </m:sSub>
              </m:e>
            </m:d>
          </m:den>
        </m:f>
        <m:r>
          <w:rPr>
            <w:rFonts w:ascii="Cambria Math" w:hAnsi="Cambria Math"/>
            <w:sz w:val="22"/>
          </w:rPr>
          <m:rPr>
            <m:sty m:val="p"/>
          </m:rPr>
          <m:t>,</m:t>
        </m:r>
        <m:r>
          <w:rPr>
            <w:rFonts w:ascii="Cambria Math" w:hAnsi="Cambria Math"/>
            <w:sz w:val="22"/>
          </w:rPr>
          <m:t>  </m:t>
        </m:r>
        <m:r>
          <w:rPr>
            <w:rFonts w:ascii="Cambria Math" w:hAnsi="Cambria Math"/>
            <w:sz w:val="22"/>
          </w:rPr>
          <m:t>p</m:t>
        </m:r>
        <m:r>
          <w:rPr>
            <w:rFonts w:ascii="Cambria Math" w:hAnsi="Cambria Math"/>
            <w:sz w:val="22"/>
          </w:rPr>
          <m:rPr>
            <m:sty m:val="p"/>
          </m:rPr>
          <m:t>=</m:t>
        </m:r>
        <m:r>
          <w:rPr>
            <w:rFonts w:ascii="Cambria Math" w:hAnsi="Cambria Math"/>
            <w:sz w:val="22"/>
          </w:rPr>
          <m:t>1</m:t>
        </m:r>
        <m:r>
          <w:rPr>
            <w:rFonts w:ascii="Cambria Math" w:hAnsi="Cambria Math"/>
            <w:sz w:val="22"/>
          </w:rPr>
          <m:rPr>
            <m:sty m:val="p"/>
          </m:rPr>
          <m:t>,</m:t>
        </m:r>
        <m:r>
          <w:rPr>
            <w:rFonts w:ascii="Cambria Math" w:hAnsi="Cambria Math"/>
            <w:sz w:val="22"/>
          </w:rPr>
          <m:t>2</m:t>
        </m:r>
        <m:r>
          <w:rPr>
            <w:rFonts w:ascii="Cambria Math" w:hAnsi="Cambria Math"/>
            <w:sz w:val="22"/>
          </w:rPr>
          <m:rPr>
            <m:sty m:val="p"/>
          </m:rPr>
          <m:t>,</m:t>
        </m:r>
        <m:r>
          <w:rPr>
            <w:rFonts w:ascii="Cambria Math" w:hAnsi="Cambria Math"/>
            <w:sz w:val="22"/>
          </w:rPr>
          <m:rPr>
            <m:sty m:val="p"/>
          </m:rPr>
          <m:t>…</m:t>
        </m:r>
        <m:r>
          <w:rPr>
            <w:rFonts w:ascii="Cambria Math" w:hAnsi="Cambria Math"/>
            <w:sz w:val="22"/>
          </w:rPr>
          <m:rPr>
            <m:sty m:val="p"/>
          </m:rPr>
          <m:t>,</m:t>
        </m:r>
        <m:r>
          <w:rPr>
            <w:rFonts w:ascii="Cambria Math" w:hAnsi="Cambria Math"/>
            <w:sz w:val="22"/>
          </w:rPr>
          <m:t>N</m:t>
        </m:r>
        <m:r>
          <w:rPr>
            <w:rFonts w:ascii="Cambria Math" w:hAnsi="Cambria Math"/>
            <w:sz w:val="22"/>
          </w:rPr>
          <m:rPr>
            <m:sty m:val="p"/>
          </m:rPr>
          <m:t>.</m:t>
        </m:r>
      </m:oMath>
      <w:r>
        <w:tab/>
        <w:t>(25)</w:t>
      </w:r>
      <w:bookmarkEnd w:id="1047"/>
      <w:bookmarkEnd w:id="1048"/>
    </w:p>
    <w:p>
      <w:pPr>
        <w:pStyle w:val="BodyText"/>
      </w:pPr>
      <w:r>
        <w:rPr>
          <w:rFonts w:hint="eastAsia"/>
        </w:rPr>
        <w:t xml:space="preserve">其中，</w:t>
      </w:r>
      <m:oMath>
        <m:sSub>
          <m:e>
            <m:r>
              <w:rPr>
                <w:rFonts w:ascii="Cambria Math" w:hAnsi="Cambria Math"/>
                <w:sz w:val="22"/>
              </w:rPr>
              <m:rPr>
                <m:sty m:val="bi"/>
              </m:rPr>
              <m:t>Q</m:t>
            </m:r>
          </m:e>
          <m:sub>
            <m:r>
              <w:rPr>
                <w:rFonts w:ascii="Cambria Math" w:hAnsi="Cambria Math"/>
                <w:sz w:val="22"/>
              </w:rPr>
              <m:t>i</m:t>
            </m:r>
            <m:r>
              <w:rPr>
                <w:rFonts w:ascii="Cambria Math" w:hAnsi="Cambria Math"/>
                <w:sz w:val="22"/>
              </w:rPr>
              <m:rPr>
                <m:sty m:val="p"/>
              </m:rPr>
              <m:t>,</m:t>
            </m:r>
            <m:r>
              <w:rPr>
                <w:rFonts w:ascii="Cambria Math" w:hAnsi="Cambria Math"/>
                <w:sz w:val="22"/>
              </w:rPr>
              <m:t>p</m:t>
            </m:r>
          </m:sub>
        </m:sSub>
      </m:oMath>
      <w:r>
        <w:rPr>
          <w:rFonts w:hint="eastAsia"/>
        </w:rPr>
        <w:t xml:space="preserve">表示第</w:t>
      </w:r>
      <m:oMath>
        <m:r>
          <w:rPr>
            <w:rFonts w:ascii="Cambria Math" w:hAnsi="Cambria Math"/>
            <w:sz w:val="22"/>
          </w:rPr>
          <m:t>i</m:t>
        </m:r>
      </m:oMath>
      <w:r>
        <w:rPr>
          <w:rFonts w:hint="eastAsia"/>
        </w:rPr>
        <w:t xml:space="preserve">个注意力头中第</w:t>
      </w:r>
      <m:oMath>
        <m:r>
          <w:rPr>
            <w:rFonts w:ascii="Cambria Math" w:hAnsi="Cambria Math"/>
            <w:sz w:val="22"/>
          </w:rPr>
          <m:t>p</m:t>
        </m:r>
      </m:oMath>
      <w:r>
        <w:rPr>
          <w:rFonts w:hint="eastAsia"/>
        </w:rPr>
        <w:t xml:space="preserve">个位置的查询，</w:t>
      </w:r>
      <m:oMath>
        <m:sSub>
          <m:e>
            <m:r>
              <w:rPr>
                <w:rFonts w:ascii="Cambria Math" w:hAnsi="Cambria Math"/>
                <w:sz w:val="22"/>
              </w:rPr>
              <m:rPr>
                <m:sty m:val="bi"/>
              </m:rPr>
              <m:t>K</m:t>
            </m:r>
          </m:e>
          <m:sub>
            <m:r>
              <w:rPr>
                <w:rFonts w:ascii="Cambria Math" w:hAnsi="Cambria Math"/>
                <w:sz w:val="22"/>
              </w:rPr>
              <m:t>i</m:t>
            </m:r>
            <m:r>
              <w:rPr>
                <w:rFonts w:ascii="Cambria Math" w:hAnsi="Cambria Math"/>
                <w:sz w:val="22"/>
              </w:rPr>
              <m:rPr>
                <m:sty m:val="p"/>
              </m:rPr>
              <m:t>,</m:t>
            </m:r>
            <m:r>
              <w:rPr>
                <w:rFonts w:ascii="Cambria Math" w:hAnsi="Cambria Math"/>
                <w:sz w:val="22"/>
              </w:rPr>
              <m:t>j</m:t>
            </m:r>
          </m:sub>
        </m:sSub>
      </m:oMath>
      <w:r>
        <w:rPr>
          <w:rFonts w:hint="eastAsia"/>
        </w:rPr>
        <w:t xml:space="preserve">和</w:t>
      </w:r>
      <m:oMath>
        <m:sSub>
          <m:e>
            <m:r>
              <w:rPr>
                <w:rFonts w:ascii="Cambria Math" w:hAnsi="Cambria Math"/>
                <w:sz w:val="22"/>
              </w:rPr>
              <m:rPr>
                <m:sty m:val="bi"/>
              </m:rPr>
              <m:t>V</m:t>
            </m:r>
          </m:e>
          <m:sub>
            <m:r>
              <w:rPr>
                <w:rFonts w:ascii="Cambria Math" w:hAnsi="Cambria Math"/>
                <w:sz w:val="22"/>
              </w:rPr>
              <m:t>i</m:t>
            </m:r>
            <m:r>
              <w:rPr>
                <w:rFonts w:ascii="Cambria Math" w:hAnsi="Cambria Math"/>
                <w:sz w:val="22"/>
              </w:rPr>
              <m:rPr>
                <m:sty m:val="p"/>
              </m:rPr>
              <m:t>,</m:t>
            </m:r>
            <m:r>
              <w:rPr>
                <w:rFonts w:ascii="Cambria Math" w:hAnsi="Cambria Math"/>
                <w:sz w:val="22"/>
              </w:rPr>
              <m:t>j</m:t>
            </m:r>
          </m:sub>
        </m:sSub>
      </m:oMath>
      <w:r>
        <w:rPr>
          <w:rFonts w:hint="eastAsia"/>
        </w:rPr>
        <w:t xml:space="preserve">分别表示第</w:t>
      </w:r>
      <m:oMath>
        <m:r>
          <w:rPr>
            <w:rFonts w:ascii="Cambria Math" w:hAnsi="Cambria Math"/>
            <w:sz w:val="22"/>
          </w:rPr>
          <m:t>j</m:t>
        </m:r>
      </m:oMath>
      <w:r>
        <w:rPr>
          <w:rFonts w:hint="eastAsia"/>
        </w:rPr>
        <w:t xml:space="preserve">个位置的键和值，</w:t>
      </w:r>
      <m:oMath>
        <m:r>
          <w:rPr>
            <w:rFonts w:ascii="Cambria Math" w:hAnsi="Cambria Math"/>
            <w:sz w:val="22"/>
          </w:rPr>
          <m:rPr>
            <m:sty m:val="p"/>
          </m:rPr>
          <m:t>Sim</m:t>
        </m:r>
        <m:r>
          <w:rPr>
            <w:rFonts w:ascii="Cambria Math" w:hAnsi="Cambria Math"/>
            <w:sz w:val="22"/>
          </w:rPr>
          <m:rPr>
            <m:sty m:val="p"/>
          </m:rPr>
          <m:t>(</m:t>
        </m:r>
        <m:r>
          <w:rPr>
            <w:rFonts w:ascii="Cambria Math" w:hAnsi="Cambria Math"/>
            <w:sz w:val="22"/>
          </w:rPr>
          <m:rPr>
            <m:sty m:val="p"/>
          </m:rPr>
          <m:t>⋅</m:t>
        </m:r>
        <m:r>
          <w:rPr>
            <w:rFonts w:ascii="Cambria Math" w:hAnsi="Cambria Math"/>
            <w:sz w:val="22"/>
          </w:rPr>
          <m:rPr>
            <m:sty m:val="p"/>
          </m:rPr>
          <m:t>,</m:t>
        </m:r>
        <m:r>
          <w:rPr>
            <w:rFonts w:ascii="Cambria Math" w:hAnsi="Cambria Math"/>
            <w:sz w:val="22"/>
          </w:rPr>
          <m:rPr>
            <m:sty m:val="p"/>
          </m:rPr>
          <m:t>⋅</m:t>
        </m:r>
        <m:r>
          <w:rPr>
            <w:rFonts w:ascii="Cambria Math" w:hAnsi="Cambria Math"/>
            <w:sz w:val="22"/>
          </w:rPr>
          <m:rPr>
            <m:sty m:val="p"/>
          </m:rPr>
          <m:t>)</m:t>
        </m:r>
      </m:oMath>
      <w:r>
        <w:rPr>
          <w:rFonts w:hint="eastAsia"/>
        </w:rPr>
        <w:t xml:space="preserve">表示非负相似度函数[</w:t>
      </w:r>
      <w:hyperlink w:anchor="b_ref40">
        <w:r>
          <w:rPr>
            <w:rStyle w:val="Hyperlink"/>
          </w:rPr>
          <w:t xml:space="preserve">40</w:t>
        </w:r>
      </w:hyperlink>
      <w:r>
        <w:t xml:space="preserve">]。</w:t>
      </w:r>
    </w:p>
    <w:p>
      <w:pPr>
        <w:pStyle w:val="BodyText"/>
      </w:pPr>
      <w:r>
        <w:rPr>
          <w:rFonts w:hint="eastAsia"/>
        </w:rPr>
        <w:t xml:space="preserve">所有位置的输出共同构成第</w:t>
      </w:r>
      <m:oMath>
        <m:r>
          <w:rPr>
            <w:rFonts w:ascii="Cambria Math" w:hAnsi="Cambria Math"/>
            <w:sz w:val="22"/>
          </w:rPr>
          <m:t>i</m:t>
        </m:r>
      </m:oMath>
      <w:r>
        <w:rPr>
          <w:rFonts w:hint="eastAsia"/>
        </w:rPr>
        <w:t xml:space="preserve">个注意力头的输出矩阵</w:t>
      </w:r>
      <m:oMath>
        <m:sSub>
          <m:e>
            <m:r>
              <w:rPr>
                <w:rFonts w:ascii="Cambria Math" w:hAnsi="Cambria Math"/>
                <w:sz w:val="22"/>
              </w:rPr>
              <m:rPr>
                <m:sty m:val="bi"/>
              </m:rPr>
              <m:t>O</m:t>
            </m:r>
          </m:e>
          <m:sub>
            <m:r>
              <w:rPr>
                <w:rFonts w:ascii="Cambria Math" w:hAnsi="Cambria Math"/>
                <w:sz w:val="22"/>
              </w:rPr>
              <m:t>i</m:t>
            </m:r>
          </m:sub>
        </m:sSub>
        <m:r>
          <w:rPr>
            <w:rFonts w:ascii="Cambria Math" w:hAnsi="Cambria Math"/>
            <w:sz w:val="22"/>
          </w:rPr>
          <m:rPr>
            <m:sty m:val="p"/>
          </m:rPr>
          <m:t>∈</m:t>
        </m:r>
        <m:sSup>
          <m:e>
            <m:r>
              <w:rPr>
                <w:rFonts w:ascii="Cambria Math" w:hAnsi="Cambria Math"/>
                <w:sz w:val="22"/>
              </w:rPr>
              <m:rPr>
                <m:scr m:val="double-struck"/>
                <m:sty m:val="p"/>
              </m:rPr>
              <m:t>R</m:t>
            </m:r>
          </m:e>
          <m:sup>
            <m:r>
              <w:rPr>
                <w:rFonts w:ascii="Cambria Math" w:hAnsi="Cambria Math"/>
                <w:sz w:val="22"/>
              </w:rPr>
              <m:t>N</m:t>
            </m:r>
            <m:r>
              <w:rPr>
                <w:rFonts w:ascii="Cambria Math" w:hAnsi="Cambria Math"/>
                <w:sz w:val="22"/>
              </w:rPr>
              <m:rPr>
                <m:sty m:val="p"/>
              </m:rPr>
              <m:t>×</m:t>
            </m:r>
            <m:sSub>
              <m:e>
                <m:r>
                  <w:rPr>
                    <w:rFonts w:ascii="Cambria Math" w:hAnsi="Cambria Math"/>
                    <w:sz w:val="22"/>
                  </w:rPr>
                  <m:t>d</m:t>
                </m:r>
              </m:e>
              <m:sub>
                <m:r>
                  <w:rPr>
                    <w:rFonts w:ascii="Cambria Math" w:hAnsi="Cambria Math"/>
                    <w:sz w:val="22"/>
                  </w:rPr>
                  <m:t>h</m:t>
                </m:r>
              </m:sub>
            </m:sSub>
          </m:sup>
        </m:sSup>
      </m:oMath>
      <w:r>
        <w:rPr>
          <w:rFonts w:hint="eastAsia"/>
        </w:rPr>
        <w:t xml:space="preserve">，各注意力头的输出随后沿特征维度拼接。不同注意力机制的主要区别在于相似度函数及其计算顺序。</w:t>
      </w:r>
    </w:p>
    <w:bookmarkEnd w:id="28"/>
    <w:bookmarkStart w:id="29" w:name="softmax注意力与线性注意力"/>
    <w:p>
      <w:pPr>
        <w:pStyle w:val="Heading3"/>
      </w:pPr>
      <w:r>
        <w:rPr>
          <w:rStyle w:val="SectionNumber"/>
        </w:rPr>
        <w:t xml:space="preserve">3.3.2</w:t>
      </w:r>
      <w:r>
        <w:tab/>
      </w:r>
      <w:r>
        <w:rPr>
          <w:rFonts w:hint="eastAsia"/>
        </w:rPr>
        <w:t xml:space="preserve">Softmax注意力与线性注意力</w:t>
      </w:r>
    </w:p>
    <w:p>
      <w:pPr>
        <w:pStyle w:val="FirstParagraph"/>
      </w:pPr>
      <w:r>
        <w:rPr>
          <w:rFonts w:hint="eastAsia"/>
        </w:rPr>
        <w:t xml:space="preserve">标准Softmax注意力通过查询与键的点积计算序列位置之间的相关性，并利用Softmax函数对相关性得分进行归一化[</w:t>
      </w:r>
      <w:hyperlink w:anchor="b_ref34">
        <w:r>
          <w:rPr>
            <w:rStyle w:val="Hyperlink"/>
          </w:rPr>
          <w:t xml:space="preserve">34</w:t>
        </w:r>
      </w:hyperlink>
      <w:r>
        <w:rPr>
          <w:rFonts w:hint="eastAsia"/>
        </w:rPr>
        <w:t xml:space="preserve">]。第</w:t>
      </w:r>
      <m:oMath>
        <m:r>
          <w:rPr>
            <w:rFonts w:ascii="Cambria Math" w:hAnsi="Cambria Math"/>
            <w:sz w:val="22"/>
          </w:rPr>
          <m:t>i</m:t>
        </m:r>
      </m:oMath>
      <w:r>
        <w:rPr>
          <w:rFonts w:hint="eastAsia"/>
        </w:rPr>
        <w:t xml:space="preserve">个注意力头的输出可表示为：</w:t>
      </w:r>
    </w:p>
    <w:p>
      <w:pPr>
        <w:pStyle w:val="BodyText"/>
        <w:keepLines/>
        <w:tabs>
          <w:tab w:pos="4791" w:val="center"/>
          <w:tab w:pos="9581" w:val="right"/>
        </w:tabs>
        <w:spacing w:before="100" w:after="100"/>
        <w:ind w:firstLine="0"/>
        <w:jc w:val="left"/>
      </w:pPr>
      <w:bookmarkStart w:id="1050" w:name="equation_26"/>
      <w:bookmarkStart w:id="1049" w:name="b_eq_softmax_attention"/>
      <w:r>
        <w:tab/>
      </w:r>
      <m:oMath>
        <m:sSub>
          <m:e>
            <m:r>
              <w:rPr>
                <w:rFonts w:ascii="Cambria Math" w:hAnsi="Cambria Math"/>
                <w:sz w:val="22"/>
              </w:rPr>
              <m:rPr>
                <m:sty m:val="bi"/>
              </m:rPr>
              <m:t>O</m:t>
            </m:r>
          </m:e>
          <m:sub>
            <m:r>
              <w:rPr>
                <w:rFonts w:ascii="Cambria Math" w:hAnsi="Cambria Math"/>
                <w:sz w:val="22"/>
              </w:rPr>
              <m:t>i</m:t>
            </m:r>
          </m:sub>
        </m:sSub>
        <m:r>
          <w:rPr>
            <w:rFonts w:ascii="Cambria Math" w:hAnsi="Cambria Math"/>
            <w:sz w:val="22"/>
          </w:rPr>
          <m:rPr>
            <m:sty m:val="p"/>
          </m:rPr>
          <m:t>=</m:t>
        </m:r>
        <m:r>
          <w:rPr>
            <w:rFonts w:ascii="Cambria Math" w:hAnsi="Cambria Math"/>
            <w:sz w:val="22"/>
          </w:rPr>
          <m:rPr>
            <m:sty m:val="p"/>
          </m:rPr>
          <m:t>Softmax</m:t>
        </m:r>
        <m:d>
          <m:dPr>
            <m:begChr m:val="("/>
            <m:sepChr m:val=""/>
            <m:endChr m:val=")"/>
            <m:grow/>
          </m:dPr>
          <m:e>
            <m:f>
              <m:fPr>
                <m:type m:val="bar"/>
              </m:fPr>
              <m:num>
                <m:sSub>
                  <m:e>
                    <m:r>
                      <w:rPr>
                        <w:rFonts w:ascii="Cambria Math" w:hAnsi="Cambria Math"/>
                        <w:sz w:val="22"/>
                      </w:rPr>
                      <m:rPr>
                        <m:sty m:val="bi"/>
                      </m:rPr>
                      <m:t>Q</m:t>
                    </m:r>
                  </m:e>
                  <m:sub>
                    <m:r>
                      <w:rPr>
                        <w:rFonts w:ascii="Cambria Math" w:hAnsi="Cambria Math"/>
                        <w:sz w:val="22"/>
                      </w:rPr>
                      <m:t>i</m:t>
                    </m:r>
                  </m:sub>
                </m:sSub>
                <m:sSubSup>
                  <m:e>
                    <m:r>
                      <w:rPr>
                        <w:rFonts w:ascii="Cambria Math" w:hAnsi="Cambria Math"/>
                        <w:sz w:val="22"/>
                      </w:rPr>
                      <m:rPr>
                        <m:sty m:val="bi"/>
                      </m:rPr>
                      <m:t>K</m:t>
                    </m:r>
                  </m:e>
                  <m:sub>
                    <m:r>
                      <w:rPr>
                        <w:rFonts w:ascii="Cambria Math" w:hAnsi="Cambria Math"/>
                        <w:sz w:val="22"/>
                      </w:rPr>
                      <m:t>i</m:t>
                    </m:r>
                  </m:sub>
                  <m:sup>
                    <m:r>
                      <w:rPr>
                        <w:rFonts w:ascii="Cambria Math" w:hAnsi="Cambria Math"/>
                        <w:sz w:val="22"/>
                      </w:rPr>
                      <m:rPr>
                        <m:sty m:val="p"/>
                      </m:rPr>
                      <m:t>T</m:t>
                    </m:r>
                  </m:sup>
                </m:sSubSup>
              </m:num>
              <m:den>
                <m:rad>
                  <m:radPr>
                    <m:degHide m:val="on"/>
                  </m:radPr>
                  <m:deg/>
                  <m:e>
                    <m:sSub>
                      <m:e>
                        <m:r>
                          <w:rPr>
                            <w:rFonts w:ascii="Cambria Math" w:hAnsi="Cambria Math"/>
                            <w:sz w:val="22"/>
                          </w:rPr>
                          <m:t>d</m:t>
                        </m:r>
                      </m:e>
                      <m:sub>
                        <m:r>
                          <w:rPr>
                            <w:rFonts w:ascii="Cambria Math" w:hAnsi="Cambria Math"/>
                            <w:sz w:val="22"/>
                          </w:rPr>
                          <m:t>h</m:t>
                        </m:r>
                      </m:sub>
                    </m:sSub>
                  </m:e>
                </m:rad>
              </m:den>
            </m:f>
          </m:e>
        </m:d>
        <m:sSub>
          <m:e>
            <m:r>
              <w:rPr>
                <w:rFonts w:ascii="Cambria Math" w:hAnsi="Cambria Math"/>
                <w:sz w:val="22"/>
              </w:rPr>
              <m:rPr>
                <m:sty m:val="bi"/>
              </m:rPr>
              <m:t>V</m:t>
            </m:r>
          </m:e>
          <m:sub>
            <m:r>
              <w:rPr>
                <w:rFonts w:ascii="Cambria Math" w:hAnsi="Cambria Math"/>
                <w:sz w:val="22"/>
              </w:rPr>
              <m:t>i</m:t>
            </m:r>
          </m:sub>
        </m:sSub>
        <m:r>
          <w:rPr>
            <w:rFonts w:ascii="Cambria Math" w:hAnsi="Cambria Math"/>
            <w:sz w:val="22"/>
          </w:rPr>
          <m:rPr>
            <m:sty m:val="p"/>
          </m:rPr>
          <m:t>.</m:t>
        </m:r>
      </m:oMath>
      <w:r>
        <w:tab/>
        <w:t>(26)</w:t>
      </w:r>
      <w:bookmarkEnd w:id="1049"/>
      <w:bookmarkEnd w:id="1050"/>
    </w:p>
    <w:p>
      <w:pPr>
        <w:pStyle w:val="BodyText"/>
      </w:pPr>
      <w:r>
        <w:rPr>
          <w:rFonts w:hint="eastAsia"/>
        </w:rPr>
        <w:t xml:space="preserve">Softmax中的指数映射与归一化使相关性较高的查询—键对获得更大的注意力权重[</w:t>
      </w:r>
      <w:hyperlink w:anchor="b_ref34">
        <w:r>
          <w:rPr>
            <w:rStyle w:val="Hyperlink"/>
          </w:rPr>
          <w:t xml:space="preserve">34</w:t>
        </w:r>
      </w:hyperlink>
      <w:r>
        <w:rPr>
          <w:rFonts w:hint="eastAsia"/>
        </w:rPr>
        <w:t xml:space="preserve">]。然而，</w:t>
      </w:r>
      <m:oMath>
        <m:sSub>
          <m:e>
            <m:r>
              <w:rPr>
                <w:rFonts w:ascii="Cambria Math" w:hAnsi="Cambria Math"/>
                <w:sz w:val="22"/>
              </w:rPr>
              <m:rPr>
                <m:sty m:val="bi"/>
              </m:rPr>
              <m:t>Q</m:t>
            </m:r>
          </m:e>
          <m:sub>
            <m:r>
              <w:rPr>
                <w:rFonts w:ascii="Cambria Math" w:hAnsi="Cambria Math"/>
                <w:sz w:val="22"/>
              </w:rPr>
              <m:t>i</m:t>
            </m:r>
          </m:sub>
        </m:sSub>
        <m:sSubSup>
          <m:e>
            <m:r>
              <w:rPr>
                <w:rFonts w:ascii="Cambria Math" w:hAnsi="Cambria Math"/>
                <w:sz w:val="22"/>
              </w:rPr>
              <m:rPr>
                <m:sty m:val="bi"/>
              </m:rPr>
              <m:t>K</m:t>
            </m:r>
          </m:e>
          <m:sub>
            <m:r>
              <w:rPr>
                <w:rFonts w:ascii="Cambria Math" w:hAnsi="Cambria Math"/>
                <w:sz w:val="22"/>
              </w:rPr>
              <m:t>i</m:t>
            </m:r>
          </m:sub>
          <m:sup>
            <m:r>
              <w:rPr>
                <w:rFonts w:ascii="Cambria Math" w:hAnsi="Cambria Math"/>
                <w:sz w:val="22"/>
              </w:rPr>
              <m:rPr>
                <m:sty m:val="p"/>
              </m:rPr>
              <m:t>T</m:t>
            </m:r>
          </m:sup>
        </m:sSubSup>
      </m:oMath>
      <w:r>
        <w:rPr>
          <w:rFonts w:hint="eastAsia"/>
        </w:rPr>
        <w:t xml:space="preserve">需要计算所有查询与键之间的两两关系，并形成尺寸为</w:t>
      </w:r>
      <m:oMath>
        <m:r>
          <w:rPr>
            <w:rFonts w:ascii="Cambria Math" w:hAnsi="Cambria Math"/>
            <w:sz w:val="22"/>
          </w:rPr>
          <m:t>N</m:t>
        </m:r>
        <m:r>
          <w:rPr>
            <w:rFonts w:ascii="Cambria Math" w:hAnsi="Cambria Math"/>
            <w:sz w:val="22"/>
          </w:rPr>
          <m:rPr>
            <m:sty m:val="p"/>
          </m:rPr>
          <m:t>×</m:t>
        </m:r>
        <m:r>
          <w:rPr>
            <w:rFonts w:ascii="Cambria Math" w:hAnsi="Cambria Math"/>
            <w:sz w:val="22"/>
          </w:rPr>
          <m:t>N</m:t>
        </m:r>
      </m:oMath>
      <w:r>
        <w:rPr>
          <w:rFonts w:hint="eastAsia"/>
        </w:rPr>
        <w:t xml:space="preserve">的注意力矩阵。因此，单个注意力头的计算复杂度为</w:t>
      </w:r>
      <m:oMath>
        <m:r>
          <w:rPr>
            <w:rFonts w:ascii="Cambria Math" w:hAnsi="Cambria Math"/>
            <w:sz w:val="22"/>
          </w:rPr>
          <m:t>O</m:t>
        </m:r>
        <m:r>
          <w:rPr>
            <w:rFonts w:ascii="Cambria Math" w:hAnsi="Cambria Math"/>
            <w:sz w:val="22"/>
          </w:rPr>
          <m:rPr>
            <m:sty m:val="p"/>
          </m:rPr>
          <m:t>(</m:t>
        </m:r>
        <m:sSup>
          <m:e>
            <m:r>
              <w:rPr>
                <w:rFonts w:ascii="Cambria Math" w:hAnsi="Cambria Math"/>
                <w:sz w:val="22"/>
              </w:rPr>
              <m:t>N</m:t>
            </m:r>
          </m:e>
          <m:sup>
            <m:r>
              <w:rPr>
                <w:rFonts w:ascii="Cambria Math" w:hAnsi="Cambria Math"/>
                <w:sz w:val="22"/>
              </w:rPr>
              <m:t>2</m:t>
            </m:r>
          </m:sup>
        </m:sSup>
        <m:sSub>
          <m:e>
            <m:r>
              <w:rPr>
                <w:rFonts w:ascii="Cambria Math" w:hAnsi="Cambria Math"/>
                <w:sz w:val="22"/>
              </w:rPr>
              <m:t>d</m:t>
            </m:r>
          </m:e>
          <m:sub>
            <m:r>
              <w:rPr>
                <w:rFonts w:ascii="Cambria Math" w:hAnsi="Cambria Math"/>
                <w:sz w:val="22"/>
              </w:rPr>
              <m:t>h</m:t>
            </m:r>
          </m:sub>
        </m:sSub>
        <m:r>
          <w:rPr>
            <w:rFonts w:ascii="Cambria Math" w:hAnsi="Cambria Math"/>
            <w:sz w:val="22"/>
          </w:rPr>
          <m:rPr>
            <m:sty m:val="p"/>
          </m:rPr>
          <m:t>)</m:t>
        </m:r>
      </m:oMath>
      <w:r>
        <w:rPr>
          <w:rFonts w:hint="eastAsia"/>
        </w:rPr>
        <w:t xml:space="preserve">，相关性矩阵的存储复杂度为</w:t>
      </w:r>
      <m:oMath>
        <m:r>
          <w:rPr>
            <w:rFonts w:ascii="Cambria Math" w:hAnsi="Cambria Math"/>
            <w:sz w:val="22"/>
          </w:rPr>
          <m:t>O</m:t>
        </m:r>
        <m:r>
          <w:rPr>
            <w:rFonts w:ascii="Cambria Math" w:hAnsi="Cambria Math"/>
            <w:sz w:val="22"/>
          </w:rPr>
          <m:rPr>
            <m:sty m:val="p"/>
          </m:rPr>
          <m:t>(</m:t>
        </m:r>
        <m:sSup>
          <m:e>
            <m:r>
              <w:rPr>
                <w:rFonts w:ascii="Cambria Math" w:hAnsi="Cambria Math"/>
                <w:sz w:val="22"/>
              </w:rPr>
              <m:t>N</m:t>
            </m:r>
          </m:e>
          <m:sup>
            <m:r>
              <w:rPr>
                <w:rFonts w:ascii="Cambria Math" w:hAnsi="Cambria Math"/>
                <w:sz w:val="22"/>
              </w:rPr>
              <m:t>2</m:t>
            </m:r>
          </m:sup>
        </m:sSup>
        <m:r>
          <w:rPr>
            <w:rFonts w:ascii="Cambria Math" w:hAnsi="Cambria Math"/>
            <w:sz w:val="22"/>
          </w:rPr>
          <m:rPr>
            <m:sty m:val="p"/>
          </m:rPr>
          <m:t>)</m:t>
        </m:r>
      </m:oMath>
      <w:r>
        <w:rPr>
          <w:rFonts w:hint="eastAsia"/>
        </w:rPr>
        <w:t xml:space="preserve">；随着序列长度增加，其计算与存储开销会显著增大[</w:t>
      </w:r>
      <w:hyperlink w:anchor="b_ref34">
        <w:r>
          <w:rPr>
            <w:rStyle w:val="Hyperlink"/>
          </w:rPr>
          <w:t xml:space="preserve">34</w:t>
        </w:r>
      </w:hyperlink>
      <w:r>
        <w:t xml:space="preserve">,</w:t>
      </w:r>
      <w:hyperlink w:anchor="b_ref39">
        <w:r>
          <w:rPr>
            <w:rStyle w:val="Hyperlink"/>
          </w:rPr>
          <w:t xml:space="preserve">39</w:t>
        </w:r>
      </w:hyperlink>
      <w:r>
        <w:t xml:space="preserve">]。</w:t>
      </w:r>
    </w:p>
    <w:p>
      <w:pPr>
        <w:pStyle w:val="BodyText"/>
      </w:pPr>
      <w:r>
        <w:rPr>
          <w:rFonts w:hint="eastAsia"/>
        </w:rPr>
        <w:t xml:space="preserve">针对Softmax注意力的二次计算开销，线性注意力利用核函数</w:t>
      </w:r>
      <m:oMath>
        <m:r>
          <w:rPr>
            <w:rFonts w:ascii="Cambria Math" w:hAnsi="Cambria Math"/>
            <w:sz w:val="22"/>
          </w:rPr>
          <m:t>ϕ</m:t>
        </m:r>
        <m:r>
          <w:rPr>
            <w:rFonts w:ascii="Cambria Math" w:hAnsi="Cambria Math"/>
            <w:sz w:val="22"/>
          </w:rPr>
          <m:rPr>
            <m:sty m:val="p"/>
          </m:rPr>
          <m:t>(</m:t>
        </m:r>
        <m:r>
          <w:rPr>
            <w:rFonts w:ascii="Cambria Math" w:hAnsi="Cambria Math"/>
            <w:sz w:val="22"/>
          </w:rPr>
          <m:rPr>
            <m:sty m:val="p"/>
          </m:rPr>
          <m:t>⋅</m:t>
        </m:r>
        <m:r>
          <w:rPr>
            <w:rFonts w:ascii="Cambria Math" w:hAnsi="Cambria Math"/>
            <w:sz w:val="22"/>
          </w:rPr>
          <m:rPr>
            <m:sty m:val="p"/>
          </m:rPr>
          <m:t>)</m:t>
        </m:r>
      </m:oMath>
      <w:r>
        <w:rPr>
          <w:rFonts w:hint="eastAsia"/>
        </w:rPr>
        <w:t xml:space="preserve">映射查询和键，并借助矩阵乘法结合律重新组织计算顺序[</w:t>
      </w:r>
      <w:hyperlink w:anchor="b_ref40">
        <w:r>
          <w:rPr>
            <w:rStyle w:val="Hyperlink"/>
          </w:rPr>
          <w:t xml:space="preserve">40</w:t>
        </w:r>
      </w:hyperlink>
      <w:r>
        <w:rPr>
          <w:rFonts w:hint="eastAsia"/>
        </w:rPr>
        <w:t xml:space="preserve">]。第</w:t>
      </w:r>
      <m:oMath>
        <m:r>
          <w:rPr>
            <w:rFonts w:ascii="Cambria Math" w:hAnsi="Cambria Math"/>
            <w:sz w:val="22"/>
          </w:rPr>
          <m:t>i</m:t>
        </m:r>
      </m:oMath>
      <w:r>
        <w:rPr>
          <w:rFonts w:hint="eastAsia"/>
        </w:rPr>
        <w:t xml:space="preserve">个注意力头的输出可写为：</w:t>
      </w:r>
    </w:p>
    <w:p>
      <w:pPr>
        <w:pStyle w:val="BodyText"/>
        <w:keepLines/>
        <w:tabs>
          <w:tab w:pos="4791" w:val="center"/>
          <w:tab w:pos="9581" w:val="right"/>
        </w:tabs>
        <w:spacing w:before="100" w:after="100"/>
        <w:ind w:firstLine="0"/>
        <w:jc w:val="left"/>
      </w:pPr>
      <w:bookmarkStart w:id="1052" w:name="equation_27"/>
      <w:bookmarkStart w:id="1051" w:name="b_eq_linear_attention"/>
      <w:r>
        <w:tab/>
      </w:r>
      <m:oMath>
        <m:sSub>
          <m:e>
            <m:r>
              <w:rPr>
                <w:rFonts w:ascii="Cambria Math" w:hAnsi="Cambria Math"/>
                <w:sz w:val="22"/>
              </w:rPr>
              <m:rPr>
                <m:sty m:val="bi"/>
              </m:rPr>
              <m:t>O</m:t>
            </m:r>
          </m:e>
          <m:sub>
            <m:r>
              <w:rPr>
                <w:rFonts w:ascii="Cambria Math" w:hAnsi="Cambria Math"/>
                <w:sz w:val="22"/>
              </w:rPr>
              <m:t>i</m:t>
            </m:r>
          </m:sub>
        </m:sSub>
        <m:r>
          <w:rPr>
            <w:rFonts w:ascii="Cambria Math" w:hAnsi="Cambria Math"/>
            <w:sz w:val="22"/>
          </w:rPr>
          <m:rPr>
            <m:sty m:val="p"/>
          </m:rPr>
          <m:t>=</m:t>
        </m:r>
        <m:f>
          <m:fPr>
            <m:type m:val="bar"/>
          </m:fPr>
          <m:num>
            <m:r>
              <w:rPr>
                <w:rFonts w:ascii="Cambria Math" w:hAnsi="Cambria Math"/>
                <w:sz w:val="22"/>
              </w:rPr>
              <m:t>ϕ</m:t>
            </m:r>
            <m:r>
              <w:rPr>
                <w:rFonts w:ascii="Cambria Math" w:hAnsi="Cambria Math"/>
                <w:sz w:val="22"/>
              </w:rPr>
              <m:rPr>
                <m:sty m:val="p"/>
              </m:rPr>
              <m:t>(</m:t>
            </m:r>
            <m:sSub>
              <m:e>
                <m:r>
                  <w:rPr>
                    <w:rFonts w:ascii="Cambria Math" w:hAnsi="Cambria Math"/>
                    <w:sz w:val="22"/>
                  </w:rPr>
                  <m:rPr>
                    <m:sty m:val="bi"/>
                  </m:rPr>
                  <m:t>Q</m:t>
                </m:r>
              </m:e>
              <m:sub>
                <m:r>
                  <w:rPr>
                    <w:rFonts w:ascii="Cambria Math" w:hAnsi="Cambria Math"/>
                    <w:sz w:val="22"/>
                  </w:rPr>
                  <m:t>i</m:t>
                </m:r>
              </m:sub>
            </m:sSub>
            <m:r>
              <w:rPr>
                <w:rFonts w:ascii="Cambria Math" w:hAnsi="Cambria Math"/>
                <w:sz w:val="22"/>
              </w:rPr>
              <m:rPr>
                <m:sty m:val="p"/>
              </m:rPr>
              <m:t>)</m:t>
            </m:r>
            <m:d>
              <m:dPr>
                <m:begChr m:val="["/>
                <m:sepChr m:val=""/>
                <m:endChr m:val="]"/>
                <m:grow/>
              </m:dPr>
              <m:e>
                <m:r>
                  <w:rPr>
                    <w:rFonts w:ascii="Cambria Math" w:hAnsi="Cambria Math"/>
                    <w:sz w:val="22"/>
                  </w:rPr>
                  <m:t>ϕ</m:t>
                </m:r>
                <m:r>
                  <w:rPr>
                    <w:rFonts w:ascii="Cambria Math" w:hAnsi="Cambria Math"/>
                    <w:sz w:val="22"/>
                  </w:rPr>
                  <m:rPr>
                    <m:sty m:val="p"/>
                  </m:rPr>
                  <m:t>(</m:t>
                </m:r>
                <m:sSub>
                  <m:e>
                    <m:r>
                      <w:rPr>
                        <w:rFonts w:ascii="Cambria Math" w:hAnsi="Cambria Math"/>
                        <w:sz w:val="22"/>
                      </w:rPr>
                      <m:rPr>
                        <m:sty m:val="bi"/>
                      </m:rPr>
                      <m:t>K</m:t>
                    </m:r>
                  </m:e>
                  <m:sub>
                    <m:r>
                      <w:rPr>
                        <w:rFonts w:ascii="Cambria Math" w:hAnsi="Cambria Math"/>
                        <w:sz w:val="22"/>
                      </w:rPr>
                      <m:t>i</m:t>
                    </m:r>
                  </m:sub>
                </m:sSub>
                <m:sSup>
                  <m:e>
                    <m:r>
                      <w:rPr>
                        <w:rFonts w:ascii="Cambria Math" w:hAnsi="Cambria Math"/>
                        <w:sz w:val="22"/>
                      </w:rPr>
                      <m:rPr>
                        <m:sty m:val="p"/>
                      </m:rPr>
                      <m:t>)</m:t>
                    </m:r>
                  </m:e>
                  <m:sup>
                    <m:r>
                      <w:rPr>
                        <w:rFonts w:ascii="Cambria Math" w:hAnsi="Cambria Math"/>
                        <w:sz w:val="22"/>
                      </w:rPr>
                      <m:rPr>
                        <m:sty m:val="p"/>
                      </m:rPr>
                      <m:t>T</m:t>
                    </m:r>
                  </m:sup>
                </m:sSup>
                <m:sSub>
                  <m:e>
                    <m:r>
                      <w:rPr>
                        <w:rFonts w:ascii="Cambria Math" w:hAnsi="Cambria Math"/>
                        <w:sz w:val="22"/>
                      </w:rPr>
                      <m:rPr>
                        <m:sty m:val="bi"/>
                      </m:rPr>
                      <m:t>V</m:t>
                    </m:r>
                  </m:e>
                  <m:sub>
                    <m:r>
                      <w:rPr>
                        <w:rFonts w:ascii="Cambria Math" w:hAnsi="Cambria Math"/>
                        <w:sz w:val="22"/>
                      </w:rPr>
                      <m:t>i</m:t>
                    </m:r>
                  </m:sub>
                </m:sSub>
              </m:e>
            </m:d>
          </m:num>
          <m:den>
            <m:r>
              <w:rPr>
                <w:rFonts w:ascii="Cambria Math" w:hAnsi="Cambria Math"/>
                <w:sz w:val="22"/>
              </w:rPr>
              <m:t>ϕ</m:t>
            </m:r>
            <m:r>
              <w:rPr>
                <w:rFonts w:ascii="Cambria Math" w:hAnsi="Cambria Math"/>
                <w:sz w:val="22"/>
              </w:rPr>
              <m:rPr>
                <m:sty m:val="p"/>
              </m:rPr>
              <m:t>(</m:t>
            </m:r>
            <m:sSub>
              <m:e>
                <m:r>
                  <w:rPr>
                    <w:rFonts w:ascii="Cambria Math" w:hAnsi="Cambria Math"/>
                    <w:sz w:val="22"/>
                  </w:rPr>
                  <m:rPr>
                    <m:sty m:val="bi"/>
                  </m:rPr>
                  <m:t>Q</m:t>
                </m:r>
              </m:e>
              <m:sub>
                <m:r>
                  <w:rPr>
                    <w:rFonts w:ascii="Cambria Math" w:hAnsi="Cambria Math"/>
                    <w:sz w:val="22"/>
                  </w:rPr>
                  <m:t>i</m:t>
                </m:r>
              </m:sub>
            </m:sSub>
            <m:r>
              <w:rPr>
                <w:rFonts w:ascii="Cambria Math" w:hAnsi="Cambria Math"/>
                <w:sz w:val="22"/>
              </w:rPr>
              <m:rPr>
                <m:sty m:val="p"/>
              </m:rPr>
              <m:t>)</m:t>
            </m:r>
            <m:d>
              <m:dPr>
                <m:begChr m:val="["/>
                <m:sepChr m:val=""/>
                <m:endChr m:val="]"/>
                <m:grow/>
              </m:dPr>
              <m:e>
                <m:r>
                  <w:rPr>
                    <w:rFonts w:ascii="Cambria Math" w:hAnsi="Cambria Math"/>
                    <w:sz w:val="22"/>
                  </w:rPr>
                  <m:t>ϕ</m:t>
                </m:r>
                <m:r>
                  <w:rPr>
                    <w:rFonts w:ascii="Cambria Math" w:hAnsi="Cambria Math"/>
                    <w:sz w:val="22"/>
                  </w:rPr>
                  <m:rPr>
                    <m:sty m:val="p"/>
                  </m:rPr>
                  <m:t>(</m:t>
                </m:r>
                <m:sSub>
                  <m:e>
                    <m:r>
                      <w:rPr>
                        <w:rFonts w:ascii="Cambria Math" w:hAnsi="Cambria Math"/>
                        <w:sz w:val="22"/>
                      </w:rPr>
                      <m:rPr>
                        <m:sty m:val="bi"/>
                      </m:rPr>
                      <m:t>K</m:t>
                    </m:r>
                  </m:e>
                  <m:sub>
                    <m:r>
                      <w:rPr>
                        <w:rFonts w:ascii="Cambria Math" w:hAnsi="Cambria Math"/>
                        <w:sz w:val="22"/>
                      </w:rPr>
                      <m:t>i</m:t>
                    </m:r>
                  </m:sub>
                </m:sSub>
                <m:sSup>
                  <m:e>
                    <m:r>
                      <w:rPr>
                        <w:rFonts w:ascii="Cambria Math" w:hAnsi="Cambria Math"/>
                        <w:sz w:val="22"/>
                      </w:rPr>
                      <m:rPr>
                        <m:sty m:val="p"/>
                      </m:rPr>
                      <m:t>)</m:t>
                    </m:r>
                  </m:e>
                  <m:sup>
                    <m:r>
                      <w:rPr>
                        <w:rFonts w:ascii="Cambria Math" w:hAnsi="Cambria Math"/>
                        <w:sz w:val="22"/>
                      </w:rPr>
                      <m:rPr>
                        <m:sty m:val="p"/>
                      </m:rPr>
                      <m:t>T</m:t>
                    </m:r>
                  </m:sup>
                </m:sSup>
                <m:r>
                  <w:rPr>
                    <w:rFonts w:ascii="Cambria Math" w:hAnsi="Cambria Math"/>
                    <w:sz w:val="22"/>
                  </w:rPr>
                  <m:rPr>
                    <m:sty m:val="b"/>
                  </m:rPr>
                  <m:t>1</m:t>
                </m:r>
              </m:e>
            </m:d>
          </m:den>
        </m:f>
        <m:r>
          <w:rPr>
            <w:rFonts w:ascii="Cambria Math" w:hAnsi="Cambria Math"/>
            <w:sz w:val="22"/>
          </w:rPr>
          <m:rPr>
            <m:sty m:val="p"/>
          </m:rPr>
          <m:t>.</m:t>
        </m:r>
      </m:oMath>
      <w:r>
        <w:tab/>
        <w:t>(27)</w:t>
      </w:r>
      <w:bookmarkEnd w:id="1051"/>
      <w:bookmarkEnd w:id="1052"/>
    </w:p>
    <w:p>
      <w:pPr>
        <w:pStyle w:val="BodyText"/>
      </w:pPr>
      <w:r>
        <w:rPr>
          <w:rFonts w:hint="eastAsia"/>
        </w:rPr>
        <w:t xml:space="preserve">其中，</w:t>
      </w:r>
      <m:oMath>
        <m:r>
          <w:rPr>
            <w:rFonts w:ascii="Cambria Math" w:hAnsi="Cambria Math"/>
            <w:sz w:val="22"/>
          </w:rPr>
          <m:t>ϕ</m:t>
        </m:r>
        <m:r>
          <w:rPr>
            <w:rFonts w:ascii="Cambria Math" w:hAnsi="Cambria Math"/>
            <w:sz w:val="22"/>
          </w:rPr>
          <m:rPr>
            <m:sty m:val="p"/>
          </m:rPr>
          <m:t>(</m:t>
        </m:r>
        <m:r>
          <w:rPr>
            <w:rFonts w:ascii="Cambria Math" w:hAnsi="Cambria Math"/>
            <w:sz w:val="22"/>
          </w:rPr>
          <m:rPr>
            <m:sty m:val="p"/>
          </m:rPr>
          <m:t>⋅</m:t>
        </m:r>
        <m:r>
          <w:rPr>
            <w:rFonts w:ascii="Cambria Math" w:hAnsi="Cambria Math"/>
            <w:sz w:val="22"/>
          </w:rPr>
          <m:rPr>
            <m:sty m:val="p"/>
          </m:rPr>
          <m:t>)</m:t>
        </m:r>
      </m:oMath>
      <w:r>
        <w:rPr>
          <w:rFonts w:hint="eastAsia"/>
        </w:rPr>
        <w:t xml:space="preserve">表示非负特征映射，例如</w:t>
      </w:r>
      <m:oMath>
        <m:r>
          <w:rPr>
            <w:rFonts w:ascii="Cambria Math" w:hAnsi="Cambria Math"/>
            <w:sz w:val="22"/>
          </w:rPr>
          <m:t>ϕ</m:t>
        </m:r>
        <m:r>
          <w:rPr>
            <w:rFonts w:ascii="Cambria Math" w:hAnsi="Cambria Math"/>
            <w:sz w:val="22"/>
          </w:rPr>
          <m:rPr>
            <m:sty m:val="p"/>
          </m:rPr>
          <m:t>(</m:t>
        </m:r>
        <m:r>
          <w:rPr>
            <w:rFonts w:ascii="Cambria Math" w:hAnsi="Cambria Math"/>
            <w:sz w:val="22"/>
          </w:rPr>
          <m:rPr>
            <m:sty m:val="bi"/>
          </m:rPr>
          <m:t>x</m:t>
        </m:r>
        <m:r>
          <w:rPr>
            <w:rFonts w:ascii="Cambria Math" w:hAnsi="Cambria Math"/>
            <w:sz w:val="22"/>
          </w:rPr>
          <m:rPr>
            <m:sty m:val="p"/>
          </m:rPr>
          <m:t>)</m:t>
        </m:r>
        <m:r>
          <w:rPr>
            <w:rFonts w:ascii="Cambria Math" w:hAnsi="Cambria Math"/>
            <w:sz w:val="22"/>
          </w:rPr>
          <m:rPr>
            <m:sty m:val="p"/>
          </m:rPr>
          <m:t>=</m:t>
        </m:r>
        <m:r>
          <w:rPr>
            <w:rFonts w:ascii="Cambria Math" w:hAnsi="Cambria Math"/>
            <w:sz w:val="22"/>
          </w:rPr>
          <m:rPr>
            <m:sty m:val="p"/>
          </m:rPr>
          <m:t>ELU</m:t>
        </m:r>
        <m:r>
          <w:rPr>
            <w:rFonts w:ascii="Cambria Math" w:hAnsi="Cambria Math"/>
            <w:sz w:val="22"/>
          </w:rPr>
          <m:rPr>
            <m:sty m:val="p"/>
          </m:rPr>
          <m:t>(</m:t>
        </m:r>
        <m:r>
          <w:rPr>
            <w:rFonts w:ascii="Cambria Math" w:hAnsi="Cambria Math"/>
            <w:sz w:val="22"/>
          </w:rPr>
          <m:rPr>
            <m:sty m:val="bi"/>
          </m:rPr>
          <m:t>x</m:t>
        </m:r>
        <m:r>
          <w:rPr>
            <w:rFonts w:ascii="Cambria Math" w:hAnsi="Cambria Math"/>
            <w:sz w:val="22"/>
          </w:rPr>
          <m:rPr>
            <m:sty m:val="p"/>
          </m:rPr>
          <m:t>)</m:t>
        </m:r>
        <m:r>
          <w:rPr>
            <w:rFonts w:ascii="Cambria Math" w:hAnsi="Cambria Math"/>
            <w:sz w:val="22"/>
          </w:rPr>
          <m:rPr>
            <m:sty m:val="p"/>
          </m:rPr>
          <m:t>+</m:t>
        </m:r>
        <m:r>
          <w:rPr>
            <w:rFonts w:ascii="Cambria Math" w:hAnsi="Cambria Math"/>
            <w:sz w:val="22"/>
          </w:rPr>
          <m:t>1</m:t>
        </m:r>
      </m:oMath>
      <w:r>
        <w:rPr>
          <w:rFonts w:hint="eastAsia"/>
        </w:rPr>
        <w:t xml:space="preserve">；</w:t>
      </w:r>
      <m:oMath>
        <m:r>
          <w:rPr>
            <w:rFonts w:ascii="Cambria Math" w:hAnsi="Cambria Math"/>
            <w:sz w:val="22"/>
          </w:rPr>
          <m:rPr>
            <m:sty m:val="b"/>
          </m:rPr>
          <m:t>1</m:t>
        </m:r>
      </m:oMath>
      <w:r>
        <w:rPr>
          <w:rFonts w:hint="eastAsia"/>
        </w:rPr>
        <w:t xml:space="preserve">表示全1向量，用于计算对应的归一化项[</w:t>
      </w:r>
      <w:hyperlink w:anchor="b_ref40">
        <w:r>
          <w:rPr>
            <w:rStyle w:val="Hyperlink"/>
          </w:rPr>
          <w:t xml:space="preserve">40</w:t>
        </w:r>
      </w:hyperlink>
      <w:r>
        <w:t xml:space="preserve">]。</w:t>
      </w:r>
    </w:p>
    <w:p>
      <w:pPr>
        <w:pStyle w:val="BodyText"/>
      </w:pPr>
      <w:r>
        <w:rPr>
          <w:rFonts w:hint="eastAsia"/>
        </w:rPr>
        <w:t xml:space="preserve">通过优先计算</w:t>
      </w:r>
      <m:oMath>
        <m:r>
          <w:rPr>
            <w:rFonts w:ascii="Cambria Math" w:hAnsi="Cambria Math"/>
            <w:sz w:val="22"/>
          </w:rPr>
          <m:t>ϕ</m:t>
        </m:r>
        <m:r>
          <w:rPr>
            <w:rFonts w:ascii="Cambria Math" w:hAnsi="Cambria Math"/>
            <w:sz w:val="22"/>
          </w:rPr>
          <m:rPr>
            <m:sty m:val="p"/>
          </m:rPr>
          <m:t>(</m:t>
        </m:r>
        <m:sSub>
          <m:e>
            <m:r>
              <w:rPr>
                <w:rFonts w:ascii="Cambria Math" w:hAnsi="Cambria Math"/>
                <w:sz w:val="22"/>
              </w:rPr>
              <m:rPr>
                <m:sty m:val="bi"/>
              </m:rPr>
              <m:t>K</m:t>
            </m:r>
          </m:e>
          <m:sub>
            <m:r>
              <w:rPr>
                <w:rFonts w:ascii="Cambria Math" w:hAnsi="Cambria Math"/>
                <w:sz w:val="22"/>
              </w:rPr>
              <m:t>i</m:t>
            </m:r>
          </m:sub>
        </m:sSub>
        <m:sSup>
          <m:e>
            <m:r>
              <w:rPr>
                <w:rFonts w:ascii="Cambria Math" w:hAnsi="Cambria Math"/>
                <w:sz w:val="22"/>
              </w:rPr>
              <m:rPr>
                <m:sty m:val="p"/>
              </m:rPr>
              <m:t>)</m:t>
            </m:r>
          </m:e>
          <m:sup>
            <m:r>
              <w:rPr>
                <w:rFonts w:ascii="Cambria Math" w:hAnsi="Cambria Math"/>
                <w:sz w:val="22"/>
              </w:rPr>
              <m:rPr>
                <m:sty m:val="p"/>
              </m:rPr>
              <m:t>T</m:t>
            </m:r>
          </m:sup>
        </m:sSup>
        <m:sSub>
          <m:e>
            <m:r>
              <w:rPr>
                <w:rFonts w:ascii="Cambria Math" w:hAnsi="Cambria Math"/>
                <w:sz w:val="22"/>
              </w:rPr>
              <m:rPr>
                <m:sty m:val="bi"/>
              </m:rPr>
              <m:t>V</m:t>
            </m:r>
          </m:e>
          <m:sub>
            <m:r>
              <w:rPr>
                <w:rFonts w:ascii="Cambria Math" w:hAnsi="Cambria Math"/>
                <w:sz w:val="22"/>
              </w:rPr>
              <m:t>i</m:t>
            </m:r>
          </m:sub>
        </m:sSub>
      </m:oMath>
      <w:r>
        <w:rPr>
          <w:rFonts w:hint="eastAsia"/>
        </w:rPr>
        <w:t xml:space="preserve">，线性注意力避免了完整</w:t>
      </w:r>
      <m:oMath>
        <m:r>
          <w:rPr>
            <w:rFonts w:ascii="Cambria Math" w:hAnsi="Cambria Math"/>
            <w:sz w:val="22"/>
          </w:rPr>
          <m:t>N</m:t>
        </m:r>
        <m:r>
          <w:rPr>
            <w:rFonts w:ascii="Cambria Math" w:hAnsi="Cambria Math"/>
            <w:sz w:val="22"/>
          </w:rPr>
          <m:rPr>
            <m:sty m:val="p"/>
          </m:rPr>
          <m:t>×</m:t>
        </m:r>
        <m:r>
          <w:rPr>
            <w:rFonts w:ascii="Cambria Math" w:hAnsi="Cambria Math"/>
            <w:sz w:val="22"/>
          </w:rPr>
          <m:t>N</m:t>
        </m:r>
      </m:oMath>
      <w:r>
        <w:rPr>
          <w:rFonts w:hint="eastAsia"/>
        </w:rPr>
        <w:t xml:space="preserve">注意力矩阵的构造。当特征映射维度与</w:t>
      </w:r>
      <m:oMath>
        <m:sSub>
          <m:e>
            <m:r>
              <w:rPr>
                <w:rFonts w:ascii="Cambria Math" w:hAnsi="Cambria Math"/>
                <w:sz w:val="22"/>
              </w:rPr>
              <m:t>d</m:t>
            </m:r>
          </m:e>
          <m:sub>
            <m:r>
              <w:rPr>
                <w:rFonts w:ascii="Cambria Math" w:hAnsi="Cambria Math"/>
                <w:sz w:val="22"/>
              </w:rPr>
              <m:t>h</m:t>
            </m:r>
          </m:sub>
        </m:sSub>
      </m:oMath>
      <w:r>
        <w:rPr>
          <w:rFonts w:hint="eastAsia"/>
        </w:rPr>
        <w:t xml:space="preserve">一致时，其计算复杂度为</w:t>
      </w:r>
      <m:oMath>
        <m:r>
          <w:rPr>
            <w:rFonts w:ascii="Cambria Math" w:hAnsi="Cambria Math"/>
            <w:sz w:val="22"/>
          </w:rPr>
          <m:t>O</m:t>
        </m:r>
        <m:r>
          <w:rPr>
            <w:rFonts w:ascii="Cambria Math" w:hAnsi="Cambria Math"/>
            <w:sz w:val="22"/>
          </w:rPr>
          <m:rPr>
            <m:sty m:val="p"/>
          </m:rPr>
          <m:t>(</m:t>
        </m:r>
        <m:r>
          <w:rPr>
            <w:rFonts w:ascii="Cambria Math" w:hAnsi="Cambria Math"/>
            <w:sz w:val="22"/>
          </w:rPr>
          <m:t>N</m:t>
        </m:r>
        <m:sSubSup>
          <m:e>
            <m:r>
              <w:rPr>
                <w:rFonts w:ascii="Cambria Math" w:hAnsi="Cambria Math"/>
                <w:sz w:val="22"/>
              </w:rPr>
              <m:t>d</m:t>
            </m:r>
          </m:e>
          <m:sub>
            <m:r>
              <w:rPr>
                <w:rFonts w:ascii="Cambria Math" w:hAnsi="Cambria Math"/>
                <w:sz w:val="22"/>
              </w:rPr>
              <m:t>h</m:t>
            </m:r>
          </m:sub>
          <m:sup>
            <m:r>
              <w:rPr>
                <w:rFonts w:ascii="Cambria Math" w:hAnsi="Cambria Math"/>
                <w:sz w:val="22"/>
              </w:rPr>
              <m:t>2</m:t>
            </m:r>
          </m:sup>
        </m:sSubSup>
        <m:r>
          <w:rPr>
            <w:rFonts w:ascii="Cambria Math" w:hAnsi="Cambria Math"/>
            <w:sz w:val="22"/>
          </w:rPr>
          <m:rPr>
            <m:sty m:val="p"/>
          </m:rPr>
          <m:t>)</m:t>
        </m:r>
      </m:oMath>
      <w:r>
        <w:rPr>
          <w:rFonts w:hint="eastAsia"/>
        </w:rPr>
        <w:t xml:space="preserve">；当</w:t>
      </w:r>
      <m:oMath>
        <m:sSub>
          <m:e>
            <m:r>
              <w:rPr>
                <w:rFonts w:ascii="Cambria Math" w:hAnsi="Cambria Math"/>
                <w:sz w:val="22"/>
              </w:rPr>
              <m:t>d</m:t>
            </m:r>
          </m:e>
          <m:sub>
            <m:r>
              <w:rPr>
                <w:rFonts w:ascii="Cambria Math" w:hAnsi="Cambria Math"/>
                <w:sz w:val="22"/>
              </w:rPr>
              <m:t>h</m:t>
            </m:r>
          </m:sub>
        </m:sSub>
      </m:oMath>
      <w:r>
        <w:rPr>
          <w:rFonts w:hint="eastAsia"/>
        </w:rPr>
        <w:t xml:space="preserve">固定时，该复杂度关于序列长度</w:t>
      </w:r>
      <m:oMath>
        <m:r>
          <w:rPr>
            <w:rFonts w:ascii="Cambria Math" w:hAnsi="Cambria Math"/>
            <w:sz w:val="22"/>
          </w:rPr>
          <m:t>N</m:t>
        </m:r>
      </m:oMath>
      <w:r>
        <w:rPr>
          <w:rFonts w:hint="eastAsia"/>
        </w:rPr>
        <w:t xml:space="preserve">为线性[</w:t>
      </w:r>
      <w:hyperlink w:anchor="b_ref40">
        <w:r>
          <w:rPr>
            <w:rStyle w:val="Hyperlink"/>
          </w:rPr>
          <w:t xml:space="preserve">40</w:t>
        </w:r>
      </w:hyperlink>
      <w:r>
        <w:t xml:space="preserve">]。</w:t>
      </w:r>
    </w:p>
    <w:p>
      <w:pPr>
        <w:pStyle w:val="BodyText"/>
      </w:pPr>
      <w:r>
        <w:rPr>
          <w:rFonts w:hint="eastAsia"/>
        </w:rPr>
        <w:t xml:space="preserve">线性注意力以较低计算复杂度完成全局信息交互，但其计算过程未显式引入局部邻域特征[</w:t>
      </w:r>
      <w:hyperlink w:anchor="b_ref31">
        <w:r>
          <w:rPr>
            <w:rStyle w:val="Hyperlink"/>
          </w:rPr>
          <w:t xml:space="preserve">31</w:t>
        </w:r>
      </w:hyperlink>
      <w:r>
        <w:t xml:space="preserve">,</w:t>
      </w:r>
      <w:hyperlink w:anchor="b_ref39">
        <w:r>
          <w:rPr>
            <w:rStyle w:val="Hyperlink"/>
          </w:rPr>
          <w:t xml:space="preserve">39</w:t>
        </w:r>
      </w:hyperlink>
      <w:r>
        <w:t xml:space="preserve">,</w:t>
      </w:r>
      <w:hyperlink w:anchor="b_ref40">
        <w:r>
          <w:rPr>
            <w:rStyle w:val="Hyperlink"/>
          </w:rPr>
          <w:t xml:space="preserve">40</w:t>
        </w:r>
      </w:hyperlink>
      <w:r>
        <w:t xml:space="preserve">,</w:t>
      </w:r>
      <w:hyperlink w:anchor="b_ref64">
        <w:r>
          <w:rPr>
            <w:rStyle w:val="Hyperlink"/>
          </w:rPr>
          <w:t xml:space="preserve">64</w:t>
        </w:r>
      </w:hyperlink>
      <w:r>
        <w:rPr>
          <w:rFonts w:hint="eastAsia"/>
        </w:rPr>
        <w:t xml:space="preserve">]。因此，需要进一步协同建模跨位置交互与局部特征。</w:t>
      </w:r>
    </w:p>
    <w:bookmarkEnd w:id="29"/>
    <w:bookmarkStart w:id="30" w:name="所提出的slfa模块"/>
    <w:p>
      <w:pPr>
        <w:pStyle w:val="Heading3"/>
      </w:pPr>
      <w:r>
        <w:rPr>
          <w:rStyle w:val="SectionNumber"/>
        </w:rPr>
        <w:t xml:space="preserve">3.3.3</w:t>
      </w:r>
      <w:r>
        <w:tab/>
      </w:r>
      <w:r>
        <w:rPr>
          <w:rFonts w:hint="eastAsia"/>
        </w:rPr>
        <w:t xml:space="preserve">所提出的SLFA模块</w:t>
      </w:r>
    </w:p>
    <w:p>
      <w:pPr>
        <w:pStyle w:val="FirstParagraph"/>
      </w:pPr>
      <w:r>
        <w:rPr>
          <w:rFonts w:hint="eastAsia"/>
        </w:rPr>
        <w:t xml:space="preserve">为同时捕获局部邻域特征与跨位置交互，本文将DSConv-S与所构建的ReLU²智能体注意力（ReLU²</w:t>
      </w:r>
      <w:r>
        <w:t xml:space="preserve"> Agent </w:t>
      </w:r>
      <w:r>
        <w:rPr>
          <w:rFonts w:hint="eastAsia"/>
        </w:rPr>
        <w:t xml:space="preserve">Attention，RAA）相结合，提出SLFA模块，其结构如</w:t>
      </w:r>
      <w:hyperlink w:anchor="b_fig_3_3">
        <w:r>
          <w:rPr>
            <w:rStyle w:val="Hyperlink"/>
          </w:rPr>
          <w:t xml:space="preserve">Fig. 7</w:t>
        </w:r>
      </w:hyperlink>
      <w:r>
        <w:rPr>
          <w:rFonts w:hint="eastAsia"/>
        </w:rPr>
        <w:t xml:space="preserve">(d)所示。该模块采用局部分支与RAA分支的融合形式：DSConv-S首先提取局部表示，RAA随后以该表示为输入完成跨位置特征交互，两个分支的输出经加法融合。</w:t>
      </w:r>
    </w:p>
    <w:p>
      <w:pPr>
        <w:pStyle w:val="BodyText"/>
      </w:pPr>
      <w:r>
        <w:rPr>
          <w:rFonts w:hint="eastAsia"/>
          <w:b/>
          <w:bCs/>
        </w:rPr>
        <w:t xml:space="preserve">（1）ReLU²智能体注意力。</w:t>
      </w:r>
    </w:p>
    <w:p>
      <w:pPr>
        <w:pStyle w:val="BodyText"/>
      </w:pPr>
      <w:r>
        <w:t xml:space="preserve">Agent </w:t>
      </w:r>
      <w:r>
        <w:rPr>
          <w:rFonts w:hint="eastAsia"/>
        </w:rPr>
        <w:t xml:space="preserve">Attention以少量智能体作为信息中介，将序列位置之间的全局交互分解为上下文聚合与信息广播两个阶段[</w:t>
      </w:r>
      <w:hyperlink w:anchor="b_ref46">
        <w:r>
          <w:rPr>
            <w:rStyle w:val="Hyperlink"/>
          </w:rPr>
          <w:t xml:space="preserve">46</w:t>
        </w:r>
      </w:hyperlink>
      <w:r>
        <w:rPr>
          <w:rFonts w:hint="eastAsia"/>
        </w:rPr>
        <w:t xml:space="preserve">]：智能体首先从键和值中聚合序列上下文，各查询位置随后从智能体上下文中读取信息。</w:t>
      </w:r>
    </w:p>
    <w:p>
      <w:pPr>
        <w:pStyle w:val="BodyText"/>
      </w:pPr>
      <w:r>
        <w:rPr>
          <w:rFonts w:hint="eastAsia"/>
        </w:rPr>
        <w:t xml:space="preserve">为降低查询、键和值生成过程中的参数开销，RAA采用可学习通道缩放调节不同特征通道的相对贡献，并将缩放后的特征划分至各注意力头：</w:t>
      </w:r>
    </w:p>
    <w:p>
      <w:pPr>
        <w:pStyle w:val="BodyText"/>
        <w:keepLines/>
        <w:tabs>
          <w:tab w:pos="4791" w:val="center"/>
          <w:tab w:pos="9581" w:val="right"/>
        </w:tabs>
        <w:spacing w:before="100" w:after="100"/>
        <w:ind w:firstLine="0"/>
        <w:jc w:val="left"/>
      </w:pPr>
      <w:bookmarkStart w:id="1054" w:name="equation_28"/>
      <w:bookmarkStart w:id="1053" w:name="b_eq_raa_qkv_scaling"/>
      <w:r>
        <w:tab/>
      </w:r>
      <m:oMath>
        <m:sSub>
          <m:e>
            <m:r>
              <w:rPr>
                <w:rFonts w:ascii="Cambria Math" w:hAnsi="Cambria Math"/>
                <w:sz w:val="22"/>
              </w:rPr>
              <m:rPr>
                <m:sty m:val="bi"/>
              </m:rPr>
              <m:t>Q</m:t>
            </m:r>
          </m:e>
          <m:sub>
            <m:r>
              <w:rPr>
                <w:rFonts w:ascii="Cambria Math" w:hAnsi="Cambria Math"/>
                <w:sz w:val="22"/>
              </w:rPr>
              <m:t>i</m:t>
            </m:r>
          </m:sub>
        </m:sSub>
        <m:r>
          <w:rPr>
            <w:rFonts w:ascii="Cambria Math" w:hAnsi="Cambria Math"/>
            <w:sz w:val="22"/>
          </w:rPr>
          <m:rPr>
            <m:sty m:val="p"/>
          </m:rPr>
          <m:t>=</m:t>
        </m:r>
        <m:sSub>
          <m:e>
            <m:r>
              <w:rPr>
                <w:rFonts w:ascii="Cambria Math" w:hAnsi="Cambria Math"/>
                <w:sz w:val="22"/>
              </w:rPr>
              <m:rPr>
                <m:sty m:val="p"/>
              </m:rPr>
              <m:t>Split</m:t>
            </m:r>
          </m:e>
          <m:sub>
            <m:r>
              <w:rPr>
                <w:rFonts w:ascii="Cambria Math" w:hAnsi="Cambria Math"/>
                <w:sz w:val="22"/>
              </w:rPr>
              <m:t>i</m:t>
            </m:r>
          </m:sub>
        </m:sSub>
        <m:r>
          <w:rPr>
            <w:rFonts w:ascii="Cambria Math" w:hAnsi="Cambria Math"/>
            <w:sz w:val="22"/>
          </w:rPr>
          <m:rPr>
            <m:sty m:val="p"/>
          </m:rPr>
          <m:t>(</m:t>
        </m:r>
        <m:r>
          <w:rPr>
            <w:rFonts w:ascii="Cambria Math" w:hAnsi="Cambria Math"/>
            <w:sz w:val="22"/>
          </w:rPr>
          <m:rPr>
            <m:sty m:val="bi"/>
          </m:rPr>
          <m:t>X</m:t>
        </m:r>
        <m:r>
          <w:rPr>
            <w:rFonts w:ascii="Cambria Math" w:hAnsi="Cambria Math"/>
            <w:sz w:val="22"/>
          </w:rPr>
          <m:rPr>
            <m:sty m:val="p"/>
          </m:rPr>
          <m:t>⊙</m:t>
        </m:r>
        <m:sSub>
          <m:e>
            <m:r>
              <w:rPr>
                <w:rFonts w:ascii="Cambria Math" w:hAnsi="Cambria Math"/>
                <w:sz w:val="22"/>
              </w:rPr>
              <m:rPr>
                <m:sty m:val="bi"/>
              </m:rPr>
              <m:t>s</m:t>
            </m:r>
          </m:e>
          <m:sub>
            <m:r>
              <w:rPr>
                <w:rFonts w:ascii="Cambria Math" w:hAnsi="Cambria Math"/>
                <w:sz w:val="22"/>
              </w:rPr>
              <m:t>q</m:t>
            </m:r>
          </m:sub>
        </m:sSub>
        <m:r>
          <w:rPr>
            <w:rFonts w:ascii="Cambria Math" w:hAnsi="Cambria Math"/>
            <w:sz w:val="22"/>
          </w:rPr>
          <m:rPr>
            <m:sty m:val="p"/>
          </m:rPr>
          <m:t>)</m:t>
        </m:r>
        <m:r>
          <w:rPr>
            <w:rFonts w:ascii="Cambria Math" w:hAnsi="Cambria Math"/>
            <w:sz w:val="22"/>
          </w:rPr>
          <m:rPr>
            <m:sty m:val="p"/>
          </m:rPr>
          <m:t>,</m:t>
        </m:r>
        <m:r>
          <w:rPr>
            <w:rFonts w:ascii="Cambria Math" w:hAnsi="Cambria Math"/>
            <w:sz w:val="22"/>
          </w:rPr>
          <m:t> </m:t>
        </m:r>
        <m:sSub>
          <m:e>
            <m:r>
              <w:rPr>
                <w:rFonts w:ascii="Cambria Math" w:hAnsi="Cambria Math"/>
                <w:sz w:val="22"/>
              </w:rPr>
              <m:rPr>
                <m:sty m:val="bi"/>
              </m:rPr>
              <m:t>K</m:t>
            </m:r>
          </m:e>
          <m:sub>
            <m:r>
              <w:rPr>
                <w:rFonts w:ascii="Cambria Math" w:hAnsi="Cambria Math"/>
                <w:sz w:val="22"/>
              </w:rPr>
              <m:t>i</m:t>
            </m:r>
          </m:sub>
        </m:sSub>
        <m:r>
          <w:rPr>
            <w:rFonts w:ascii="Cambria Math" w:hAnsi="Cambria Math"/>
            <w:sz w:val="22"/>
          </w:rPr>
          <m:rPr>
            <m:sty m:val="p"/>
          </m:rPr>
          <m:t>=</m:t>
        </m:r>
        <m:sSub>
          <m:e>
            <m:r>
              <w:rPr>
                <w:rFonts w:ascii="Cambria Math" w:hAnsi="Cambria Math"/>
                <w:sz w:val="22"/>
              </w:rPr>
              <m:rPr>
                <m:sty m:val="p"/>
              </m:rPr>
              <m:t>Split</m:t>
            </m:r>
          </m:e>
          <m:sub>
            <m:r>
              <w:rPr>
                <w:rFonts w:ascii="Cambria Math" w:hAnsi="Cambria Math"/>
                <w:sz w:val="22"/>
              </w:rPr>
              <m:t>i</m:t>
            </m:r>
          </m:sub>
        </m:sSub>
        <m:r>
          <w:rPr>
            <w:rFonts w:ascii="Cambria Math" w:hAnsi="Cambria Math"/>
            <w:sz w:val="22"/>
          </w:rPr>
          <m:rPr>
            <m:sty m:val="p"/>
          </m:rPr>
          <m:t>(</m:t>
        </m:r>
        <m:r>
          <w:rPr>
            <w:rFonts w:ascii="Cambria Math" w:hAnsi="Cambria Math"/>
            <w:sz w:val="22"/>
          </w:rPr>
          <m:rPr>
            <m:sty m:val="bi"/>
          </m:rPr>
          <m:t>X</m:t>
        </m:r>
        <m:r>
          <w:rPr>
            <w:rFonts w:ascii="Cambria Math" w:hAnsi="Cambria Math"/>
            <w:sz w:val="22"/>
          </w:rPr>
          <m:rPr>
            <m:sty m:val="p"/>
          </m:rPr>
          <m:t>⊙</m:t>
        </m:r>
        <m:sSub>
          <m:e>
            <m:r>
              <w:rPr>
                <w:rFonts w:ascii="Cambria Math" w:hAnsi="Cambria Math"/>
                <w:sz w:val="22"/>
              </w:rPr>
              <m:rPr>
                <m:sty m:val="bi"/>
              </m:rPr>
              <m:t>s</m:t>
            </m:r>
          </m:e>
          <m:sub>
            <m:r>
              <w:rPr>
                <w:rFonts w:ascii="Cambria Math" w:hAnsi="Cambria Math"/>
                <w:sz w:val="22"/>
              </w:rPr>
              <m:t>k</m:t>
            </m:r>
          </m:sub>
        </m:sSub>
        <m:r>
          <w:rPr>
            <w:rFonts w:ascii="Cambria Math" w:hAnsi="Cambria Math"/>
            <w:sz w:val="22"/>
          </w:rPr>
          <m:rPr>
            <m:sty m:val="p"/>
          </m:rPr>
          <m:t>)</m:t>
        </m:r>
        <m:r>
          <w:rPr>
            <w:rFonts w:ascii="Cambria Math" w:hAnsi="Cambria Math"/>
            <w:sz w:val="22"/>
          </w:rPr>
          <m:rPr>
            <m:sty m:val="p"/>
          </m:rPr>
          <m:t>,</m:t>
        </m:r>
        <m:r>
          <w:rPr>
            <w:rFonts w:ascii="Cambria Math" w:hAnsi="Cambria Math"/>
            <w:sz w:val="22"/>
          </w:rPr>
          <m:t> </m:t>
        </m:r>
        <m:sSub>
          <m:e>
            <m:r>
              <w:rPr>
                <w:rFonts w:ascii="Cambria Math" w:hAnsi="Cambria Math"/>
                <w:sz w:val="22"/>
              </w:rPr>
              <m:rPr>
                <m:sty m:val="bi"/>
              </m:rPr>
              <m:t>V</m:t>
            </m:r>
          </m:e>
          <m:sub>
            <m:r>
              <w:rPr>
                <w:rFonts w:ascii="Cambria Math" w:hAnsi="Cambria Math"/>
                <w:sz w:val="22"/>
              </w:rPr>
              <m:t>i</m:t>
            </m:r>
          </m:sub>
        </m:sSub>
        <m:r>
          <w:rPr>
            <w:rFonts w:ascii="Cambria Math" w:hAnsi="Cambria Math"/>
            <w:sz w:val="22"/>
          </w:rPr>
          <m:rPr>
            <m:sty m:val="p"/>
          </m:rPr>
          <m:t>=</m:t>
        </m:r>
        <m:sSub>
          <m:e>
            <m:r>
              <w:rPr>
                <w:rFonts w:ascii="Cambria Math" w:hAnsi="Cambria Math"/>
                <w:sz w:val="22"/>
              </w:rPr>
              <m:rPr>
                <m:sty m:val="p"/>
              </m:rPr>
              <m:t>Split</m:t>
            </m:r>
          </m:e>
          <m:sub>
            <m:r>
              <w:rPr>
                <w:rFonts w:ascii="Cambria Math" w:hAnsi="Cambria Math"/>
                <w:sz w:val="22"/>
              </w:rPr>
              <m:t>i</m:t>
            </m:r>
          </m:sub>
        </m:sSub>
        <m:r>
          <w:rPr>
            <w:rFonts w:ascii="Cambria Math" w:hAnsi="Cambria Math"/>
            <w:sz w:val="22"/>
          </w:rPr>
          <m:rPr>
            <m:sty m:val="p"/>
          </m:rPr>
          <m:t>(</m:t>
        </m:r>
        <m:r>
          <w:rPr>
            <w:rFonts w:ascii="Cambria Math" w:hAnsi="Cambria Math"/>
            <w:sz w:val="22"/>
          </w:rPr>
          <m:rPr>
            <m:sty m:val="bi"/>
          </m:rPr>
          <m:t>X</m:t>
        </m:r>
        <m:r>
          <w:rPr>
            <w:rFonts w:ascii="Cambria Math" w:hAnsi="Cambria Math"/>
            <w:sz w:val="22"/>
          </w:rPr>
          <m:rPr>
            <m:sty m:val="p"/>
          </m:rPr>
          <m:t>⊙</m:t>
        </m:r>
        <m:sSub>
          <m:e>
            <m:r>
              <w:rPr>
                <w:rFonts w:ascii="Cambria Math" w:hAnsi="Cambria Math"/>
                <w:sz w:val="22"/>
              </w:rPr>
              <m:rPr>
                <m:sty m:val="bi"/>
              </m:rPr>
              <m:t>s</m:t>
            </m:r>
          </m:e>
          <m:sub>
            <m:r>
              <w:rPr>
                <w:rFonts w:ascii="Cambria Math" w:hAnsi="Cambria Math"/>
                <w:sz w:val="22"/>
              </w:rPr>
              <m:t>v</m:t>
            </m:r>
          </m:sub>
        </m:sSub>
        <m:r>
          <w:rPr>
            <w:rFonts w:ascii="Cambria Math" w:hAnsi="Cambria Math"/>
            <w:sz w:val="22"/>
          </w:rPr>
          <m:rPr>
            <m:sty m:val="p"/>
          </m:rPr>
          <m:t>)</m:t>
        </m:r>
        <m:r>
          <w:rPr>
            <w:rFonts w:ascii="Cambria Math" w:hAnsi="Cambria Math"/>
            <w:sz w:val="22"/>
          </w:rPr>
          <m:rPr>
            <m:sty m:val="p"/>
          </m:rPr>
          <m:t>.</m:t>
        </m:r>
      </m:oMath>
      <w:r>
        <w:tab/>
        <w:t>(28)</w:t>
      </w:r>
      <w:bookmarkEnd w:id="1053"/>
      <w:bookmarkEnd w:id="1054"/>
    </w:p>
    <w:p>
      <w:pPr>
        <w:pStyle w:val="BodyText"/>
      </w:pPr>
      <w:r>
        <w:rPr>
          <w:rFonts w:hint="eastAsia"/>
        </w:rPr>
        <w:t xml:space="preserve">其中，</w:t>
      </w:r>
      <m:oMath>
        <m:sSub>
          <m:e>
            <m:r>
              <w:rPr>
                <w:rFonts w:ascii="Cambria Math" w:hAnsi="Cambria Math"/>
                <w:sz w:val="22"/>
              </w:rPr>
              <m:rPr>
                <m:sty m:val="bi"/>
              </m:rPr>
              <m:t>s</m:t>
            </m:r>
          </m:e>
          <m:sub>
            <m:r>
              <w:rPr>
                <w:rFonts w:ascii="Cambria Math" w:hAnsi="Cambria Math"/>
                <w:sz w:val="22"/>
              </w:rPr>
              <m:t>q</m:t>
            </m:r>
          </m:sub>
        </m:sSub>
        <m:r>
          <w:rPr>
            <w:rFonts w:ascii="Cambria Math" w:hAnsi="Cambria Math"/>
            <w:sz w:val="22"/>
          </w:rPr>
          <m:rPr>
            <m:sty m:val="p"/>
          </m:rPr>
          <m:t>,</m:t>
        </m:r>
        <m:sSub>
          <m:e>
            <m:r>
              <w:rPr>
                <w:rFonts w:ascii="Cambria Math" w:hAnsi="Cambria Math"/>
                <w:sz w:val="22"/>
              </w:rPr>
              <m:rPr>
                <m:sty m:val="bi"/>
              </m:rPr>
              <m:t>s</m:t>
            </m:r>
          </m:e>
          <m:sub>
            <m:r>
              <w:rPr>
                <w:rFonts w:ascii="Cambria Math" w:hAnsi="Cambria Math"/>
                <w:sz w:val="22"/>
              </w:rPr>
              <m:t>k</m:t>
            </m:r>
          </m:sub>
        </m:sSub>
        <m:r>
          <w:rPr>
            <w:rFonts w:ascii="Cambria Math" w:hAnsi="Cambria Math"/>
            <w:sz w:val="22"/>
          </w:rPr>
          <m:rPr>
            <m:sty m:val="p"/>
          </m:rPr>
          <m:t>,</m:t>
        </m:r>
        <m:sSub>
          <m:e>
            <m:r>
              <w:rPr>
                <w:rFonts w:ascii="Cambria Math" w:hAnsi="Cambria Math"/>
                <w:sz w:val="22"/>
              </w:rPr>
              <m:rPr>
                <m:sty m:val="bi"/>
              </m:rPr>
              <m:t>s</m:t>
            </m:r>
          </m:e>
          <m:sub>
            <m:r>
              <w:rPr>
                <w:rFonts w:ascii="Cambria Math" w:hAnsi="Cambria Math"/>
                <w:sz w:val="22"/>
              </w:rPr>
              <m:t>v</m:t>
            </m:r>
          </m:sub>
        </m:sSub>
        <m:r>
          <w:rPr>
            <w:rFonts w:ascii="Cambria Math" w:hAnsi="Cambria Math"/>
            <w:sz w:val="22"/>
          </w:rPr>
          <m:rPr>
            <m:sty m:val="p"/>
          </m:rPr>
          <m:t>∈</m:t>
        </m:r>
        <m:sSup>
          <m:e>
            <m:r>
              <w:rPr>
                <w:rFonts w:ascii="Cambria Math" w:hAnsi="Cambria Math"/>
                <w:sz w:val="22"/>
              </w:rPr>
              <m:rPr>
                <m:scr m:val="double-struck"/>
                <m:sty m:val="p"/>
              </m:rPr>
              <m:t>R</m:t>
            </m:r>
          </m:e>
          <m:sup>
            <m:r>
              <w:rPr>
                <w:rFonts w:ascii="Cambria Math" w:hAnsi="Cambria Math"/>
                <w:sz w:val="22"/>
              </w:rPr>
              <m:t>d</m:t>
            </m:r>
          </m:sup>
        </m:sSup>
      </m:oMath>
      <w:r>
        <w:rPr>
          <w:rFonts w:hint="eastAsia"/>
        </w:rPr>
        <w:t xml:space="preserve">为可学习通道缩放向量，</w:t>
      </w:r>
      <m:oMath>
        <m:r>
          <w:rPr>
            <w:rFonts w:ascii="Cambria Math" w:hAnsi="Cambria Math"/>
            <w:sz w:val="22"/>
          </w:rPr>
          <m:rPr>
            <m:sty m:val="p"/>
          </m:rPr>
          <m:t>⊙</m:t>
        </m:r>
      </m:oMath>
      <w:r>
        <w:rPr>
          <w:rFonts w:hint="eastAsia"/>
        </w:rPr>
        <w:t xml:space="preserve">表示逐元素相乘，</w:t>
      </w:r>
      <m:oMath>
        <m:sSub>
          <m:e>
            <m:r>
              <w:rPr>
                <w:rFonts w:ascii="Cambria Math" w:hAnsi="Cambria Math"/>
                <w:sz w:val="22"/>
              </w:rPr>
              <m:rPr>
                <m:sty m:val="p"/>
              </m:rPr>
              <m:t>Split</m:t>
            </m:r>
          </m:e>
          <m:sub>
            <m:r>
              <w:rPr>
                <w:rFonts w:ascii="Cambria Math" w:hAnsi="Cambria Math"/>
                <w:sz w:val="22"/>
              </w:rPr>
              <m:t>i</m:t>
            </m:r>
          </m:sub>
        </m:sSub>
        <m:r>
          <w:rPr>
            <w:rFonts w:ascii="Cambria Math" w:hAnsi="Cambria Math"/>
            <w:sz w:val="22"/>
          </w:rPr>
          <m:rPr>
            <m:sty m:val="p"/>
          </m:rPr>
          <m:t>(</m:t>
        </m:r>
        <m:r>
          <w:rPr>
            <w:rFonts w:ascii="Cambria Math" w:hAnsi="Cambria Math"/>
            <w:sz w:val="22"/>
          </w:rPr>
          <m:rPr>
            <m:sty m:val="p"/>
          </m:rPr>
          <m:t>⋅</m:t>
        </m:r>
        <m:r>
          <w:rPr>
            <w:rFonts w:ascii="Cambria Math" w:hAnsi="Cambria Math"/>
            <w:sz w:val="22"/>
          </w:rPr>
          <m:rPr>
            <m:sty m:val="p"/>
          </m:rPr>
          <m:t>)</m:t>
        </m:r>
      </m:oMath>
      <w:r>
        <w:rPr>
          <w:rFonts w:hint="eastAsia"/>
        </w:rPr>
        <w:t xml:space="preserve">表示沿特征维度划分为</w:t>
      </w:r>
      <m:oMath>
        <m:r>
          <w:rPr>
            <w:rFonts w:ascii="Cambria Math" w:hAnsi="Cambria Math"/>
            <w:sz w:val="22"/>
          </w:rPr>
          <m:t>h</m:t>
        </m:r>
      </m:oMath>
      <w:r>
        <w:rPr>
          <w:rFonts w:hint="eastAsia"/>
        </w:rPr>
        <w:t xml:space="preserve">个</w:t>
      </w:r>
      <m:oMath>
        <m:sSub>
          <m:e>
            <m:r>
              <w:rPr>
                <w:rFonts w:ascii="Cambria Math" w:hAnsi="Cambria Math"/>
                <w:sz w:val="22"/>
              </w:rPr>
              <m:t>d</m:t>
            </m:r>
          </m:e>
          <m:sub>
            <m:r>
              <w:rPr>
                <w:rFonts w:ascii="Cambria Math" w:hAnsi="Cambria Math"/>
                <w:sz w:val="22"/>
              </w:rPr>
              <m:t>h</m:t>
            </m:r>
          </m:sub>
        </m:sSub>
      </m:oMath>
      <w:r>
        <w:rPr>
          <w:rFonts w:hint="eastAsia"/>
        </w:rPr>
        <w:t xml:space="preserve">维子空间并取第</w:t>
      </w:r>
      <m:oMath>
        <m:r>
          <w:rPr>
            <w:rFonts w:ascii="Cambria Math" w:hAnsi="Cambria Math"/>
            <w:sz w:val="22"/>
          </w:rPr>
          <m:t>i</m:t>
        </m:r>
      </m:oMath>
      <w:r>
        <w:rPr>
          <w:rFonts w:hint="eastAsia"/>
        </w:rPr>
        <w:t xml:space="preserve">个子空间。</w:t>
      </w:r>
    </w:p>
    <w:p>
      <w:pPr>
        <w:pStyle w:val="BodyText"/>
      </w:pPr>
      <w:r>
        <w:rPr>
          <w:rFonts w:hint="eastAsia"/>
        </w:rPr>
        <w:t xml:space="preserve">相较于标准查询、键和值线性投影约</w:t>
      </w:r>
      <m:oMath>
        <m:r>
          <w:rPr>
            <w:rFonts w:ascii="Cambria Math" w:hAnsi="Cambria Math"/>
            <w:sz w:val="22"/>
          </w:rPr>
          <m:t>3</m:t>
        </m:r>
        <m:sSup>
          <m:e>
            <m:r>
              <w:rPr>
                <w:rFonts w:ascii="Cambria Math" w:hAnsi="Cambria Math"/>
                <w:sz w:val="22"/>
              </w:rPr>
              <m:t>d</m:t>
            </m:r>
          </m:e>
          <m:sup>
            <m:r>
              <w:rPr>
                <w:rFonts w:ascii="Cambria Math" w:hAnsi="Cambria Math"/>
                <w:sz w:val="22"/>
              </w:rPr>
              <m:t>2</m:t>
            </m:r>
          </m:sup>
        </m:sSup>
      </m:oMath>
      <w:r>
        <w:rPr>
          <w:rFonts w:hint="eastAsia"/>
        </w:rPr>
        <w:t xml:space="preserve">的参数量，三组通道缩放向量仅包含</w:t>
      </w:r>
      <m:oMath>
        <m:r>
          <w:rPr>
            <w:rFonts w:ascii="Cambria Math" w:hAnsi="Cambria Math"/>
            <w:sz w:val="22"/>
          </w:rPr>
          <m:t>3</m:t>
        </m:r>
        <m:r>
          <w:rPr>
            <w:rFonts w:ascii="Cambria Math" w:hAnsi="Cambria Math"/>
            <w:sz w:val="22"/>
          </w:rPr>
          <m:t>d</m:t>
        </m:r>
      </m:oMath>
      <w:r>
        <w:rPr>
          <w:rFonts w:hint="eastAsia"/>
        </w:rPr>
        <w:t xml:space="preserve">个参数，从而降低了查询、键和值生成过程中的参数开销。</w:t>
      </w:r>
    </w:p>
    <w:p>
      <w:pPr>
        <w:pStyle w:val="BodyText"/>
      </w:pPr>
      <w:r>
        <w:rPr>
          <w:rFonts w:hint="eastAsia"/>
        </w:rPr>
        <w:t xml:space="preserve">RAA设置</w:t>
      </w:r>
      <m:oMath>
        <m:sSub>
          <m:e>
            <m:r>
              <w:rPr>
                <w:rFonts w:ascii="Cambria Math" w:hAnsi="Cambria Math"/>
                <w:sz w:val="22"/>
              </w:rPr>
              <m:t>n</m:t>
            </m:r>
          </m:e>
          <m:sub>
            <m:r>
              <w:rPr>
                <w:rFonts w:ascii="Cambria Math" w:hAnsi="Cambria Math"/>
                <w:sz w:val="22"/>
              </w:rPr>
              <m:t>a</m:t>
            </m:r>
          </m:sub>
        </m:sSub>
        <m:r>
          <w:rPr>
            <w:rFonts w:ascii="Cambria Math" w:hAnsi="Cambria Math"/>
            <w:sz w:val="22"/>
          </w:rPr>
          <m:rPr>
            <m:sty m:val="p"/>
          </m:rPr>
          <m:t>=</m:t>
        </m:r>
        <m:r>
          <w:rPr>
            <w:rFonts w:ascii="Cambria Math" w:hAnsi="Cambria Math"/>
            <w:sz w:val="22"/>
          </w:rPr>
          <m:t>2</m:t>
        </m:r>
      </m:oMath>
      <w:r>
        <w:rPr>
          <w:rFonts w:hint="eastAsia"/>
        </w:rPr>
        <w:t xml:space="preserve">个可学习智能体，以矩阵</w:t>
      </w:r>
      <m:oMath>
        <m:r>
          <w:rPr>
            <w:rFonts w:ascii="Cambria Math" w:hAnsi="Cambria Math"/>
            <w:sz w:val="22"/>
          </w:rPr>
          <m:rPr>
            <m:sty m:val="bi"/>
          </m:rPr>
          <m:t>A</m:t>
        </m:r>
        <m:r>
          <w:rPr>
            <w:rFonts w:ascii="Cambria Math" w:hAnsi="Cambria Math"/>
            <w:sz w:val="22"/>
          </w:rPr>
          <m:rPr>
            <m:sty m:val="p"/>
          </m:rPr>
          <m:t>∈</m:t>
        </m:r>
        <m:sSup>
          <m:e>
            <m:r>
              <w:rPr>
                <w:rFonts w:ascii="Cambria Math" w:hAnsi="Cambria Math"/>
                <w:sz w:val="22"/>
              </w:rPr>
              <m:rPr>
                <m:scr m:val="double-struck"/>
                <m:sty m:val="p"/>
              </m:rPr>
              <m:t>R</m:t>
            </m:r>
          </m:e>
          <m:sup>
            <m:sSub>
              <m:e>
                <m:r>
                  <w:rPr>
                    <w:rFonts w:ascii="Cambria Math" w:hAnsi="Cambria Math"/>
                    <w:sz w:val="22"/>
                  </w:rPr>
                  <m:t>n</m:t>
                </m:r>
              </m:e>
              <m:sub>
                <m:r>
                  <w:rPr>
                    <w:rFonts w:ascii="Cambria Math" w:hAnsi="Cambria Math"/>
                    <w:sz w:val="22"/>
                  </w:rPr>
                  <m:t>a</m:t>
                </m:r>
              </m:sub>
            </m:sSub>
            <m:r>
              <w:rPr>
                <w:rFonts w:ascii="Cambria Math" w:hAnsi="Cambria Math"/>
                <w:sz w:val="22"/>
              </w:rPr>
              <m:rPr>
                <m:sty m:val="p"/>
              </m:rPr>
              <m:t>×</m:t>
            </m:r>
            <m:r>
              <w:rPr>
                <w:rFonts w:ascii="Cambria Math" w:hAnsi="Cambria Math"/>
                <w:sz w:val="22"/>
              </w:rPr>
              <m:t>d</m:t>
            </m:r>
          </m:sup>
        </m:sSup>
      </m:oMath>
      <w:r>
        <w:rPr>
          <w:rFonts w:hint="eastAsia"/>
        </w:rPr>
        <w:t xml:space="preserve">表示，其参数通过训练学习，并在不同输入样本间共享。</w:t>
      </w:r>
    </w:p>
    <w:p>
      <w:pPr>
        <w:pStyle w:val="BodyText"/>
      </w:pPr>
      <w:r>
        <w:rPr>
          <w:rFonts w:hint="eastAsia"/>
        </w:rPr>
        <w:t xml:space="preserve">沿特征维度将全局智能体矩阵</w:t>
      </w:r>
      <m:oMath>
        <m:r>
          <w:rPr>
            <w:rFonts w:ascii="Cambria Math" w:hAnsi="Cambria Math"/>
            <w:sz w:val="22"/>
          </w:rPr>
          <m:rPr>
            <m:sty m:val="bi"/>
          </m:rPr>
          <m:t>A</m:t>
        </m:r>
      </m:oMath>
      <w:r>
        <w:rPr>
          <w:rFonts w:hint="eastAsia"/>
        </w:rPr>
        <w:t xml:space="preserve">划分为</w:t>
      </w:r>
      <m:oMath>
        <m:r>
          <w:rPr>
            <w:rFonts w:ascii="Cambria Math" w:hAnsi="Cambria Math"/>
            <w:sz w:val="22"/>
          </w:rPr>
          <m:t>h</m:t>
        </m:r>
      </m:oMath>
      <w:r>
        <w:rPr>
          <w:rFonts w:hint="eastAsia"/>
        </w:rPr>
        <w:t xml:space="preserve">个子空间，第</w:t>
      </w:r>
      <m:oMath>
        <m:r>
          <w:rPr>
            <w:rFonts w:ascii="Cambria Math" w:hAnsi="Cambria Math"/>
            <w:sz w:val="22"/>
          </w:rPr>
          <m:t>i</m:t>
        </m:r>
      </m:oMath>
      <w:r>
        <w:rPr>
          <w:rFonts w:hint="eastAsia"/>
        </w:rPr>
        <w:t xml:space="preserve">个注意力头对应的智能体表示为</w:t>
      </w:r>
      <m:oMath>
        <m:sSub>
          <m:e>
            <m:r>
              <w:rPr>
                <w:rFonts w:ascii="Cambria Math" w:hAnsi="Cambria Math"/>
                <w:sz w:val="22"/>
              </w:rPr>
              <m:rPr>
                <m:sty m:val="bi"/>
              </m:rPr>
              <m:t>A</m:t>
            </m:r>
          </m:e>
          <m:sub>
            <m:r>
              <w:rPr>
                <w:rFonts w:ascii="Cambria Math" w:hAnsi="Cambria Math"/>
                <w:sz w:val="22"/>
              </w:rPr>
              <m:t>i</m:t>
            </m:r>
          </m:sub>
        </m:sSub>
        <m:r>
          <w:rPr>
            <w:rFonts w:ascii="Cambria Math" w:hAnsi="Cambria Math"/>
            <w:sz w:val="22"/>
          </w:rPr>
          <m:rPr>
            <m:sty m:val="p"/>
          </m:rPr>
          <m:t>=</m:t>
        </m:r>
        <m:sSub>
          <m:e>
            <m:r>
              <w:rPr>
                <w:rFonts w:ascii="Cambria Math" w:hAnsi="Cambria Math"/>
                <w:sz w:val="22"/>
              </w:rPr>
              <m:rPr>
                <m:sty m:val="p"/>
              </m:rPr>
              <m:t>Split</m:t>
            </m:r>
          </m:e>
          <m:sub>
            <m:r>
              <w:rPr>
                <w:rFonts w:ascii="Cambria Math" w:hAnsi="Cambria Math"/>
                <w:sz w:val="22"/>
              </w:rPr>
              <m:t>i</m:t>
            </m:r>
          </m:sub>
        </m:sSub>
        <m:r>
          <w:rPr>
            <w:rFonts w:ascii="Cambria Math" w:hAnsi="Cambria Math"/>
            <w:sz w:val="22"/>
          </w:rPr>
          <m:rPr>
            <m:sty m:val="p"/>
          </m:rPr>
          <m:t>(</m:t>
        </m:r>
        <m:r>
          <w:rPr>
            <w:rFonts w:ascii="Cambria Math" w:hAnsi="Cambria Math"/>
            <w:sz w:val="22"/>
          </w:rPr>
          <m:rPr>
            <m:sty m:val="bi"/>
          </m:rPr>
          <m:t>A</m:t>
        </m:r>
        <m:r>
          <w:rPr>
            <w:rFonts w:ascii="Cambria Math" w:hAnsi="Cambria Math"/>
            <w:sz w:val="22"/>
          </w:rPr>
          <m:rPr>
            <m:sty m:val="p"/>
          </m:rPr>
          <m:t>)</m:t>
        </m:r>
        <m:r>
          <w:rPr>
            <w:rFonts w:ascii="Cambria Math" w:hAnsi="Cambria Math"/>
            <w:sz w:val="22"/>
          </w:rPr>
          <m:rPr>
            <m:sty m:val="p"/>
          </m:rPr>
          <m:t>∈</m:t>
        </m:r>
        <m:sSup>
          <m:e>
            <m:r>
              <w:rPr>
                <w:rFonts w:ascii="Cambria Math" w:hAnsi="Cambria Math"/>
                <w:sz w:val="22"/>
              </w:rPr>
              <m:rPr>
                <m:scr m:val="double-struck"/>
                <m:sty m:val="p"/>
              </m:rPr>
              <m:t>R</m:t>
            </m:r>
          </m:e>
          <m:sup>
            <m:sSub>
              <m:e>
                <m:r>
                  <w:rPr>
                    <w:rFonts w:ascii="Cambria Math" w:hAnsi="Cambria Math"/>
                    <w:sz w:val="22"/>
                  </w:rPr>
                  <m:t>n</m:t>
                </m:r>
              </m:e>
              <m:sub>
                <m:r>
                  <w:rPr>
                    <w:rFonts w:ascii="Cambria Math" w:hAnsi="Cambria Math"/>
                    <w:sz w:val="22"/>
                  </w:rPr>
                  <m:t>a</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h</m:t>
                </m:r>
              </m:sub>
            </m:sSub>
          </m:sup>
        </m:sSup>
      </m:oMath>
      <w:r>
        <w:t xml:space="preserve">。</w:t>
      </w:r>
    </w:p>
    <w:p>
      <w:pPr>
        <w:pStyle w:val="BodyText"/>
      </w:pPr>
      <w:r>
        <w:rPr>
          <w:rFonts w:hint="eastAsia"/>
        </w:rPr>
        <w:t xml:space="preserve">在信息广播阶段，查询需要根据自身与两个智能体的匹配关系分配上下文权重。标准Agent</w:t>
      </w:r>
      <w:r>
        <w:t xml:space="preserve"> </w:t>
      </w:r>
      <w:r>
        <w:rPr>
          <w:rFonts w:hint="eastAsia"/>
        </w:rPr>
        <w:t xml:space="preserve">Attention在聚合与广播阶段均采用Softmax归一化。当一行得分按共同正比例缩小时，正得分之间的相对比例虽然保持不变，权重却趋于均匀，使对应查询对两个智能体上下文的读取趋向等权混合。为在这种尺度变化下保留正相关匹配的区分，RAA在两个阶段采用ReLU²行归一化：</w:t>
      </w:r>
    </w:p>
    <w:p>
      <w:pPr>
        <w:pStyle w:val="BodyText"/>
        <w:keepLines/>
        <w:tabs>
          <w:tab w:pos="4791" w:val="center"/>
          <w:tab w:pos="9581" w:val="right"/>
        </w:tabs>
        <w:spacing w:before="100" w:after="100"/>
        <w:ind w:firstLine="0"/>
        <w:jc w:val="left"/>
      </w:pPr>
      <w:bookmarkStart w:id="1056" w:name="equation_29"/>
      <w:bookmarkStart w:id="1055" w:name="b_eq_relu2_normalization"/>
      <w:r>
        <w:tab/>
      </w:r>
      <m:oMath>
        <m:sSub>
          <m:e>
            <m:d>
              <m:dPr>
                <m:begChr m:val="["/>
                <m:sepChr m:val=""/>
                <m:endChr m:val="]"/>
                <m:grow/>
              </m:dPr>
              <m:e>
                <m:sSub>
                  <m:e>
                    <m:r>
                      <w:rPr>
                        <w:rFonts w:ascii="Cambria Math" w:hAnsi="Cambria Math"/>
                        <w:sz w:val="22"/>
                      </w:rPr>
                      <m:rPr>
                        <m:scr m:val="script"/>
                        <m:sty m:val="p"/>
                      </m:rPr>
                      <m:t>R</m:t>
                    </m:r>
                  </m:e>
                  <m:sub>
                    <m:r>
                      <w:rPr>
                        <w:rFonts w:ascii="Cambria Math" w:hAnsi="Cambria Math"/>
                        <w:sz w:val="22"/>
                      </w:rPr>
                      <m:t>2</m:t>
                    </m:r>
                  </m:sub>
                </m:sSub>
                <m:r>
                  <w:rPr>
                    <w:rFonts w:ascii="Cambria Math" w:hAnsi="Cambria Math"/>
                    <w:sz w:val="22"/>
                  </w:rPr>
                  <m:rPr>
                    <m:sty m:val="p"/>
                  </m:rPr>
                  <m:t>(</m:t>
                </m:r>
                <m:r>
                  <w:rPr>
                    <w:rFonts w:ascii="Cambria Math" w:hAnsi="Cambria Math"/>
                    <w:sz w:val="22"/>
                  </w:rPr>
                  <m:rPr>
                    <m:sty m:val="bi"/>
                  </m:rPr>
                  <m:t>Z</m:t>
                </m:r>
                <m:r>
                  <w:rPr>
                    <w:rFonts w:ascii="Cambria Math" w:hAnsi="Cambria Math"/>
                    <w:sz w:val="22"/>
                  </w:rPr>
                  <m:rPr>
                    <m:sty m:val="p"/>
                  </m:rPr>
                  <m:t>)</m:t>
                </m:r>
              </m:e>
            </m:d>
          </m:e>
          <m:sub>
            <m:r>
              <w:rPr>
                <w:rFonts w:ascii="Cambria Math" w:hAnsi="Cambria Math"/>
                <w:sz w:val="22"/>
              </w:rPr>
              <m:t>r</m:t>
            </m:r>
            <m:r>
              <w:rPr>
                <w:rFonts w:ascii="Cambria Math" w:hAnsi="Cambria Math"/>
                <w:sz w:val="22"/>
              </w:rPr>
              <m:rPr>
                <m:sty m:val="p"/>
              </m:rPr>
              <m:t>,</m:t>
            </m:r>
            <m:r>
              <w:rPr>
                <w:rFonts w:ascii="Cambria Math" w:hAnsi="Cambria Math"/>
                <w:sz w:val="22"/>
              </w:rPr>
              <m:t>c</m:t>
            </m:r>
          </m:sub>
        </m:sSub>
        <m:r>
          <w:rPr>
            <w:rFonts w:ascii="Cambria Math" w:hAnsi="Cambria Math"/>
            <w:sz w:val="22"/>
          </w:rPr>
          <m:rPr>
            <m:sty m:val="p"/>
          </m:rPr>
          <m:t>=</m:t>
        </m:r>
        <m:d>
          <m:dPr>
            <m:begChr m:val="{"/>
            <m:sepChr m:val=""/>
            <m:endChr m:val=""/>
            <m:grow/>
          </m:dPr>
          <m:e>
            <m:m>
              <m:mPr>
                <m:baseJc m:val="center"/>
                <m:plcHide m:val="on"/>
                <m:mcs>
                  <m:mc>
                    <m:mcPr>
                      <m:mcJc m:val="left"/>
                      <m:count m:val="1"/>
                    </m:mcPr>
                  </m:mc>
                  <m:mc>
                    <m:mcPr>
                      <m:mcJc m:val="left"/>
                      <m:count m:val="1"/>
                    </m:mcPr>
                  </m:mc>
                </m:mcs>
              </m:mPr>
              <m:mr>
                <m:e>
                  <m:f>
                    <m:fPr>
                      <m:type m:val="bar"/>
                    </m:fPr>
                    <m:num>
                      <m:r>
                        <w:rPr>
                          <w:rFonts w:ascii="Cambria Math" w:hAnsi="Cambria Math"/>
                          <w:sz w:val="22"/>
                        </w:rPr>
                        <m:rPr>
                          <m:sty m:val="p"/>
                        </m:rPr>
                        <m:t>ReLU</m:t>
                      </m:r>
                      <m:r>
                        <w:rPr>
                          <w:rFonts w:ascii="Cambria Math" w:hAnsi="Cambria Math"/>
                          <w:sz w:val="22"/>
                        </w:rPr>
                        <m:rPr>
                          <m:sty m:val="p"/>
                        </m:rPr>
                        <m:t>(</m:t>
                      </m:r>
                      <m:sSub>
                        <m:e>
                          <m:r>
                            <w:rPr>
                              <w:rFonts w:ascii="Cambria Math" w:hAnsi="Cambria Math"/>
                              <w:sz w:val="22"/>
                            </w:rPr>
                            <m:rPr>
                              <m:sty m:val="bi"/>
                            </m:rPr>
                            <m:t>Z</m:t>
                          </m:r>
                        </m:e>
                        <m:sub>
                          <m:r>
                            <w:rPr>
                              <w:rFonts w:ascii="Cambria Math" w:hAnsi="Cambria Math"/>
                              <w:sz w:val="22"/>
                            </w:rPr>
                            <m:t>r</m:t>
                          </m:r>
                          <m:r>
                            <w:rPr>
                              <w:rFonts w:ascii="Cambria Math" w:hAnsi="Cambria Math"/>
                              <w:sz w:val="22"/>
                            </w:rPr>
                            <m:rPr>
                              <m:sty m:val="p"/>
                            </m:rPr>
                            <m:t>,</m:t>
                          </m:r>
                          <m:r>
                            <w:rPr>
                              <w:rFonts w:ascii="Cambria Math" w:hAnsi="Cambria Math"/>
                              <w:sz w:val="22"/>
                            </w:rPr>
                            <m:t>c</m:t>
                          </m:r>
                        </m:sub>
                      </m:sSub>
                      <m:sSup>
                        <m:e>
                          <m:r>
                            <w:rPr>
                              <w:rFonts w:ascii="Cambria Math" w:hAnsi="Cambria Math"/>
                              <w:sz w:val="22"/>
                            </w:rPr>
                            <m:rPr>
                              <m:sty m:val="p"/>
                            </m:rPr>
                            <m:t>)</m:t>
                          </m:r>
                        </m:e>
                        <m:sup>
                          <m:r>
                            <w:rPr>
                              <w:rFonts w:ascii="Cambria Math" w:hAnsi="Cambria Math"/>
                              <w:sz w:val="22"/>
                            </w:rPr>
                            <m:t>2</m:t>
                          </m:r>
                        </m:sup>
                      </m:sSup>
                    </m:num>
                    <m:den>
                      <m:nary>
                        <m:naryPr>
                          <m:chr m:val="∑"/>
                          <m:limLoc m:val="undOvr"/>
                          <m:subHide m:val="off"/>
                          <m:supHide m:val="off"/>
                        </m:naryPr>
                        <m:sub>
                          <m:r>
                            <w:rPr>
                              <w:rFonts w:ascii="Cambria Math" w:hAnsi="Cambria Math"/>
                              <w:sz w:val="22"/>
                            </w:rPr>
                            <m:t>j</m:t>
                          </m:r>
                          <m:r>
                            <w:rPr>
                              <w:rFonts w:ascii="Cambria Math" w:hAnsi="Cambria Math"/>
                              <w:sz w:val="22"/>
                            </w:rPr>
                            <m:rPr>
                              <m:sty m:val="p"/>
                            </m:rPr>
                            <m:t>=</m:t>
                          </m:r>
                          <m:r>
                            <w:rPr>
                              <w:rFonts w:ascii="Cambria Math" w:hAnsi="Cambria Math"/>
                              <w:sz w:val="22"/>
                            </w:rPr>
                            <m:t>1</m:t>
                          </m:r>
                        </m:sub>
                        <m:sup>
                          <m:r>
                            <w:rPr>
                              <w:rFonts w:ascii="Cambria Math" w:hAnsi="Cambria Math"/>
                              <w:sz w:val="22"/>
                            </w:rPr>
                            <m:t>M</m:t>
                          </m:r>
                        </m:sup>
                        <m:e>
                          <m:r>
                            <w:rPr>
                              <w:rFonts w:ascii="Cambria Math" w:hAnsi="Cambria Math"/>
                              <w:sz w:val="22"/>
                            </w:rPr>
                            <m:rPr>
                              <m:sty m:val="p"/>
                            </m:rPr>
                            <m:t>ReLU</m:t>
                          </m:r>
                        </m:e>
                      </m:nary>
                      <m:r>
                        <w:rPr>
                          <w:rFonts w:ascii="Cambria Math" w:hAnsi="Cambria Math"/>
                          <w:sz w:val="22"/>
                        </w:rPr>
                        <m:rPr>
                          <m:sty m:val="p"/>
                        </m:rPr>
                        <m:t>(</m:t>
                      </m:r>
                      <m:sSub>
                        <m:e>
                          <m:r>
                            <w:rPr>
                              <w:rFonts w:ascii="Cambria Math" w:hAnsi="Cambria Math"/>
                              <w:sz w:val="22"/>
                            </w:rPr>
                            <m:rPr>
                              <m:sty m:val="bi"/>
                            </m:rPr>
                            <m:t>Z</m:t>
                          </m:r>
                        </m:e>
                        <m:sub>
                          <m:r>
                            <w:rPr>
                              <w:rFonts w:ascii="Cambria Math" w:hAnsi="Cambria Math"/>
                              <w:sz w:val="22"/>
                            </w:rPr>
                            <m:t>r</m:t>
                          </m:r>
                          <m:r>
                            <w:rPr>
                              <w:rFonts w:ascii="Cambria Math" w:hAnsi="Cambria Math"/>
                              <w:sz w:val="22"/>
                            </w:rPr>
                            <m:rPr>
                              <m:sty m:val="p"/>
                            </m:rPr>
                            <m:t>,</m:t>
                          </m:r>
                          <m:r>
                            <w:rPr>
                              <w:rFonts w:ascii="Cambria Math" w:hAnsi="Cambria Math"/>
                              <w:sz w:val="22"/>
                            </w:rPr>
                            <m:t>j</m:t>
                          </m:r>
                        </m:sub>
                      </m:sSub>
                      <m:sSup>
                        <m:e>
                          <m:r>
                            <w:rPr>
                              <w:rFonts w:ascii="Cambria Math" w:hAnsi="Cambria Math"/>
                              <w:sz w:val="22"/>
                            </w:rPr>
                            <m:rPr>
                              <m:sty m:val="p"/>
                            </m:rPr>
                            <m:t>)</m:t>
                          </m:r>
                        </m:e>
                        <m:sup>
                          <m:r>
                            <w:rPr>
                              <w:rFonts w:ascii="Cambria Math" w:hAnsi="Cambria Math"/>
                              <w:sz w:val="22"/>
                            </w:rPr>
                            <m:t>2</m:t>
                          </m:r>
                        </m:sup>
                      </m:sSup>
                    </m:den>
                  </m:f>
                  <m:r>
                    <w:rPr>
                      <w:rFonts w:ascii="Cambria Math" w:hAnsi="Cambria Math"/>
                      <w:sz w:val="22"/>
                    </w:rPr>
                    <m:rPr>
                      <m:sty m:val="p"/>
                    </m:rPr>
                    <m:t>,</m:t>
                  </m:r>
                </m:e>
                <m:e>
                  <m:nary>
                    <m:naryPr>
                      <m:chr m:val="∑"/>
                      <m:limLoc m:val="undOvr"/>
                      <m:subHide m:val="off"/>
                      <m:supHide m:val="off"/>
                    </m:naryPr>
                    <m:sub>
                      <m:r>
                        <w:rPr>
                          <w:rFonts w:ascii="Cambria Math" w:hAnsi="Cambria Math"/>
                          <w:sz w:val="22"/>
                        </w:rPr>
                        <m:t>j</m:t>
                      </m:r>
                      <m:r>
                        <w:rPr>
                          <w:rFonts w:ascii="Cambria Math" w:hAnsi="Cambria Math"/>
                          <w:sz w:val="22"/>
                        </w:rPr>
                        <m:rPr>
                          <m:sty m:val="p"/>
                        </m:rPr>
                        <m:t>=</m:t>
                      </m:r>
                      <m:r>
                        <w:rPr>
                          <w:rFonts w:ascii="Cambria Math" w:hAnsi="Cambria Math"/>
                          <w:sz w:val="22"/>
                        </w:rPr>
                        <m:t>1</m:t>
                      </m:r>
                    </m:sub>
                    <m:sup>
                      <m:r>
                        <w:rPr>
                          <w:rFonts w:ascii="Cambria Math" w:hAnsi="Cambria Math"/>
                          <w:sz w:val="22"/>
                        </w:rPr>
                        <m:t>M</m:t>
                      </m:r>
                    </m:sup>
                    <m:e>
                      <m:r>
                        <w:rPr>
                          <w:rFonts w:ascii="Cambria Math" w:hAnsi="Cambria Math"/>
                          <w:sz w:val="22"/>
                        </w:rPr>
                        <m:rPr>
                          <m:sty m:val="p"/>
                        </m:rPr>
                        <m:t>ReLU</m:t>
                      </m:r>
                    </m:e>
                  </m:nary>
                  <m:r>
                    <w:rPr>
                      <w:rFonts w:ascii="Cambria Math" w:hAnsi="Cambria Math"/>
                      <w:sz w:val="22"/>
                    </w:rPr>
                    <m:rPr>
                      <m:sty m:val="p"/>
                    </m:rPr>
                    <m:t>(</m:t>
                  </m:r>
                  <m:sSub>
                    <m:e>
                      <m:r>
                        <w:rPr>
                          <w:rFonts w:ascii="Cambria Math" w:hAnsi="Cambria Math"/>
                          <w:sz w:val="22"/>
                        </w:rPr>
                        <m:rPr>
                          <m:sty m:val="bi"/>
                        </m:rPr>
                        <m:t>Z</m:t>
                      </m:r>
                    </m:e>
                    <m:sub>
                      <m:r>
                        <w:rPr>
                          <w:rFonts w:ascii="Cambria Math" w:hAnsi="Cambria Math"/>
                          <w:sz w:val="22"/>
                        </w:rPr>
                        <m:t>r</m:t>
                      </m:r>
                      <m:r>
                        <w:rPr>
                          <w:rFonts w:ascii="Cambria Math" w:hAnsi="Cambria Math"/>
                          <w:sz w:val="22"/>
                        </w:rPr>
                        <m:rPr>
                          <m:sty m:val="p"/>
                        </m:rPr>
                        <m:t>,</m:t>
                      </m:r>
                      <m:r>
                        <w:rPr>
                          <w:rFonts w:ascii="Cambria Math" w:hAnsi="Cambria Math"/>
                          <w:sz w:val="22"/>
                        </w:rPr>
                        <m:t>j</m:t>
                      </m:r>
                    </m:sub>
                  </m:sSub>
                  <m:sSup>
                    <m:e>
                      <m:r>
                        <w:rPr>
                          <w:rFonts w:ascii="Cambria Math" w:hAnsi="Cambria Math"/>
                          <w:sz w:val="22"/>
                        </w:rPr>
                        <m:rPr>
                          <m:sty m:val="p"/>
                        </m:rPr>
                        <m:t>)</m:t>
                      </m:r>
                    </m:e>
                    <m:sup>
                      <m:r>
                        <w:rPr>
                          <w:rFonts w:ascii="Cambria Math" w:hAnsi="Cambria Math"/>
                          <w:sz w:val="22"/>
                        </w:rPr>
                        <m:t>2</m:t>
                      </m:r>
                    </m:sup>
                  </m:sSup>
                  <m:r>
                    <w:rPr>
                      <w:rFonts w:ascii="Cambria Math" w:hAnsi="Cambria Math"/>
                      <w:sz w:val="22"/>
                    </w:rPr>
                    <m:rPr>
                      <m:sty m:val="p"/>
                    </m:rPr>
                    <m:t>&gt;</m:t>
                  </m:r>
                  <m:r>
                    <w:rPr>
                      <w:rFonts w:ascii="Cambria Math" w:hAnsi="Cambria Math"/>
                      <w:sz w:val="22"/>
                    </w:rPr>
                    <m:t>0</m:t>
                  </m:r>
                  <m:r>
                    <w:rPr>
                      <w:rFonts w:ascii="Cambria Math" w:hAnsi="Cambria Math"/>
                      <w:sz w:val="22"/>
                    </w:rPr>
                    <m:rPr>
                      <m:sty m:val="p"/>
                    </m:rPr>
                    <m:t>,</m:t>
                  </m:r>
                </m:e>
              </m:mr>
              <m:mr>
                <m:e>
                  <m:f>
                    <m:fPr>
                      <m:type m:val="bar"/>
                    </m:fPr>
                    <m:num>
                      <m:r>
                        <w:rPr>
                          <w:rFonts w:ascii="Cambria Math" w:hAnsi="Cambria Math"/>
                          <w:sz w:val="22"/>
                        </w:rPr>
                        <m:t>1</m:t>
                      </m:r>
                    </m:num>
                    <m:den>
                      <m:r>
                        <w:rPr>
                          <w:rFonts w:ascii="Cambria Math" w:hAnsi="Cambria Math"/>
                          <w:sz w:val="22"/>
                        </w:rPr>
                        <m:t>M</m:t>
                      </m:r>
                    </m:den>
                  </m:f>
                  <m:r>
                    <w:rPr>
                      <w:rFonts w:ascii="Cambria Math" w:hAnsi="Cambria Math"/>
                      <w:sz w:val="22"/>
                    </w:rPr>
                    <m:rPr>
                      <m:sty m:val="p"/>
                    </m:rPr>
                    <m:t>,</m:t>
                  </m:r>
                </m:e>
                <m:e>
                  <m:nary>
                    <m:naryPr>
                      <m:chr m:val="∑"/>
                      <m:limLoc m:val="undOvr"/>
                      <m:subHide m:val="off"/>
                      <m:supHide m:val="off"/>
                    </m:naryPr>
                    <m:sub>
                      <m:r>
                        <w:rPr>
                          <w:rFonts w:ascii="Cambria Math" w:hAnsi="Cambria Math"/>
                          <w:sz w:val="22"/>
                        </w:rPr>
                        <m:t>j</m:t>
                      </m:r>
                      <m:r>
                        <w:rPr>
                          <w:rFonts w:ascii="Cambria Math" w:hAnsi="Cambria Math"/>
                          <w:sz w:val="22"/>
                        </w:rPr>
                        <m:rPr>
                          <m:sty m:val="p"/>
                        </m:rPr>
                        <m:t>=</m:t>
                      </m:r>
                      <m:r>
                        <w:rPr>
                          <w:rFonts w:ascii="Cambria Math" w:hAnsi="Cambria Math"/>
                          <w:sz w:val="22"/>
                        </w:rPr>
                        <m:t>1</m:t>
                      </m:r>
                    </m:sub>
                    <m:sup>
                      <m:r>
                        <w:rPr>
                          <w:rFonts w:ascii="Cambria Math" w:hAnsi="Cambria Math"/>
                          <w:sz w:val="22"/>
                        </w:rPr>
                        <m:t>M</m:t>
                      </m:r>
                    </m:sup>
                    <m:e>
                      <m:r>
                        <w:rPr>
                          <w:rFonts w:ascii="Cambria Math" w:hAnsi="Cambria Math"/>
                          <w:sz w:val="22"/>
                        </w:rPr>
                        <m:rPr>
                          <m:sty m:val="p"/>
                        </m:rPr>
                        <m:t>ReLU</m:t>
                      </m:r>
                    </m:e>
                  </m:nary>
                  <m:r>
                    <w:rPr>
                      <w:rFonts w:ascii="Cambria Math" w:hAnsi="Cambria Math"/>
                      <w:sz w:val="22"/>
                    </w:rPr>
                    <m:rPr>
                      <m:sty m:val="p"/>
                    </m:rPr>
                    <m:t>(</m:t>
                  </m:r>
                  <m:sSub>
                    <m:e>
                      <m:r>
                        <w:rPr>
                          <w:rFonts w:ascii="Cambria Math" w:hAnsi="Cambria Math"/>
                          <w:sz w:val="22"/>
                        </w:rPr>
                        <m:rPr>
                          <m:sty m:val="bi"/>
                        </m:rPr>
                        <m:t>Z</m:t>
                      </m:r>
                    </m:e>
                    <m:sub>
                      <m:r>
                        <w:rPr>
                          <w:rFonts w:ascii="Cambria Math" w:hAnsi="Cambria Math"/>
                          <w:sz w:val="22"/>
                        </w:rPr>
                        <m:t>r</m:t>
                      </m:r>
                      <m:r>
                        <w:rPr>
                          <w:rFonts w:ascii="Cambria Math" w:hAnsi="Cambria Math"/>
                          <w:sz w:val="22"/>
                        </w:rPr>
                        <m:rPr>
                          <m:sty m:val="p"/>
                        </m:rPr>
                        <m:t>,</m:t>
                      </m:r>
                      <m:r>
                        <w:rPr>
                          <w:rFonts w:ascii="Cambria Math" w:hAnsi="Cambria Math"/>
                          <w:sz w:val="22"/>
                        </w:rPr>
                        <m:t>j</m:t>
                      </m:r>
                    </m:sub>
                  </m:sSub>
                  <m:sSup>
                    <m:e>
                      <m:r>
                        <w:rPr>
                          <w:rFonts w:ascii="Cambria Math" w:hAnsi="Cambria Math"/>
                          <w:sz w:val="22"/>
                        </w:rPr>
                        <m:rPr>
                          <m:sty m:val="p"/>
                        </m:rPr>
                        <m:t>)</m:t>
                      </m:r>
                    </m:e>
                    <m:sup>
                      <m:r>
                        <w:rPr>
                          <w:rFonts w:ascii="Cambria Math" w:hAnsi="Cambria Math"/>
                          <w:sz w:val="22"/>
                        </w:rPr>
                        <m:t>2</m:t>
                      </m:r>
                    </m:sup>
                  </m:sSup>
                  <m:r>
                    <w:rPr>
                      <w:rFonts w:ascii="Cambria Math" w:hAnsi="Cambria Math"/>
                      <w:sz w:val="22"/>
                    </w:rPr>
                    <m:rPr>
                      <m:sty m:val="p"/>
                    </m:rPr>
                    <m:t>=</m:t>
                  </m:r>
                  <m:r>
                    <w:rPr>
                      <w:rFonts w:ascii="Cambria Math" w:hAnsi="Cambria Math"/>
                      <w:sz w:val="22"/>
                    </w:rPr>
                    <m:t>0</m:t>
                  </m:r>
                  <m:r>
                    <w:rPr>
                      <w:rFonts w:ascii="Cambria Math" w:hAnsi="Cambria Math"/>
                      <w:sz w:val="22"/>
                    </w:rPr>
                    <m:rPr>
                      <m:sty m:val="p"/>
                    </m:rPr>
                    <m:t>.</m:t>
                  </m:r>
                </m:e>
              </m:mr>
            </m:m>
          </m:e>
        </m:d>
      </m:oMath>
      <w:r>
        <w:tab/>
        <w:t>(29)</w:t>
      </w:r>
      <w:bookmarkEnd w:id="1055"/>
      <w:bookmarkEnd w:id="1056"/>
    </w:p>
    <w:p>
      <w:pPr>
        <w:pStyle w:val="BodyText"/>
      </w:pPr>
      <w:r>
        <w:rPr>
          <w:rFonts w:hint="eastAsia"/>
        </w:rPr>
        <w:t xml:space="preserve">其中，</w:t>
      </w:r>
      <m:oMath>
        <m:r>
          <w:rPr>
            <w:rFonts w:ascii="Cambria Math" w:hAnsi="Cambria Math"/>
            <w:sz w:val="22"/>
          </w:rPr>
          <m:t>M</m:t>
        </m:r>
      </m:oMath>
      <w:r>
        <w:rPr>
          <w:rFonts w:hint="eastAsia"/>
        </w:rPr>
        <w:t xml:space="preserve">表示每一行参与归一化的元素数量：在智能体聚合阶段，</w:t>
      </w:r>
      <m:oMath>
        <m:r>
          <w:rPr>
            <w:rFonts w:ascii="Cambria Math" w:hAnsi="Cambria Math"/>
            <w:sz w:val="22"/>
          </w:rPr>
          <m:t>M</m:t>
        </m:r>
        <m:r>
          <w:rPr>
            <w:rFonts w:ascii="Cambria Math" w:hAnsi="Cambria Math"/>
            <w:sz w:val="22"/>
          </w:rPr>
          <m:rPr>
            <m:sty m:val="p"/>
          </m:rPr>
          <m:t>=</m:t>
        </m:r>
        <m:r>
          <w:rPr>
            <w:rFonts w:ascii="Cambria Math" w:hAnsi="Cambria Math"/>
            <w:sz w:val="22"/>
          </w:rPr>
          <m:t>N</m:t>
        </m:r>
      </m:oMath>
      <w:r>
        <w:rPr>
          <w:rFonts w:hint="eastAsia"/>
        </w:rPr>
        <w:t xml:space="preserve">；在信息广播阶段，</w:t>
      </w:r>
      <m:oMath>
        <m:r>
          <w:rPr>
            <w:rFonts w:ascii="Cambria Math" w:hAnsi="Cambria Math"/>
            <w:sz w:val="22"/>
          </w:rPr>
          <m:t>M</m:t>
        </m:r>
        <m:r>
          <w:rPr>
            <w:rFonts w:ascii="Cambria Math" w:hAnsi="Cambria Math"/>
            <w:sz w:val="22"/>
          </w:rPr>
          <m:rPr>
            <m:sty m:val="p"/>
          </m:rPr>
          <m:t>=</m:t>
        </m:r>
        <m:sSub>
          <m:e>
            <m:r>
              <w:rPr>
                <w:rFonts w:ascii="Cambria Math" w:hAnsi="Cambria Math"/>
                <w:sz w:val="22"/>
              </w:rPr>
              <m:t>n</m:t>
            </m:r>
          </m:e>
          <m:sub>
            <m:r>
              <w:rPr>
                <w:rFonts w:ascii="Cambria Math" w:hAnsi="Cambria Math"/>
                <w:sz w:val="22"/>
              </w:rPr>
              <m:t>a</m:t>
            </m:r>
          </m:sub>
        </m:sSub>
      </m:oMath>
      <w:r>
        <w:rPr>
          <w:rFonts w:hint="eastAsia"/>
        </w:rPr>
        <w:t xml:space="preserve">。ReLU截断非正相关性得分。对于含有正得分的行，共同正尺度的平方在分子与分母中相互抵消，因此整体得分按共同正比例变化时，权重分配保持不变。平方操作进一步增大较大与较小正得分的权重比，使归一化权重更加突出较高的正相关性得分。当某一行不存在正相关性得分时，</w:t>
      </w:r>
      <m:oMath>
        <m:sSub>
          <m:e>
            <m:r>
              <w:rPr>
                <w:rFonts w:ascii="Cambria Math" w:hAnsi="Cambria Math"/>
                <w:sz w:val="22"/>
              </w:rPr>
              <m:rPr>
                <m:scr m:val="script"/>
                <m:sty m:val="p"/>
              </m:rPr>
              <m:t>R</m:t>
            </m:r>
          </m:e>
          <m:sub>
            <m:r>
              <w:rPr>
                <w:rFonts w:ascii="Cambria Math" w:hAnsi="Cambria Math"/>
                <w:sz w:val="22"/>
              </w:rPr>
              <m:t>2</m:t>
            </m:r>
          </m:sub>
        </m:sSub>
        <m:r>
          <w:rPr>
            <w:rFonts w:ascii="Cambria Math" w:hAnsi="Cambria Math"/>
            <w:sz w:val="22"/>
          </w:rPr>
          <m:rPr>
            <m:sty m:val="p"/>
          </m:rPr>
          <m:t>(</m:t>
        </m:r>
        <m:r>
          <w:rPr>
            <w:rFonts w:ascii="Cambria Math" w:hAnsi="Cambria Math"/>
            <w:sz w:val="22"/>
          </w:rPr>
          <m:rPr>
            <m:sty m:val="p"/>
          </m:rPr>
          <m:t>⋅</m:t>
        </m:r>
        <m:r>
          <w:rPr>
            <w:rFonts w:ascii="Cambria Math" w:hAnsi="Cambria Math"/>
            <w:sz w:val="22"/>
          </w:rPr>
          <m:rPr>
            <m:sty m:val="p"/>
          </m:rPr>
          <m:t>)</m:t>
        </m:r>
      </m:oMath>
      <w:r>
        <w:rPr>
          <w:rFonts w:hint="eastAsia"/>
        </w:rPr>
        <w:t xml:space="preserve">返回均匀分布，以保持归一化结果的有效性。</w:t>
      </w:r>
    </w:p>
    <w:p>
      <w:pPr>
        <w:pStyle w:val="BodyText"/>
      </w:pPr>
      <w:r>
        <w:rPr>
          <w:rFonts w:hint="eastAsia"/>
        </w:rPr>
        <w:t xml:space="preserve">在智能体聚合阶段，</w:t>
      </w:r>
      <m:oMath>
        <m:sSub>
          <m:e>
            <m:r>
              <w:rPr>
                <w:rFonts w:ascii="Cambria Math" w:hAnsi="Cambria Math"/>
                <w:sz w:val="22"/>
              </w:rPr>
              <m:rPr>
                <m:sty m:val="bi"/>
              </m:rPr>
              <m:t>A</m:t>
            </m:r>
          </m:e>
          <m:sub>
            <m:r>
              <w:rPr>
                <w:rFonts w:ascii="Cambria Math" w:hAnsi="Cambria Math"/>
                <w:sz w:val="22"/>
              </w:rPr>
              <m:t>i</m:t>
            </m:r>
          </m:sub>
        </m:sSub>
      </m:oMath>
      <w:r>
        <w:rPr>
          <w:rFonts w:hint="eastAsia"/>
        </w:rPr>
        <w:t xml:space="preserve">作为查询，从序列的键和值中汇集上下文：</w:t>
      </w:r>
    </w:p>
    <w:p>
      <w:pPr>
        <w:pStyle w:val="BodyText"/>
        <w:keepLines/>
        <w:tabs>
          <w:tab w:pos="4791" w:val="center"/>
          <w:tab w:pos="9581" w:val="right"/>
        </w:tabs>
        <w:spacing w:before="100" w:after="100"/>
        <w:ind w:firstLine="0"/>
        <w:jc w:val="left"/>
      </w:pPr>
      <w:bookmarkStart w:id="1058" w:name="equation_30"/>
      <w:bookmarkStart w:id="1057" w:name="b_eq_agent_aggregation"/>
      <w:r>
        <w:tab/>
      </w:r>
      <m:oMath>
        <m:sSub>
          <m:e>
            <m:r>
              <w:rPr>
                <w:rFonts w:ascii="Cambria Math" w:hAnsi="Cambria Math"/>
                <w:sz w:val="22"/>
              </w:rPr>
              <m:rPr>
                <m:sty m:val="b"/>
              </m:rPr>
              <m:t>Φ</m:t>
            </m:r>
          </m:e>
          <m:sub>
            <m:r>
              <w:rPr>
                <w:rFonts w:ascii="Cambria Math" w:hAnsi="Cambria Math"/>
                <w:sz w:val="22"/>
              </w:rPr>
              <m:t>k</m:t>
            </m:r>
            <m:r>
              <w:rPr>
                <w:rFonts w:ascii="Cambria Math" w:hAnsi="Cambria Math"/>
                <w:sz w:val="22"/>
              </w:rPr>
              <m:rPr>
                <m:sty m:val="p"/>
              </m:rPr>
              <m:t>,</m:t>
            </m:r>
            <m:r>
              <w:rPr>
                <w:rFonts w:ascii="Cambria Math" w:hAnsi="Cambria Math"/>
                <w:sz w:val="22"/>
              </w:rPr>
              <m:t>i</m:t>
            </m:r>
          </m:sub>
        </m:sSub>
        <m:r>
          <w:rPr>
            <w:rFonts w:ascii="Cambria Math" w:hAnsi="Cambria Math"/>
            <w:sz w:val="22"/>
          </w:rPr>
          <m:rPr>
            <m:sty m:val="p"/>
          </m:rPr>
          <m:t>=</m:t>
        </m:r>
        <m:sSub>
          <m:e>
            <m:r>
              <w:rPr>
                <w:rFonts w:ascii="Cambria Math" w:hAnsi="Cambria Math"/>
                <w:sz w:val="22"/>
              </w:rPr>
              <m:rPr>
                <m:scr m:val="script"/>
                <m:sty m:val="p"/>
              </m:rPr>
              <m:t>R</m:t>
            </m:r>
          </m:e>
          <m:sub>
            <m:r>
              <w:rPr>
                <w:rFonts w:ascii="Cambria Math" w:hAnsi="Cambria Math"/>
                <w:sz w:val="22"/>
              </w:rPr>
              <m:t>2</m:t>
            </m:r>
          </m:sub>
        </m:sSub>
        <m:d>
          <m:dPr>
            <m:begChr m:val="("/>
            <m:sepChr m:val=""/>
            <m:endChr m:val=")"/>
            <m:grow/>
          </m:dPr>
          <m:e>
            <m:f>
              <m:fPr>
                <m:type m:val="bar"/>
              </m:fPr>
              <m:num>
                <m:sSub>
                  <m:e>
                    <m:r>
                      <w:rPr>
                        <w:rFonts w:ascii="Cambria Math" w:hAnsi="Cambria Math"/>
                        <w:sz w:val="22"/>
                      </w:rPr>
                      <m:rPr>
                        <m:sty m:val="bi"/>
                      </m:rPr>
                      <m:t>A</m:t>
                    </m:r>
                  </m:e>
                  <m:sub>
                    <m:r>
                      <w:rPr>
                        <w:rFonts w:ascii="Cambria Math" w:hAnsi="Cambria Math"/>
                        <w:sz w:val="22"/>
                      </w:rPr>
                      <m:t>i</m:t>
                    </m:r>
                  </m:sub>
                </m:sSub>
                <m:sSubSup>
                  <m:e>
                    <m:r>
                      <w:rPr>
                        <w:rFonts w:ascii="Cambria Math" w:hAnsi="Cambria Math"/>
                        <w:sz w:val="22"/>
                      </w:rPr>
                      <m:rPr>
                        <m:sty m:val="bi"/>
                      </m:rPr>
                      <m:t>K</m:t>
                    </m:r>
                  </m:e>
                  <m:sub>
                    <m:r>
                      <w:rPr>
                        <w:rFonts w:ascii="Cambria Math" w:hAnsi="Cambria Math"/>
                        <w:sz w:val="22"/>
                      </w:rPr>
                      <m:t>i</m:t>
                    </m:r>
                  </m:sub>
                  <m:sup>
                    <m:r>
                      <w:rPr>
                        <w:rFonts w:ascii="Cambria Math" w:hAnsi="Cambria Math"/>
                        <w:sz w:val="22"/>
                      </w:rPr>
                      <m:rPr>
                        <m:sty m:val="p"/>
                      </m:rPr>
                      <m:t>T</m:t>
                    </m:r>
                  </m:sup>
                </m:sSubSup>
              </m:num>
              <m:den>
                <m:rad>
                  <m:radPr>
                    <m:degHide m:val="on"/>
                  </m:radPr>
                  <m:deg/>
                  <m:e>
                    <m:sSub>
                      <m:e>
                        <m:r>
                          <w:rPr>
                            <w:rFonts w:ascii="Cambria Math" w:hAnsi="Cambria Math"/>
                            <w:sz w:val="22"/>
                          </w:rPr>
                          <m:t>d</m:t>
                        </m:r>
                      </m:e>
                      <m:sub>
                        <m:r>
                          <w:rPr>
                            <w:rFonts w:ascii="Cambria Math" w:hAnsi="Cambria Math"/>
                            <w:sz w:val="22"/>
                          </w:rPr>
                          <m:t>h</m:t>
                        </m:r>
                      </m:sub>
                    </m:sSub>
                  </m:e>
                </m:rad>
              </m:den>
            </m:f>
          </m:e>
        </m:d>
        <m:r>
          <w:rPr>
            <w:rFonts w:ascii="Cambria Math" w:hAnsi="Cambria Math"/>
            <w:sz w:val="22"/>
          </w:rPr>
          <m:rPr>
            <m:sty m:val="p"/>
          </m:rPr>
          <m:t>,</m:t>
        </m:r>
        <m:r>
          <w:rPr>
            <w:rFonts w:ascii="Cambria Math" w:hAnsi="Cambria Math"/>
            <w:sz w:val="22"/>
          </w:rPr>
          <m:t>  </m:t>
        </m:r>
        <m:sSub>
          <m:e>
            <m:r>
              <w:rPr>
                <w:rFonts w:ascii="Cambria Math" w:hAnsi="Cambria Math"/>
                <w:sz w:val="22"/>
              </w:rPr>
              <m:rPr>
                <m:sty m:val="bi"/>
              </m:rPr>
              <m:t>V</m:t>
            </m:r>
          </m:e>
          <m:sub>
            <m:r>
              <w:rPr>
                <w:rFonts w:ascii="Cambria Math" w:hAnsi="Cambria Math"/>
                <w:sz w:val="22"/>
              </w:rPr>
              <m:t>A</m:t>
            </m:r>
            <m:r>
              <w:rPr>
                <w:rFonts w:ascii="Cambria Math" w:hAnsi="Cambria Math"/>
                <w:sz w:val="22"/>
              </w:rPr>
              <m:rPr>
                <m:sty m:val="p"/>
              </m:rPr>
              <m:t>,</m:t>
            </m:r>
            <m:r>
              <w:rPr>
                <w:rFonts w:ascii="Cambria Math" w:hAnsi="Cambria Math"/>
                <w:sz w:val="22"/>
              </w:rPr>
              <m:t>i</m:t>
            </m:r>
          </m:sub>
        </m:sSub>
        <m:r>
          <w:rPr>
            <w:rFonts w:ascii="Cambria Math" w:hAnsi="Cambria Math"/>
            <w:sz w:val="22"/>
          </w:rPr>
          <m:rPr>
            <m:sty m:val="p"/>
          </m:rPr>
          <m:t>=</m:t>
        </m:r>
        <m:sSub>
          <m:e>
            <m:r>
              <w:rPr>
                <w:rFonts w:ascii="Cambria Math" w:hAnsi="Cambria Math"/>
                <w:sz w:val="22"/>
              </w:rPr>
              <m:rPr>
                <m:sty m:val="b"/>
              </m:rPr>
              <m:t>Φ</m:t>
            </m:r>
          </m:e>
          <m:sub>
            <m:r>
              <w:rPr>
                <w:rFonts w:ascii="Cambria Math" w:hAnsi="Cambria Math"/>
                <w:sz w:val="22"/>
              </w:rPr>
              <m:t>k</m:t>
            </m:r>
            <m:r>
              <w:rPr>
                <w:rFonts w:ascii="Cambria Math" w:hAnsi="Cambria Math"/>
                <w:sz w:val="22"/>
              </w:rPr>
              <m:rPr>
                <m:sty m:val="p"/>
              </m:rPr>
              <m:t>,</m:t>
            </m:r>
            <m:r>
              <w:rPr>
                <w:rFonts w:ascii="Cambria Math" w:hAnsi="Cambria Math"/>
                <w:sz w:val="22"/>
              </w:rPr>
              <m:t>i</m:t>
            </m:r>
          </m:sub>
        </m:sSub>
        <m:sSub>
          <m:e>
            <m:r>
              <w:rPr>
                <w:rFonts w:ascii="Cambria Math" w:hAnsi="Cambria Math"/>
                <w:sz w:val="22"/>
              </w:rPr>
              <m:rPr>
                <m:sty m:val="bi"/>
              </m:rPr>
              <m:t>V</m:t>
            </m:r>
          </m:e>
          <m:sub>
            <m:r>
              <w:rPr>
                <w:rFonts w:ascii="Cambria Math" w:hAnsi="Cambria Math"/>
                <w:sz w:val="22"/>
              </w:rPr>
              <m:t>i</m:t>
            </m:r>
          </m:sub>
        </m:sSub>
        <m:r>
          <w:rPr>
            <w:rFonts w:ascii="Cambria Math" w:hAnsi="Cambria Math"/>
            <w:sz w:val="22"/>
          </w:rPr>
          <m:rPr>
            <m:sty m:val="p"/>
          </m:rPr>
          <m:t>.</m:t>
        </m:r>
      </m:oMath>
      <w:r>
        <w:tab/>
        <w:t>(30)</w:t>
      </w:r>
      <w:bookmarkEnd w:id="1057"/>
      <w:bookmarkEnd w:id="1058"/>
    </w:p>
    <w:p>
      <w:pPr>
        <w:pStyle w:val="BodyText"/>
      </w:pPr>
      <w:r>
        <w:rPr>
          <w:rFonts w:hint="eastAsia"/>
        </w:rPr>
        <w:t xml:space="preserve">其中，</w:t>
      </w:r>
      <m:oMath>
        <m:sSub>
          <m:e>
            <m:r>
              <w:rPr>
                <w:rFonts w:ascii="Cambria Math" w:hAnsi="Cambria Math"/>
                <w:sz w:val="22"/>
              </w:rPr>
              <m:rPr>
                <m:sty m:val="b"/>
              </m:rPr>
              <m:t>Φ</m:t>
            </m:r>
          </m:e>
          <m:sub>
            <m:r>
              <w:rPr>
                <w:rFonts w:ascii="Cambria Math" w:hAnsi="Cambria Math"/>
                <w:sz w:val="22"/>
              </w:rPr>
              <m:t>k</m:t>
            </m:r>
            <m:r>
              <w:rPr>
                <w:rFonts w:ascii="Cambria Math" w:hAnsi="Cambria Math"/>
                <w:sz w:val="22"/>
              </w:rPr>
              <m:rPr>
                <m:sty m:val="p"/>
              </m:rPr>
              <m:t>,</m:t>
            </m:r>
            <m:r>
              <w:rPr>
                <w:rFonts w:ascii="Cambria Math" w:hAnsi="Cambria Math"/>
                <w:sz w:val="22"/>
              </w:rPr>
              <m:t>i</m:t>
            </m:r>
          </m:sub>
        </m:sSub>
        <m:r>
          <w:rPr>
            <w:rFonts w:ascii="Cambria Math" w:hAnsi="Cambria Math"/>
            <w:sz w:val="22"/>
          </w:rPr>
          <m:rPr>
            <m:sty m:val="p"/>
          </m:rPr>
          <m:t>∈</m:t>
        </m:r>
        <m:sSup>
          <m:e>
            <m:r>
              <w:rPr>
                <w:rFonts w:ascii="Cambria Math" w:hAnsi="Cambria Math"/>
                <w:sz w:val="22"/>
              </w:rPr>
              <m:rPr>
                <m:scr m:val="double-struck"/>
                <m:sty m:val="p"/>
              </m:rPr>
              <m:t>R</m:t>
            </m:r>
          </m:e>
          <m:sup>
            <m:sSub>
              <m:e>
                <m:r>
                  <w:rPr>
                    <w:rFonts w:ascii="Cambria Math" w:hAnsi="Cambria Math"/>
                    <w:sz w:val="22"/>
                  </w:rPr>
                  <m:t>n</m:t>
                </m:r>
              </m:e>
              <m:sub>
                <m:r>
                  <w:rPr>
                    <w:rFonts w:ascii="Cambria Math" w:hAnsi="Cambria Math"/>
                    <w:sz w:val="22"/>
                  </w:rPr>
                  <m:t>a</m:t>
                </m:r>
              </m:sub>
            </m:sSub>
            <m:r>
              <w:rPr>
                <w:rFonts w:ascii="Cambria Math" w:hAnsi="Cambria Math"/>
                <w:sz w:val="22"/>
              </w:rPr>
              <m:rPr>
                <m:sty m:val="p"/>
              </m:rPr>
              <m:t>×</m:t>
            </m:r>
            <m:r>
              <w:rPr>
                <w:rFonts w:ascii="Cambria Math" w:hAnsi="Cambria Math"/>
                <w:sz w:val="22"/>
              </w:rPr>
              <m:t>N</m:t>
            </m:r>
          </m:sup>
        </m:sSup>
      </m:oMath>
      <w:r>
        <w:rPr>
          <w:rFonts w:hint="eastAsia"/>
        </w:rPr>
        <w:t xml:space="preserve">表示智能体对各序列位置的聚合权重，</w:t>
      </w:r>
      <m:oMath>
        <m:sSub>
          <m:e>
            <m:r>
              <w:rPr>
                <w:rFonts w:ascii="Cambria Math" w:hAnsi="Cambria Math"/>
                <w:sz w:val="22"/>
              </w:rPr>
              <m:rPr>
                <m:sty m:val="bi"/>
              </m:rPr>
              <m:t>V</m:t>
            </m:r>
          </m:e>
          <m:sub>
            <m:r>
              <w:rPr>
                <w:rFonts w:ascii="Cambria Math" w:hAnsi="Cambria Math"/>
                <w:sz w:val="22"/>
              </w:rPr>
              <m:t>A</m:t>
            </m:r>
            <m:r>
              <w:rPr>
                <w:rFonts w:ascii="Cambria Math" w:hAnsi="Cambria Math"/>
                <w:sz w:val="22"/>
              </w:rPr>
              <m:rPr>
                <m:sty m:val="p"/>
              </m:rPr>
              <m:t>,</m:t>
            </m:r>
            <m:r>
              <w:rPr>
                <w:rFonts w:ascii="Cambria Math" w:hAnsi="Cambria Math"/>
                <w:sz w:val="22"/>
              </w:rPr>
              <m:t>i</m:t>
            </m:r>
          </m:sub>
        </m:sSub>
        <m:r>
          <w:rPr>
            <w:rFonts w:ascii="Cambria Math" w:hAnsi="Cambria Math"/>
            <w:sz w:val="22"/>
          </w:rPr>
          <m:rPr>
            <m:sty m:val="p"/>
          </m:rPr>
          <m:t>∈</m:t>
        </m:r>
        <m:sSup>
          <m:e>
            <m:r>
              <w:rPr>
                <w:rFonts w:ascii="Cambria Math" w:hAnsi="Cambria Math"/>
                <w:sz w:val="22"/>
              </w:rPr>
              <m:rPr>
                <m:scr m:val="double-struck"/>
                <m:sty m:val="p"/>
              </m:rPr>
              <m:t>R</m:t>
            </m:r>
          </m:e>
          <m:sup>
            <m:sSub>
              <m:e>
                <m:r>
                  <w:rPr>
                    <w:rFonts w:ascii="Cambria Math" w:hAnsi="Cambria Math"/>
                    <w:sz w:val="22"/>
                  </w:rPr>
                  <m:t>n</m:t>
                </m:r>
              </m:e>
              <m:sub>
                <m:r>
                  <w:rPr>
                    <w:rFonts w:ascii="Cambria Math" w:hAnsi="Cambria Math"/>
                    <w:sz w:val="22"/>
                  </w:rPr>
                  <m:t>a</m:t>
                </m:r>
              </m:sub>
            </m:sSub>
            <m:r>
              <w:rPr>
                <w:rFonts w:ascii="Cambria Math" w:hAnsi="Cambria Math"/>
                <w:sz w:val="22"/>
              </w:rPr>
              <m:rPr>
                <m:sty m:val="p"/>
              </m:rPr>
              <m:t>×</m:t>
            </m:r>
            <m:sSub>
              <m:e>
                <m:r>
                  <w:rPr>
                    <w:rFonts w:ascii="Cambria Math" w:hAnsi="Cambria Math"/>
                    <w:sz w:val="22"/>
                  </w:rPr>
                  <m:t>d</m:t>
                </m:r>
              </m:e>
              <m:sub>
                <m:r>
                  <w:rPr>
                    <w:rFonts w:ascii="Cambria Math" w:hAnsi="Cambria Math"/>
                    <w:sz w:val="22"/>
                  </w:rPr>
                  <m:t>h</m:t>
                </m:r>
              </m:sub>
            </m:sSub>
          </m:sup>
        </m:sSup>
      </m:oMath>
      <w:r>
        <w:rPr>
          <w:rFonts w:hint="eastAsia"/>
        </w:rPr>
        <w:t xml:space="preserve">表示聚合得到的智能体上下文。</w:t>
      </w:r>
    </w:p>
    <w:p>
      <w:pPr>
        <w:pStyle w:val="BodyText"/>
      </w:pPr>
      <w:r>
        <w:rPr>
          <w:rFonts w:hint="eastAsia"/>
        </w:rPr>
        <w:t xml:space="preserve">在信息广播阶段，各查询位置根据自身特征从智能体上下文中读取信息：</w:t>
      </w:r>
    </w:p>
    <w:p>
      <w:pPr>
        <w:pStyle w:val="BodyText"/>
        <w:keepLines/>
        <w:tabs>
          <w:tab w:pos="4791" w:val="center"/>
          <w:tab w:pos="9581" w:val="right"/>
        </w:tabs>
        <w:spacing w:before="100" w:after="100"/>
        <w:ind w:firstLine="0"/>
        <w:jc w:val="left"/>
      </w:pPr>
      <w:bookmarkStart w:id="1060" w:name="equation_31"/>
      <w:bookmarkStart w:id="1059" w:name="b_eq_agent_broadcast"/>
      <w:r>
        <w:tab/>
      </w:r>
      <m:oMath>
        <m:sSub>
          <m:e>
            <m:r>
              <w:rPr>
                <w:rFonts w:ascii="Cambria Math" w:hAnsi="Cambria Math"/>
                <w:sz w:val="22"/>
              </w:rPr>
              <m:rPr>
                <m:sty m:val="b"/>
              </m:rPr>
              <m:t>Φ</m:t>
            </m:r>
          </m:e>
          <m:sub>
            <m:r>
              <w:rPr>
                <w:rFonts w:ascii="Cambria Math" w:hAnsi="Cambria Math"/>
                <w:sz w:val="22"/>
              </w:rPr>
              <m:t>q</m:t>
            </m:r>
            <m:r>
              <w:rPr>
                <w:rFonts w:ascii="Cambria Math" w:hAnsi="Cambria Math"/>
                <w:sz w:val="22"/>
              </w:rPr>
              <m:rPr>
                <m:sty m:val="p"/>
              </m:rPr>
              <m:t>,</m:t>
            </m:r>
            <m:r>
              <w:rPr>
                <w:rFonts w:ascii="Cambria Math" w:hAnsi="Cambria Math"/>
                <w:sz w:val="22"/>
              </w:rPr>
              <m:t>i</m:t>
            </m:r>
          </m:sub>
        </m:sSub>
        <m:r>
          <w:rPr>
            <w:rFonts w:ascii="Cambria Math" w:hAnsi="Cambria Math"/>
            <w:sz w:val="22"/>
          </w:rPr>
          <m:rPr>
            <m:sty m:val="p"/>
          </m:rPr>
          <m:t>=</m:t>
        </m:r>
        <m:sSub>
          <m:e>
            <m:r>
              <w:rPr>
                <w:rFonts w:ascii="Cambria Math" w:hAnsi="Cambria Math"/>
                <w:sz w:val="22"/>
              </w:rPr>
              <m:rPr>
                <m:scr m:val="script"/>
                <m:sty m:val="p"/>
              </m:rPr>
              <m:t>R</m:t>
            </m:r>
          </m:e>
          <m:sub>
            <m:r>
              <w:rPr>
                <w:rFonts w:ascii="Cambria Math" w:hAnsi="Cambria Math"/>
                <w:sz w:val="22"/>
              </w:rPr>
              <m:t>2</m:t>
            </m:r>
          </m:sub>
        </m:sSub>
        <m:d>
          <m:dPr>
            <m:begChr m:val="("/>
            <m:sepChr m:val=""/>
            <m:endChr m:val=")"/>
            <m:grow/>
          </m:dPr>
          <m:e>
            <m:f>
              <m:fPr>
                <m:type m:val="bar"/>
              </m:fPr>
              <m:num>
                <m:sSub>
                  <m:e>
                    <m:r>
                      <w:rPr>
                        <w:rFonts w:ascii="Cambria Math" w:hAnsi="Cambria Math"/>
                        <w:sz w:val="22"/>
                      </w:rPr>
                      <m:rPr>
                        <m:sty m:val="bi"/>
                      </m:rPr>
                      <m:t>Q</m:t>
                    </m:r>
                  </m:e>
                  <m:sub>
                    <m:r>
                      <w:rPr>
                        <w:rFonts w:ascii="Cambria Math" w:hAnsi="Cambria Math"/>
                        <w:sz w:val="22"/>
                      </w:rPr>
                      <m:t>i</m:t>
                    </m:r>
                  </m:sub>
                </m:sSub>
                <m:sSubSup>
                  <m:e>
                    <m:r>
                      <w:rPr>
                        <w:rFonts w:ascii="Cambria Math" w:hAnsi="Cambria Math"/>
                        <w:sz w:val="22"/>
                      </w:rPr>
                      <m:rPr>
                        <m:sty m:val="bi"/>
                      </m:rPr>
                      <m:t>A</m:t>
                    </m:r>
                  </m:e>
                  <m:sub>
                    <m:r>
                      <w:rPr>
                        <w:rFonts w:ascii="Cambria Math" w:hAnsi="Cambria Math"/>
                        <w:sz w:val="22"/>
                      </w:rPr>
                      <m:t>i</m:t>
                    </m:r>
                  </m:sub>
                  <m:sup>
                    <m:r>
                      <w:rPr>
                        <w:rFonts w:ascii="Cambria Math" w:hAnsi="Cambria Math"/>
                        <w:sz w:val="22"/>
                      </w:rPr>
                      <m:rPr>
                        <m:sty m:val="p"/>
                      </m:rPr>
                      <m:t>T</m:t>
                    </m:r>
                  </m:sup>
                </m:sSubSup>
              </m:num>
              <m:den>
                <m:rad>
                  <m:radPr>
                    <m:degHide m:val="on"/>
                  </m:radPr>
                  <m:deg/>
                  <m:e>
                    <m:sSub>
                      <m:e>
                        <m:r>
                          <w:rPr>
                            <w:rFonts w:ascii="Cambria Math" w:hAnsi="Cambria Math"/>
                            <w:sz w:val="22"/>
                          </w:rPr>
                          <m:t>d</m:t>
                        </m:r>
                      </m:e>
                      <m:sub>
                        <m:r>
                          <w:rPr>
                            <w:rFonts w:ascii="Cambria Math" w:hAnsi="Cambria Math"/>
                            <w:sz w:val="22"/>
                          </w:rPr>
                          <m:t>h</m:t>
                        </m:r>
                      </m:sub>
                    </m:sSub>
                  </m:e>
                </m:rad>
              </m:den>
            </m:f>
          </m:e>
        </m:d>
        <m:r>
          <w:rPr>
            <w:rFonts w:ascii="Cambria Math" w:hAnsi="Cambria Math"/>
            <w:sz w:val="22"/>
          </w:rPr>
          <m:rPr>
            <m:sty m:val="p"/>
          </m:rPr>
          <m:t>,</m:t>
        </m:r>
        <m:r>
          <w:rPr>
            <w:rFonts w:ascii="Cambria Math" w:hAnsi="Cambria Math"/>
            <w:sz w:val="22"/>
          </w:rPr>
          <m:t>  </m:t>
        </m:r>
        <m:sSub>
          <m:e>
            <m:r>
              <w:rPr>
                <w:rFonts w:ascii="Cambria Math" w:hAnsi="Cambria Math"/>
                <w:sz w:val="22"/>
              </w:rPr>
              <m:rPr>
                <m:sty m:val="bi"/>
              </m:rPr>
              <m:t>O</m:t>
            </m:r>
          </m:e>
          <m:sub>
            <m:r>
              <w:rPr>
                <w:rFonts w:ascii="Cambria Math" w:hAnsi="Cambria Math"/>
                <w:sz w:val="22"/>
              </w:rPr>
              <m:t>i</m:t>
            </m:r>
          </m:sub>
        </m:sSub>
        <m:r>
          <w:rPr>
            <w:rFonts w:ascii="Cambria Math" w:hAnsi="Cambria Math"/>
            <w:sz w:val="22"/>
          </w:rPr>
          <m:rPr>
            <m:sty m:val="p"/>
          </m:rPr>
          <m:t>=</m:t>
        </m:r>
        <m:sSub>
          <m:e>
            <m:r>
              <w:rPr>
                <w:rFonts w:ascii="Cambria Math" w:hAnsi="Cambria Math"/>
                <w:sz w:val="22"/>
              </w:rPr>
              <m:rPr>
                <m:sty m:val="b"/>
              </m:rPr>
              <m:t>Φ</m:t>
            </m:r>
          </m:e>
          <m:sub>
            <m:r>
              <w:rPr>
                <w:rFonts w:ascii="Cambria Math" w:hAnsi="Cambria Math"/>
                <w:sz w:val="22"/>
              </w:rPr>
              <m:t>q</m:t>
            </m:r>
            <m:r>
              <w:rPr>
                <w:rFonts w:ascii="Cambria Math" w:hAnsi="Cambria Math"/>
                <w:sz w:val="22"/>
              </w:rPr>
              <m:rPr>
                <m:sty m:val="p"/>
              </m:rPr>
              <m:t>,</m:t>
            </m:r>
            <m:r>
              <w:rPr>
                <w:rFonts w:ascii="Cambria Math" w:hAnsi="Cambria Math"/>
                <w:sz w:val="22"/>
              </w:rPr>
              <m:t>i</m:t>
            </m:r>
          </m:sub>
        </m:sSub>
        <m:sSub>
          <m:e>
            <m:r>
              <w:rPr>
                <w:rFonts w:ascii="Cambria Math" w:hAnsi="Cambria Math"/>
                <w:sz w:val="22"/>
              </w:rPr>
              <m:rPr>
                <m:sty m:val="bi"/>
              </m:rPr>
              <m:t>V</m:t>
            </m:r>
          </m:e>
          <m:sub>
            <m:r>
              <w:rPr>
                <w:rFonts w:ascii="Cambria Math" w:hAnsi="Cambria Math"/>
                <w:sz w:val="22"/>
              </w:rPr>
              <m:t>A</m:t>
            </m:r>
            <m:r>
              <w:rPr>
                <w:rFonts w:ascii="Cambria Math" w:hAnsi="Cambria Math"/>
                <w:sz w:val="22"/>
              </w:rPr>
              <m:rPr>
                <m:sty m:val="p"/>
              </m:rPr>
              <m:t>,</m:t>
            </m:r>
            <m:r>
              <w:rPr>
                <w:rFonts w:ascii="Cambria Math" w:hAnsi="Cambria Math"/>
                <w:sz w:val="22"/>
              </w:rPr>
              <m:t>i</m:t>
            </m:r>
          </m:sub>
        </m:sSub>
        <m:r>
          <w:rPr>
            <w:rFonts w:ascii="Cambria Math" w:hAnsi="Cambria Math"/>
            <w:sz w:val="22"/>
          </w:rPr>
          <m:rPr>
            <m:sty m:val="p"/>
          </m:rPr>
          <m:t>.</m:t>
        </m:r>
      </m:oMath>
      <w:r>
        <w:tab/>
        <w:t>(31)</w:t>
      </w:r>
      <w:bookmarkEnd w:id="1059"/>
      <w:bookmarkEnd w:id="1060"/>
    </w:p>
    <w:p>
      <w:pPr>
        <w:pStyle w:val="BodyText"/>
      </w:pPr>
      <w:r>
        <w:rPr>
          <w:rFonts w:hint="eastAsia"/>
        </w:rPr>
        <w:t xml:space="preserve">其中，</w:t>
      </w:r>
      <m:oMath>
        <m:sSub>
          <m:e>
            <m:r>
              <w:rPr>
                <w:rFonts w:ascii="Cambria Math" w:hAnsi="Cambria Math"/>
                <w:sz w:val="22"/>
              </w:rPr>
              <m:rPr>
                <m:sty m:val="b"/>
              </m:rPr>
              <m:t>Φ</m:t>
            </m:r>
          </m:e>
          <m:sub>
            <m:r>
              <w:rPr>
                <w:rFonts w:ascii="Cambria Math" w:hAnsi="Cambria Math"/>
                <w:sz w:val="22"/>
              </w:rPr>
              <m:t>q</m:t>
            </m:r>
            <m:r>
              <w:rPr>
                <w:rFonts w:ascii="Cambria Math" w:hAnsi="Cambria Math"/>
                <w:sz w:val="22"/>
              </w:rPr>
              <m:rPr>
                <m:sty m:val="p"/>
              </m:rPr>
              <m:t>,</m:t>
            </m:r>
            <m:r>
              <w:rPr>
                <w:rFonts w:ascii="Cambria Math" w:hAnsi="Cambria Math"/>
                <w:sz w:val="22"/>
              </w:rPr>
              <m:t>i</m:t>
            </m:r>
          </m:sub>
        </m:sSub>
        <m:r>
          <w:rPr>
            <w:rFonts w:ascii="Cambria Math" w:hAnsi="Cambria Math"/>
            <w:sz w:val="22"/>
          </w:rPr>
          <m:rPr>
            <m:sty m:val="p"/>
          </m:rPr>
          <m:t>∈</m:t>
        </m:r>
        <m:sSup>
          <m:e>
            <m:r>
              <w:rPr>
                <w:rFonts w:ascii="Cambria Math" w:hAnsi="Cambria Math"/>
                <w:sz w:val="22"/>
              </w:rPr>
              <m:rPr>
                <m:scr m:val="double-struck"/>
                <m:sty m:val="p"/>
              </m:rPr>
              <m:t>R</m:t>
            </m:r>
          </m:e>
          <m:sup>
            <m:r>
              <w:rPr>
                <w:rFonts w:ascii="Cambria Math" w:hAnsi="Cambria Math"/>
                <w:sz w:val="22"/>
              </w:rPr>
              <m:t>N</m:t>
            </m:r>
            <m:r>
              <w:rPr>
                <w:rFonts w:ascii="Cambria Math" w:hAnsi="Cambria Math"/>
                <w:sz w:val="22"/>
              </w:rPr>
              <m:rPr>
                <m:sty m:val="p"/>
              </m:rPr>
              <m:t>×</m:t>
            </m:r>
            <m:sSub>
              <m:e>
                <m:r>
                  <w:rPr>
                    <w:rFonts w:ascii="Cambria Math" w:hAnsi="Cambria Math"/>
                    <w:sz w:val="22"/>
                  </w:rPr>
                  <m:t>n</m:t>
                </m:r>
              </m:e>
              <m:sub>
                <m:r>
                  <w:rPr>
                    <w:rFonts w:ascii="Cambria Math" w:hAnsi="Cambria Math"/>
                    <w:sz w:val="22"/>
                  </w:rPr>
                  <m:t>a</m:t>
                </m:r>
              </m:sub>
            </m:sSub>
          </m:sup>
        </m:sSup>
      </m:oMath>
      <w:r>
        <w:rPr>
          <w:rFonts w:hint="eastAsia"/>
        </w:rPr>
        <w:t xml:space="preserve">表示各查询位置对智能体的广播权重，</w:t>
      </w:r>
      <m:oMath>
        <m:sSub>
          <m:e>
            <m:r>
              <w:rPr>
                <w:rFonts w:ascii="Cambria Math" w:hAnsi="Cambria Math"/>
                <w:sz w:val="22"/>
              </w:rPr>
              <m:rPr>
                <m:sty m:val="bi"/>
              </m:rPr>
              <m:t>O</m:t>
            </m:r>
          </m:e>
          <m:sub>
            <m:r>
              <w:rPr>
                <w:rFonts w:ascii="Cambria Math" w:hAnsi="Cambria Math"/>
                <w:sz w:val="22"/>
              </w:rPr>
              <m:t>i</m:t>
            </m:r>
          </m:sub>
        </m:sSub>
        <m:r>
          <w:rPr>
            <w:rFonts w:ascii="Cambria Math" w:hAnsi="Cambria Math"/>
            <w:sz w:val="22"/>
          </w:rPr>
          <m:rPr>
            <m:sty m:val="p"/>
          </m:rPr>
          <m:t>∈</m:t>
        </m:r>
        <m:sSup>
          <m:e>
            <m:r>
              <w:rPr>
                <w:rFonts w:ascii="Cambria Math" w:hAnsi="Cambria Math"/>
                <w:sz w:val="22"/>
              </w:rPr>
              <m:rPr>
                <m:scr m:val="double-struck"/>
                <m:sty m:val="p"/>
              </m:rPr>
              <m:t>R</m:t>
            </m:r>
          </m:e>
          <m:sup>
            <m:r>
              <w:rPr>
                <w:rFonts w:ascii="Cambria Math" w:hAnsi="Cambria Math"/>
                <w:sz w:val="22"/>
              </w:rPr>
              <m:t>N</m:t>
            </m:r>
            <m:r>
              <w:rPr>
                <w:rFonts w:ascii="Cambria Math" w:hAnsi="Cambria Math"/>
                <w:sz w:val="22"/>
              </w:rPr>
              <m:rPr>
                <m:sty m:val="p"/>
              </m:rPr>
              <m:t>×</m:t>
            </m:r>
            <m:sSub>
              <m:e>
                <m:r>
                  <w:rPr>
                    <w:rFonts w:ascii="Cambria Math" w:hAnsi="Cambria Math"/>
                    <w:sz w:val="22"/>
                  </w:rPr>
                  <m:t>d</m:t>
                </m:r>
              </m:e>
              <m:sub>
                <m:r>
                  <w:rPr>
                    <w:rFonts w:ascii="Cambria Math" w:hAnsi="Cambria Math"/>
                    <w:sz w:val="22"/>
                  </w:rPr>
                  <m:t>h</m:t>
                </m:r>
              </m:sub>
            </m:sSub>
          </m:sup>
        </m:sSup>
      </m:oMath>
      <w:r>
        <w:rPr>
          <w:rFonts w:hint="eastAsia"/>
        </w:rPr>
        <w:t xml:space="preserve">为第</w:t>
      </w:r>
      <m:oMath>
        <m:r>
          <w:rPr>
            <w:rFonts w:ascii="Cambria Math" w:hAnsi="Cambria Math"/>
            <w:sz w:val="22"/>
          </w:rPr>
          <m:t>i</m:t>
        </m:r>
      </m:oMath>
      <w:r>
        <w:rPr>
          <w:rFonts w:hint="eastAsia"/>
        </w:rPr>
        <w:t xml:space="preserve">个注意力头的输出。各查询与智能体的匹配得分经ReLU²行归一化得到广播权重，用于对两个智能体上下文进行加权组合，形成相应的全局交互表示。</w:t>
      </w:r>
    </w:p>
    <w:p>
      <w:pPr>
        <w:pStyle w:val="BodyText"/>
      </w:pPr>
      <w:r>
        <w:rPr>
          <w:rFonts w:hint="eastAsia"/>
        </w:rPr>
        <w:t xml:space="preserve">由式</w:t>
      </w:r>
      <w:hyperlink w:anchor="b_eq_agent_aggregation">
        <w:r>
          <w:rPr>
            <w:rStyle w:val="Hyperlink"/>
          </w:rPr>
          <w:t xml:space="preserve">(30)</w:t>
        </w:r>
      </w:hyperlink>
      <w:r>
        <w:rPr>
          <w:rFonts w:hint="eastAsia"/>
        </w:rPr>
        <w:t xml:space="preserve">和式</w:t>
      </w:r>
      <w:hyperlink w:anchor="b_eq_agent_broadcast">
        <w:r>
          <w:rPr>
            <w:rStyle w:val="Hyperlink"/>
          </w:rPr>
          <w:t xml:space="preserve">(31)</w:t>
        </w:r>
      </w:hyperlink>
      <w:r>
        <w:rPr>
          <w:rFonts w:hint="eastAsia"/>
        </w:rPr>
        <w:t xml:space="preserve">可知，从等效映射角度看，第</w:t>
      </w:r>
      <m:oMath>
        <m:r>
          <w:rPr>
            <w:rFonts w:ascii="Cambria Math" w:hAnsi="Cambria Math"/>
            <w:sz w:val="22"/>
          </w:rPr>
          <m:t>i</m:t>
        </m:r>
      </m:oMath>
      <w:r>
        <w:rPr>
          <w:rFonts w:hint="eastAsia"/>
        </w:rPr>
        <w:t xml:space="preserve">个注意力头中智能体介导的序列交互可表示为</w:t>
      </w:r>
      <m:oMath>
        <m:sSub>
          <m:e>
            <m:r>
              <w:rPr>
                <w:rFonts w:ascii="Cambria Math" w:hAnsi="Cambria Math"/>
                <w:sz w:val="22"/>
              </w:rPr>
              <m:rPr>
                <m:sty m:val="b"/>
              </m:rPr>
              <m:t>Φ</m:t>
            </m:r>
          </m:e>
          <m:sub>
            <m:r>
              <w:rPr>
                <w:rFonts w:ascii="Cambria Math" w:hAnsi="Cambria Math"/>
                <w:sz w:val="22"/>
              </w:rPr>
              <m:t>q</m:t>
            </m:r>
            <m:r>
              <w:rPr>
                <w:rFonts w:ascii="Cambria Math" w:hAnsi="Cambria Math"/>
                <w:sz w:val="22"/>
              </w:rPr>
              <m:rPr>
                <m:sty m:val="p"/>
              </m:rPr>
              <m:t>,</m:t>
            </m:r>
            <m:r>
              <w:rPr>
                <w:rFonts w:ascii="Cambria Math" w:hAnsi="Cambria Math"/>
                <w:sz w:val="22"/>
              </w:rPr>
              <m:t>i</m:t>
            </m:r>
          </m:sub>
        </m:sSub>
        <m:sSub>
          <m:e>
            <m:r>
              <w:rPr>
                <w:rFonts w:ascii="Cambria Math" w:hAnsi="Cambria Math"/>
                <w:sz w:val="22"/>
              </w:rPr>
              <m:rPr>
                <m:sty m:val="b"/>
              </m:rPr>
              <m:t>Φ</m:t>
            </m:r>
          </m:e>
          <m:sub>
            <m:r>
              <w:rPr>
                <w:rFonts w:ascii="Cambria Math" w:hAnsi="Cambria Math"/>
                <w:sz w:val="22"/>
              </w:rPr>
              <m:t>k</m:t>
            </m:r>
            <m:r>
              <w:rPr>
                <w:rFonts w:ascii="Cambria Math" w:hAnsi="Cambria Math"/>
                <w:sz w:val="22"/>
              </w:rPr>
              <m:rPr>
                <m:sty m:val="p"/>
              </m:rPr>
              <m:t>,</m:t>
            </m:r>
            <m:r>
              <w:rPr>
                <w:rFonts w:ascii="Cambria Math" w:hAnsi="Cambria Math"/>
                <w:sz w:val="22"/>
              </w:rPr>
              <m:t>i</m:t>
            </m:r>
          </m:sub>
        </m:sSub>
        <m:r>
          <w:rPr>
            <w:rFonts w:ascii="Cambria Math" w:hAnsi="Cambria Math"/>
            <w:sz w:val="22"/>
          </w:rPr>
          <m:rPr>
            <m:sty m:val="p"/>
          </m:rPr>
          <m:t>∈</m:t>
        </m:r>
        <m:sSup>
          <m:e>
            <m:r>
              <w:rPr>
                <w:rFonts w:ascii="Cambria Math" w:hAnsi="Cambria Math"/>
                <w:sz w:val="22"/>
              </w:rPr>
              <m:rPr>
                <m:scr m:val="double-struck"/>
                <m:sty m:val="p"/>
              </m:rPr>
              <m:t>R</m:t>
            </m:r>
          </m:e>
          <m:sup>
            <m:r>
              <w:rPr>
                <w:rFonts w:ascii="Cambria Math" w:hAnsi="Cambria Math"/>
                <w:sz w:val="22"/>
              </w:rPr>
              <m:t>N</m:t>
            </m:r>
            <m:r>
              <w:rPr>
                <w:rFonts w:ascii="Cambria Math" w:hAnsi="Cambria Math"/>
                <w:sz w:val="22"/>
              </w:rPr>
              <m:rPr>
                <m:sty m:val="p"/>
              </m:rPr>
              <m:t>×</m:t>
            </m:r>
            <m:r>
              <w:rPr>
                <w:rFonts w:ascii="Cambria Math" w:hAnsi="Cambria Math"/>
                <w:sz w:val="22"/>
              </w:rPr>
              <m:t>N</m:t>
            </m:r>
          </m:sup>
        </m:sSup>
      </m:oMath>
      <w:r>
        <w:rPr>
          <w:rFonts w:hint="eastAsia"/>
        </w:rPr>
        <w:t xml:space="preserve">，其秩不超过智能体数量</w:t>
      </w:r>
      <m:oMath>
        <m:sSub>
          <m:e>
            <m:r>
              <w:rPr>
                <w:rFonts w:ascii="Cambria Math" w:hAnsi="Cambria Math"/>
                <w:sz w:val="22"/>
              </w:rPr>
              <m:t>n</m:t>
            </m:r>
          </m:e>
          <m:sub>
            <m:r>
              <w:rPr>
                <w:rFonts w:ascii="Cambria Math" w:hAnsi="Cambria Math"/>
                <w:sz w:val="22"/>
              </w:rPr>
              <m:t>a</m:t>
            </m:r>
          </m:sub>
        </m:sSub>
      </m:oMath>
      <w:r>
        <w:t xml:space="preserve">。</w:t>
      </w:r>
    </w:p>
    <w:p>
      <w:pPr>
        <w:pStyle w:val="BodyText"/>
      </w:pPr>
      <w:r>
        <w:rPr>
          <w:rFonts w:hint="eastAsia"/>
        </w:rPr>
        <w:t xml:space="preserve">各注意力头的输出沿特征维度拼接，并通过可学习输出缩放向量</w:t>
      </w:r>
      <m:oMath>
        <m:sSub>
          <m:e>
            <m:r>
              <w:rPr>
                <w:rFonts w:ascii="Cambria Math" w:hAnsi="Cambria Math"/>
                <w:sz w:val="22"/>
              </w:rPr>
              <m:rPr>
                <m:sty m:val="bi"/>
              </m:rPr>
              <m:t>s</m:t>
            </m:r>
          </m:e>
          <m:sub>
            <m:r>
              <w:rPr>
                <w:rFonts w:ascii="Cambria Math" w:hAnsi="Cambria Math"/>
                <w:sz w:val="22"/>
              </w:rPr>
              <m:t>o</m:t>
            </m:r>
          </m:sub>
        </m:sSub>
      </m:oMath>
      <w:r>
        <w:rPr>
          <w:rFonts w:hint="eastAsia"/>
        </w:rPr>
        <w:t xml:space="preserve">调节通道响应，随后与输入特征进行残差相加：</w:t>
      </w:r>
    </w:p>
    <w:p>
      <w:pPr>
        <w:pStyle w:val="BodyText"/>
        <w:keepLines/>
        <w:tabs>
          <w:tab w:pos="4791" w:val="center"/>
          <w:tab w:pos="9581" w:val="right"/>
        </w:tabs>
        <w:spacing w:before="100" w:after="100"/>
        <w:ind w:firstLine="0"/>
        <w:jc w:val="left"/>
      </w:pPr>
      <w:bookmarkStart w:id="1062" w:name="equation_32"/>
      <w:bookmarkStart w:id="1061" w:name="b_eq_raa_output"/>
      <w:r>
        <w:tab/>
      </w:r>
      <m:oMath>
        <m:r>
          <w:rPr>
            <w:rFonts w:ascii="Cambria Math" w:hAnsi="Cambria Math"/>
            <w:sz w:val="22"/>
          </w:rPr>
          <m:rPr>
            <m:sty m:val="p"/>
          </m:rPr>
          <m:t>RAA</m:t>
        </m:r>
        <m:r>
          <w:rPr>
            <w:rFonts w:ascii="Cambria Math" w:hAnsi="Cambria Math"/>
            <w:sz w:val="22"/>
          </w:rPr>
          <m:rPr>
            <m:sty m:val="p"/>
          </m:rPr>
          <m:t>(</m:t>
        </m:r>
        <m:r>
          <w:rPr>
            <w:rFonts w:ascii="Cambria Math" w:hAnsi="Cambria Math"/>
            <w:sz w:val="22"/>
          </w:rPr>
          <m:rPr>
            <m:sty m:val="bi"/>
          </m:rPr>
          <m:t>X</m:t>
        </m:r>
        <m:r>
          <w:rPr>
            <w:rFonts w:ascii="Cambria Math" w:hAnsi="Cambria Math"/>
            <w:sz w:val="22"/>
          </w:rPr>
          <m:rPr>
            <m:sty m:val="p"/>
          </m:rPr>
          <m:t>)</m:t>
        </m:r>
        <m:r>
          <w:rPr>
            <w:rFonts w:ascii="Cambria Math" w:hAnsi="Cambria Math"/>
            <w:sz w:val="22"/>
          </w:rPr>
          <m:rPr>
            <m:sty m:val="p"/>
          </m:rPr>
          <m:t>=</m:t>
        </m:r>
        <m:r>
          <w:rPr>
            <w:rFonts w:ascii="Cambria Math" w:hAnsi="Cambria Math"/>
            <w:sz w:val="22"/>
          </w:rPr>
          <m:rPr>
            <m:sty m:val="bi"/>
          </m:rPr>
          <m:t>X</m:t>
        </m:r>
        <m:r>
          <w:rPr>
            <w:rFonts w:ascii="Cambria Math" w:hAnsi="Cambria Math"/>
            <w:sz w:val="22"/>
          </w:rPr>
          <m:rPr>
            <m:sty m:val="p"/>
          </m:rPr>
          <m:t>+</m:t>
        </m:r>
        <m:r>
          <w:rPr>
            <w:rFonts w:ascii="Cambria Math" w:hAnsi="Cambria Math"/>
            <w:sz w:val="22"/>
          </w:rPr>
          <m:rPr>
            <m:sty m:val="p"/>
          </m:rPr>
          <m:t>Concat</m:t>
        </m:r>
        <m:r>
          <w:rPr>
            <w:rFonts w:ascii="Cambria Math" w:hAnsi="Cambria Math"/>
            <w:sz w:val="22"/>
          </w:rPr>
          <m:rPr>
            <m:sty m:val="p"/>
          </m:rPr>
          <m:t>(</m:t>
        </m:r>
        <m:sSub>
          <m:e>
            <m:r>
              <w:rPr>
                <w:rFonts w:ascii="Cambria Math" w:hAnsi="Cambria Math"/>
                <w:sz w:val="22"/>
              </w:rPr>
              <m:rPr>
                <m:sty m:val="bi"/>
              </m:rPr>
              <m:t>O</m:t>
            </m:r>
          </m:e>
          <m:sub>
            <m:r>
              <w:rPr>
                <w:rFonts w:ascii="Cambria Math" w:hAnsi="Cambria Math"/>
                <w:sz w:val="22"/>
              </w:rPr>
              <m:t>1</m:t>
            </m:r>
          </m:sub>
        </m:sSub>
        <m:r>
          <w:rPr>
            <w:rFonts w:ascii="Cambria Math" w:hAnsi="Cambria Math"/>
            <w:sz w:val="22"/>
          </w:rPr>
          <m:rPr>
            <m:sty m:val="p"/>
          </m:rPr>
          <m:t>,</m:t>
        </m:r>
        <m:r>
          <w:rPr>
            <w:rFonts w:ascii="Cambria Math" w:hAnsi="Cambria Math"/>
            <w:sz w:val="22"/>
          </w:rPr>
          <m:rPr>
            <m:sty m:val="p"/>
          </m:rPr>
          <m:t>…</m:t>
        </m:r>
        <m:r>
          <w:rPr>
            <w:rFonts w:ascii="Cambria Math" w:hAnsi="Cambria Math"/>
            <w:sz w:val="22"/>
          </w:rPr>
          <m:rPr>
            <m:sty m:val="p"/>
          </m:rPr>
          <m:t>,</m:t>
        </m:r>
        <m:sSub>
          <m:e>
            <m:r>
              <w:rPr>
                <w:rFonts w:ascii="Cambria Math" w:hAnsi="Cambria Math"/>
                <w:sz w:val="22"/>
              </w:rPr>
              <m:rPr>
                <m:sty m:val="bi"/>
              </m:rPr>
              <m:t>O</m:t>
            </m:r>
          </m:e>
          <m:sub>
            <m:r>
              <w:rPr>
                <w:rFonts w:ascii="Cambria Math" w:hAnsi="Cambria Math"/>
                <w:sz w:val="22"/>
              </w:rPr>
              <m:t>h</m:t>
            </m:r>
          </m:sub>
        </m:sSub>
        <m:r>
          <w:rPr>
            <w:rFonts w:ascii="Cambria Math" w:hAnsi="Cambria Math"/>
            <w:sz w:val="22"/>
          </w:rPr>
          <m:rPr>
            <m:sty m:val="p"/>
          </m:rPr>
          <m:t>)</m:t>
        </m:r>
        <m:r>
          <w:rPr>
            <w:rFonts w:ascii="Cambria Math" w:hAnsi="Cambria Math"/>
            <w:sz w:val="22"/>
          </w:rPr>
          <m:rPr>
            <m:sty m:val="p"/>
          </m:rPr>
          <m:t>⊙</m:t>
        </m:r>
        <m:sSub>
          <m:e>
            <m:r>
              <w:rPr>
                <w:rFonts w:ascii="Cambria Math" w:hAnsi="Cambria Math"/>
                <w:sz w:val="22"/>
              </w:rPr>
              <m:rPr>
                <m:sty m:val="bi"/>
              </m:rPr>
              <m:t>s</m:t>
            </m:r>
          </m:e>
          <m:sub>
            <m:r>
              <w:rPr>
                <w:rFonts w:ascii="Cambria Math" w:hAnsi="Cambria Math"/>
                <w:sz w:val="22"/>
              </w:rPr>
              <m:t>o</m:t>
            </m:r>
          </m:sub>
        </m:sSub>
        <m:r>
          <w:rPr>
            <w:rFonts w:ascii="Cambria Math" w:hAnsi="Cambria Math"/>
            <w:sz w:val="22"/>
          </w:rPr>
          <m:rPr>
            <m:sty m:val="p"/>
          </m:rPr>
          <m:t>.</m:t>
        </m:r>
      </m:oMath>
      <w:r>
        <w:tab/>
        <w:t>(32)</w:t>
      </w:r>
      <w:bookmarkEnd w:id="1061"/>
      <w:bookmarkEnd w:id="1062"/>
    </w:p>
    <w:p>
      <w:pPr>
        <w:pStyle w:val="BodyText"/>
      </w:pPr>
      <w:r>
        <w:rPr>
          <w:rFonts w:hint="eastAsia"/>
        </w:rPr>
        <w:t xml:space="preserve">其中，</w:t>
      </w:r>
      <m:oMath>
        <m:r>
          <w:rPr>
            <w:rFonts w:ascii="Cambria Math" w:hAnsi="Cambria Math"/>
            <w:sz w:val="22"/>
          </w:rPr>
          <m:rPr>
            <m:sty m:val="p"/>
          </m:rPr>
          <m:t>Concat</m:t>
        </m:r>
        <m:r>
          <w:rPr>
            <w:rFonts w:ascii="Cambria Math" w:hAnsi="Cambria Math"/>
            <w:sz w:val="22"/>
          </w:rPr>
          <m:rPr>
            <m:sty m:val="p"/>
          </m:rPr>
          <m:t>(</m:t>
        </m:r>
        <m:r>
          <w:rPr>
            <w:rFonts w:ascii="Cambria Math" w:hAnsi="Cambria Math"/>
            <w:sz w:val="22"/>
          </w:rPr>
          <m:rPr>
            <m:sty m:val="p"/>
          </m:rPr>
          <m:t>⋅</m:t>
        </m:r>
        <m:r>
          <w:rPr>
            <w:rFonts w:ascii="Cambria Math" w:hAnsi="Cambria Math"/>
            <w:sz w:val="22"/>
          </w:rPr>
          <m:rPr>
            <m:sty m:val="p"/>
          </m:rPr>
          <m:t>)</m:t>
        </m:r>
      </m:oMath>
      <w:r>
        <w:rPr>
          <w:rFonts w:hint="eastAsia"/>
        </w:rPr>
        <w:t xml:space="preserve">表示沿特征维度拼接各注意力头的输出，</w:t>
      </w:r>
      <m:oMath>
        <m:sSub>
          <m:e>
            <m:r>
              <w:rPr>
                <w:rFonts w:ascii="Cambria Math" w:hAnsi="Cambria Math"/>
                <w:sz w:val="22"/>
              </w:rPr>
              <m:rPr>
                <m:sty m:val="bi"/>
              </m:rPr>
              <m:t>s</m:t>
            </m:r>
          </m:e>
          <m:sub>
            <m:r>
              <w:rPr>
                <w:rFonts w:ascii="Cambria Math" w:hAnsi="Cambria Math"/>
                <w:sz w:val="22"/>
              </w:rPr>
              <m:t>o</m:t>
            </m:r>
          </m:sub>
        </m:sSub>
        <m:r>
          <w:rPr>
            <w:rFonts w:ascii="Cambria Math" w:hAnsi="Cambria Math"/>
            <w:sz w:val="22"/>
          </w:rPr>
          <m:rPr>
            <m:sty m:val="p"/>
          </m:rPr>
          <m:t>∈</m:t>
        </m:r>
        <m:sSup>
          <m:e>
            <m:r>
              <w:rPr>
                <w:rFonts w:ascii="Cambria Math" w:hAnsi="Cambria Math"/>
                <w:sz w:val="22"/>
              </w:rPr>
              <m:rPr>
                <m:scr m:val="double-struck"/>
                <m:sty m:val="p"/>
              </m:rPr>
              <m:t>R</m:t>
            </m:r>
          </m:e>
          <m:sup>
            <m:r>
              <w:rPr>
                <w:rFonts w:ascii="Cambria Math" w:hAnsi="Cambria Math"/>
                <w:sz w:val="22"/>
              </w:rPr>
              <m:t>d</m:t>
            </m:r>
          </m:sup>
        </m:sSup>
      </m:oMath>
      <w:r>
        <w:rPr>
          <w:rFonts w:hint="eastAsia"/>
        </w:rPr>
        <w:t xml:space="preserve">为可学习输出缩放向量。</w:t>
      </w:r>
    </w:p>
    <w:p>
      <w:pPr>
        <w:pStyle w:val="BodyText"/>
      </w:pPr>
      <w:r>
        <w:rPr>
          <w:rFonts w:hint="eastAsia"/>
        </w:rPr>
        <w:t xml:space="preserve">RAA在聚合与广播阶段分别生成</w:t>
      </w:r>
      <m:oMath>
        <m:sSub>
          <m:e>
            <m:r>
              <w:rPr>
                <w:rFonts w:ascii="Cambria Math" w:hAnsi="Cambria Math"/>
                <w:sz w:val="22"/>
              </w:rPr>
              <m:t>n</m:t>
            </m:r>
          </m:e>
          <m:sub>
            <m:r>
              <w:rPr>
                <w:rFonts w:ascii="Cambria Math" w:hAnsi="Cambria Math"/>
                <w:sz w:val="22"/>
              </w:rPr>
              <m:t>a</m:t>
            </m:r>
          </m:sub>
        </m:sSub>
        <m:r>
          <w:rPr>
            <w:rFonts w:ascii="Cambria Math" w:hAnsi="Cambria Math"/>
            <w:sz w:val="22"/>
          </w:rPr>
          <m:rPr>
            <m:sty m:val="p"/>
          </m:rPr>
          <m:t>×</m:t>
        </m:r>
        <m:r>
          <w:rPr>
            <w:rFonts w:ascii="Cambria Math" w:hAnsi="Cambria Math"/>
            <w:sz w:val="22"/>
          </w:rPr>
          <m:t>N</m:t>
        </m:r>
      </m:oMath>
      <w:r>
        <w:rPr>
          <w:rFonts w:hint="eastAsia"/>
        </w:rPr>
        <w:t xml:space="preserve">和</w:t>
      </w:r>
      <m:oMath>
        <m:r>
          <w:rPr>
            <w:rFonts w:ascii="Cambria Math" w:hAnsi="Cambria Math"/>
            <w:sz w:val="22"/>
          </w:rPr>
          <m:t>N</m:t>
        </m:r>
        <m:r>
          <w:rPr>
            <w:rFonts w:ascii="Cambria Math" w:hAnsi="Cambria Math"/>
            <w:sz w:val="22"/>
          </w:rPr>
          <m:rPr>
            <m:sty m:val="p"/>
          </m:rPr>
          <m:t>×</m:t>
        </m:r>
        <m:sSub>
          <m:e>
            <m:r>
              <w:rPr>
                <w:rFonts w:ascii="Cambria Math" w:hAnsi="Cambria Math"/>
                <w:sz w:val="22"/>
              </w:rPr>
              <m:t>n</m:t>
            </m:r>
          </m:e>
          <m:sub>
            <m:r>
              <w:rPr>
                <w:rFonts w:ascii="Cambria Math" w:hAnsi="Cambria Math"/>
                <w:sz w:val="22"/>
              </w:rPr>
              <m:t>a</m:t>
            </m:r>
          </m:sub>
        </m:sSub>
      </m:oMath>
      <w:r>
        <w:rPr>
          <w:rFonts w:hint="eastAsia"/>
        </w:rPr>
        <w:t xml:space="preserve">相关性矩阵。由此，单个注意力头的计算复杂度为</w:t>
      </w:r>
      <m:oMath>
        <m:r>
          <w:rPr>
            <w:rFonts w:ascii="Cambria Math" w:hAnsi="Cambria Math"/>
            <w:sz w:val="22"/>
          </w:rPr>
          <m:t>O</m:t>
        </m:r>
        <m:r>
          <w:rPr>
            <w:rFonts w:ascii="Cambria Math" w:hAnsi="Cambria Math"/>
            <w:sz w:val="22"/>
          </w:rPr>
          <m:rPr>
            <m:sty m:val="p"/>
          </m:rPr>
          <m:t>(</m:t>
        </m:r>
        <m:r>
          <w:rPr>
            <w:rFonts w:ascii="Cambria Math" w:hAnsi="Cambria Math"/>
            <w:sz w:val="22"/>
          </w:rPr>
          <m:t>N</m:t>
        </m:r>
        <m:sSub>
          <m:e>
            <m:r>
              <w:rPr>
                <w:rFonts w:ascii="Cambria Math" w:hAnsi="Cambria Math"/>
                <w:sz w:val="22"/>
              </w:rPr>
              <m:t>n</m:t>
            </m:r>
          </m:e>
          <m:sub>
            <m:r>
              <w:rPr>
                <w:rFonts w:ascii="Cambria Math" w:hAnsi="Cambria Math"/>
                <w:sz w:val="22"/>
              </w:rPr>
              <m:t>a</m:t>
            </m:r>
          </m:sub>
        </m:sSub>
        <m:sSub>
          <m:e>
            <m:r>
              <w:rPr>
                <w:rFonts w:ascii="Cambria Math" w:hAnsi="Cambria Math"/>
                <w:sz w:val="22"/>
              </w:rPr>
              <m:t>d</m:t>
            </m:r>
          </m:e>
          <m:sub>
            <m:r>
              <w:rPr>
                <w:rFonts w:ascii="Cambria Math" w:hAnsi="Cambria Math"/>
                <w:sz w:val="22"/>
              </w:rPr>
              <m:t>h</m:t>
            </m:r>
          </m:sub>
        </m:sSub>
        <m:r>
          <w:rPr>
            <w:rFonts w:ascii="Cambria Math" w:hAnsi="Cambria Math"/>
            <w:sz w:val="22"/>
          </w:rPr>
          <m:rPr>
            <m:sty m:val="p"/>
          </m:rPr>
          <m:t>)</m:t>
        </m:r>
      </m:oMath>
      <w:r>
        <w:rPr>
          <w:rFonts w:hint="eastAsia"/>
        </w:rPr>
        <w:t xml:space="preserve">，</w:t>
      </w:r>
      <m:oMath>
        <m:r>
          <w:rPr>
            <w:rFonts w:ascii="Cambria Math" w:hAnsi="Cambria Math"/>
            <w:sz w:val="22"/>
          </w:rPr>
          <m:t>h</m:t>
        </m:r>
      </m:oMath>
      <w:r>
        <w:rPr>
          <w:rFonts w:hint="eastAsia"/>
        </w:rPr>
        <w:t xml:space="preserve">个注意力头的总计算复杂度为</w:t>
      </w:r>
      <m:oMath>
        <m:r>
          <w:rPr>
            <w:rFonts w:ascii="Cambria Math" w:hAnsi="Cambria Math"/>
            <w:sz w:val="22"/>
          </w:rPr>
          <m:t>O</m:t>
        </m:r>
        <m:r>
          <w:rPr>
            <w:rFonts w:ascii="Cambria Math" w:hAnsi="Cambria Math"/>
            <w:sz w:val="22"/>
          </w:rPr>
          <m:rPr>
            <m:sty m:val="p"/>
          </m:rPr>
          <m:t>(</m:t>
        </m:r>
        <m:r>
          <w:rPr>
            <w:rFonts w:ascii="Cambria Math" w:hAnsi="Cambria Math"/>
            <w:sz w:val="22"/>
          </w:rPr>
          <m:t>N</m:t>
        </m:r>
        <m:sSub>
          <m:e>
            <m:r>
              <w:rPr>
                <w:rFonts w:ascii="Cambria Math" w:hAnsi="Cambria Math"/>
                <w:sz w:val="22"/>
              </w:rPr>
              <m:t>n</m:t>
            </m:r>
          </m:e>
          <m:sub>
            <m:r>
              <w:rPr>
                <w:rFonts w:ascii="Cambria Math" w:hAnsi="Cambria Math"/>
                <w:sz w:val="22"/>
              </w:rPr>
              <m:t>a</m:t>
            </m:r>
          </m:sub>
        </m:sSub>
        <m:r>
          <w:rPr>
            <w:rFonts w:ascii="Cambria Math" w:hAnsi="Cambria Math"/>
            <w:sz w:val="22"/>
          </w:rPr>
          <m:t>d</m:t>
        </m:r>
        <m:r>
          <w:rPr>
            <w:rFonts w:ascii="Cambria Math" w:hAnsi="Cambria Math"/>
            <w:sz w:val="22"/>
          </w:rPr>
          <m:rPr>
            <m:sty m:val="p"/>
          </m:rPr>
          <m:t>)</m:t>
        </m:r>
      </m:oMath>
      <w:r>
        <w:rPr>
          <w:rFonts w:hint="eastAsia"/>
        </w:rPr>
        <w:t xml:space="preserve">，相关性权重的存储规模为</w:t>
      </w:r>
      <m:oMath>
        <m:r>
          <w:rPr>
            <w:rFonts w:ascii="Cambria Math" w:hAnsi="Cambria Math"/>
            <w:sz w:val="22"/>
          </w:rPr>
          <m:t>O</m:t>
        </m:r>
        <m:r>
          <w:rPr>
            <w:rFonts w:ascii="Cambria Math" w:hAnsi="Cambria Math"/>
            <w:sz w:val="22"/>
          </w:rPr>
          <m:rPr>
            <m:sty m:val="p"/>
          </m:rPr>
          <m:t>(</m:t>
        </m:r>
        <m:r>
          <w:rPr>
            <w:rFonts w:ascii="Cambria Math" w:hAnsi="Cambria Math"/>
            <w:sz w:val="22"/>
          </w:rPr>
          <m:t>h</m:t>
        </m:r>
        <m:r>
          <w:rPr>
            <w:rFonts w:ascii="Cambria Math" w:hAnsi="Cambria Math"/>
            <w:sz w:val="22"/>
          </w:rPr>
          <m:t>N</m:t>
        </m:r>
        <m:sSub>
          <m:e>
            <m:r>
              <w:rPr>
                <w:rFonts w:ascii="Cambria Math" w:hAnsi="Cambria Math"/>
                <w:sz w:val="22"/>
              </w:rPr>
              <m:t>n</m:t>
            </m:r>
          </m:e>
          <m:sub>
            <m:r>
              <w:rPr>
                <w:rFonts w:ascii="Cambria Math" w:hAnsi="Cambria Math"/>
                <w:sz w:val="22"/>
              </w:rPr>
              <m:t>a</m:t>
            </m:r>
          </m:sub>
        </m:sSub>
        <m:r>
          <w:rPr>
            <w:rFonts w:ascii="Cambria Math" w:hAnsi="Cambria Math"/>
            <w:sz w:val="22"/>
          </w:rPr>
          <m:rPr>
            <m:sty m:val="p"/>
          </m:rPr>
          <m:t>)</m:t>
        </m:r>
      </m:oMath>
      <w:r>
        <w:rPr>
          <w:rFonts w:hint="eastAsia"/>
        </w:rPr>
        <w:t xml:space="preserve">。当</w:t>
      </w:r>
      <m:oMath>
        <m:r>
          <w:rPr>
            <w:rFonts w:ascii="Cambria Math" w:hAnsi="Cambria Math"/>
            <w:sz w:val="22"/>
          </w:rPr>
          <m:t>h</m:t>
        </m:r>
      </m:oMath>
      <w:r>
        <w:rPr>
          <w:rFonts w:hint="eastAsia"/>
        </w:rPr>
        <w:t xml:space="preserve">和</w:t>
      </w:r>
      <m:oMath>
        <m:sSub>
          <m:e>
            <m:r>
              <w:rPr>
                <w:rFonts w:ascii="Cambria Math" w:hAnsi="Cambria Math"/>
                <w:sz w:val="22"/>
              </w:rPr>
              <m:t>n</m:t>
            </m:r>
          </m:e>
          <m:sub>
            <m:r>
              <w:rPr>
                <w:rFonts w:ascii="Cambria Math" w:hAnsi="Cambria Math"/>
                <w:sz w:val="22"/>
              </w:rPr>
              <m:t>a</m:t>
            </m:r>
          </m:sub>
        </m:sSub>
      </m:oMath>
      <w:r>
        <w:rPr>
          <w:rFonts w:hint="eastAsia"/>
        </w:rPr>
        <w:t xml:space="preserve">固定时，计算量与存储量均随序列长度</w:t>
      </w:r>
      <m:oMath>
        <m:r>
          <w:rPr>
            <w:rFonts w:ascii="Cambria Math" w:hAnsi="Cambria Math"/>
            <w:sz w:val="22"/>
          </w:rPr>
          <m:t>N</m:t>
        </m:r>
      </m:oMath>
      <w:r>
        <w:rPr>
          <w:rFonts w:hint="eastAsia"/>
        </w:rPr>
        <w:t xml:space="preserve">线性增长。</w:t>
      </w:r>
    </w:p>
    <w:p>
      <w:pPr>
        <w:pStyle w:val="BodyText"/>
      </w:pPr>
      <w:r>
        <w:rPr>
          <w:rFonts w:hint="eastAsia"/>
          <w:b/>
          <w:bCs/>
        </w:rPr>
        <w:t xml:space="preserve">（2）局部—全局特征融合。</w:t>
      </w:r>
    </w:p>
    <w:p>
      <w:pPr>
        <w:pStyle w:val="BodyText"/>
      </w:pPr>
      <w:r>
        <w:rPr>
          <w:rFonts w:hint="eastAsia"/>
        </w:rPr>
        <w:t xml:space="preserve">输入特征</w:t>
      </w:r>
      <m:oMath>
        <m:r>
          <w:rPr>
            <w:rFonts w:ascii="Cambria Math" w:hAnsi="Cambria Math"/>
            <w:sz w:val="22"/>
          </w:rPr>
          <m:rPr>
            <m:sty m:val="bi"/>
          </m:rPr>
          <m:t>X</m:t>
        </m:r>
      </m:oMath>
      <w:r>
        <w:rPr>
          <w:rFonts w:hint="eastAsia"/>
        </w:rPr>
        <w:t xml:space="preserve">首先经DSConv-S得到局部表示</w:t>
      </w:r>
      <m:oMath>
        <m:sSub>
          <m:e>
            <m:r>
              <w:rPr>
                <w:rFonts w:ascii="Cambria Math" w:hAnsi="Cambria Math"/>
                <w:sz w:val="22"/>
              </w:rPr>
              <m:rPr>
                <m:sty m:val="bi"/>
              </m:rPr>
              <m:t>X</m:t>
            </m:r>
          </m:e>
          <m:sub>
            <m:r>
              <w:rPr>
                <w:rFonts w:ascii="Cambria Math" w:hAnsi="Cambria Math"/>
                <w:sz w:val="22"/>
              </w:rPr>
              <m:t>S</m:t>
            </m:r>
          </m:sub>
        </m:sSub>
        <m:r>
          <w:rPr>
            <w:rFonts w:ascii="Cambria Math" w:hAnsi="Cambria Math"/>
            <w:sz w:val="22"/>
          </w:rPr>
          <m:rPr>
            <m:sty m:val="p"/>
          </m:rPr>
          <m:t>=</m:t>
        </m:r>
        <m:r>
          <w:rPr>
            <w:rFonts w:ascii="Cambria Math" w:hAnsi="Cambria Math"/>
            <w:sz w:val="22"/>
          </w:rPr>
          <m:rPr>
            <m:sty m:val="p"/>
          </m:rPr>
          <m:t>DSConv-S</m:t>
        </m:r>
        <m:r>
          <w:rPr>
            <w:rFonts w:ascii="Cambria Math" w:hAnsi="Cambria Math"/>
            <w:sz w:val="22"/>
          </w:rPr>
          <m:rPr>
            <m:sty m:val="p"/>
          </m:rPr>
          <m:t>(</m:t>
        </m:r>
        <m:r>
          <w:rPr>
            <w:rFonts w:ascii="Cambria Math" w:hAnsi="Cambria Math"/>
            <w:sz w:val="22"/>
          </w:rPr>
          <m:rPr>
            <m:sty m:val="bi"/>
          </m:rPr>
          <m:t>X</m:t>
        </m:r>
        <m:r>
          <w:rPr>
            <w:rFonts w:ascii="Cambria Math" w:hAnsi="Cambria Math"/>
            <w:sz w:val="22"/>
          </w:rPr>
          <m:rPr>
            <m:sty m:val="p"/>
          </m:rPr>
          <m:t>)</m:t>
        </m:r>
      </m:oMath>
      <w:r>
        <w:rPr>
          <w:rFonts w:hint="eastAsia"/>
        </w:rPr>
        <w:t xml:space="preserve">，随后分别进入局部分支和RAA分支。局部分支对</w:t>
      </w:r>
      <m:oMath>
        <m:sSub>
          <m:e>
            <m:r>
              <w:rPr>
                <w:rFonts w:ascii="Cambria Math" w:hAnsi="Cambria Math"/>
                <w:sz w:val="22"/>
              </w:rPr>
              <m:rPr>
                <m:sty m:val="bi"/>
              </m:rPr>
              <m:t>X</m:t>
            </m:r>
          </m:e>
          <m:sub>
            <m:r>
              <w:rPr>
                <w:rFonts w:ascii="Cambria Math" w:hAnsi="Cambria Math"/>
                <w:sz w:val="22"/>
              </w:rPr>
              <m:t>S</m:t>
            </m:r>
          </m:sub>
        </m:sSub>
      </m:oMath>
      <w:r>
        <w:rPr>
          <w:rFonts w:hint="eastAsia"/>
        </w:rPr>
        <w:t xml:space="preserve">进行层归一化，RAA分支通过智能体聚合与信息广播建立跨位置特征交互。SLFA的融合输出</w:t>
      </w:r>
      <m:oMath>
        <m:sSub>
          <m:e>
            <m:r>
              <w:rPr>
                <w:rFonts w:ascii="Cambria Math" w:hAnsi="Cambria Math"/>
                <w:sz w:val="22"/>
              </w:rPr>
              <m:rPr>
                <m:sty m:val="bi"/>
              </m:rPr>
              <m:t>X</m:t>
            </m:r>
          </m:e>
          <m:sub>
            <m:r>
              <w:rPr>
                <w:rFonts w:ascii="Cambria Math" w:hAnsi="Cambria Math"/>
                <w:sz w:val="22"/>
              </w:rPr>
              <m:t>F</m:t>
            </m:r>
          </m:sub>
        </m:sSub>
      </m:oMath>
      <w:r>
        <w:rPr>
          <w:rFonts w:hint="eastAsia"/>
        </w:rPr>
        <w:t xml:space="preserve">计算如下：</w:t>
      </w:r>
    </w:p>
    <w:p>
      <w:pPr>
        <w:pStyle w:val="BodyText"/>
        <w:keepLines/>
        <w:tabs>
          <w:tab w:pos="4791" w:val="center"/>
          <w:tab w:pos="9581" w:val="right"/>
        </w:tabs>
        <w:spacing w:before="100" w:after="100"/>
        <w:ind w:firstLine="0"/>
        <w:jc w:val="left"/>
      </w:pPr>
      <w:bookmarkStart w:id="1064" w:name="equation_33"/>
      <w:bookmarkStart w:id="1063" w:name="b_eq_slfa_fusion"/>
      <w:r>
        <w:tab/>
      </w:r>
      <m:oMath>
        <m:sSub>
          <m:e>
            <m:r>
              <w:rPr>
                <w:rFonts w:ascii="Cambria Math" w:hAnsi="Cambria Math"/>
                <w:sz w:val="22"/>
              </w:rPr>
              <m:rPr>
                <m:sty m:val="bi"/>
              </m:rPr>
              <m:t>X</m:t>
            </m:r>
          </m:e>
          <m:sub>
            <m:r>
              <w:rPr>
                <w:rFonts w:ascii="Cambria Math" w:hAnsi="Cambria Math"/>
                <w:sz w:val="22"/>
              </w:rPr>
              <m:t>F</m:t>
            </m:r>
          </m:sub>
        </m:sSub>
        <m:r>
          <w:rPr>
            <w:rFonts w:ascii="Cambria Math" w:hAnsi="Cambria Math"/>
            <w:sz w:val="22"/>
          </w:rPr>
          <m:rPr>
            <m:sty m:val="p"/>
          </m:rPr>
          <m:t>=</m:t>
        </m:r>
        <m:r>
          <w:rPr>
            <w:rFonts w:ascii="Cambria Math" w:hAnsi="Cambria Math"/>
            <w:sz w:val="22"/>
          </w:rPr>
          <m:rPr>
            <m:sty m:val="p"/>
          </m:rPr>
          <m:t>LN</m:t>
        </m:r>
        <m:r>
          <w:rPr>
            <w:rFonts w:ascii="Cambria Math" w:hAnsi="Cambria Math"/>
            <w:sz w:val="22"/>
          </w:rPr>
          <m:rPr>
            <m:sty m:val="p"/>
          </m:rPr>
          <m:t>(</m:t>
        </m:r>
        <m:sSub>
          <m:e>
            <m:r>
              <w:rPr>
                <w:rFonts w:ascii="Cambria Math" w:hAnsi="Cambria Math"/>
                <w:sz w:val="22"/>
              </w:rPr>
              <m:rPr>
                <m:sty m:val="bi"/>
              </m:rPr>
              <m:t>X</m:t>
            </m:r>
          </m:e>
          <m:sub>
            <m:r>
              <w:rPr>
                <w:rFonts w:ascii="Cambria Math" w:hAnsi="Cambria Math"/>
                <w:sz w:val="22"/>
              </w:rPr>
              <m:t>S</m:t>
            </m:r>
          </m:sub>
        </m:sSub>
        <m:r>
          <w:rPr>
            <w:rFonts w:ascii="Cambria Math" w:hAnsi="Cambria Math"/>
            <w:sz w:val="22"/>
          </w:rPr>
          <m:rPr>
            <m:sty m:val="p"/>
          </m:rPr>
          <m:t>)</m:t>
        </m:r>
        <m:r>
          <w:rPr>
            <w:rFonts w:ascii="Cambria Math" w:hAnsi="Cambria Math"/>
            <w:sz w:val="22"/>
          </w:rPr>
          <m:rPr>
            <m:sty m:val="p"/>
          </m:rPr>
          <m:t>+</m:t>
        </m:r>
        <m:sSub>
          <m:e>
            <m:r>
              <w:rPr>
                <w:rFonts w:ascii="Cambria Math" w:hAnsi="Cambria Math"/>
                <w:sz w:val="22"/>
              </w:rPr>
              <m:t>W</m:t>
            </m:r>
          </m:e>
          <m:sub>
            <m:r>
              <w:rPr>
                <w:rFonts w:ascii="Cambria Math" w:hAnsi="Cambria Math"/>
                <w:sz w:val="22"/>
              </w:rPr>
              <m:t>a</m:t>
            </m:r>
          </m:sub>
        </m:sSub>
        <m:r>
          <w:rPr>
            <w:rFonts w:ascii="Cambria Math" w:hAnsi="Cambria Math"/>
            <w:sz w:val="22"/>
          </w:rPr>
          <m:rPr>
            <m:sty m:val="p"/>
          </m:rPr>
          <m:t>Dropout</m:t>
        </m:r>
        <m:d>
          <m:dPr>
            <m:begChr m:val="("/>
            <m:sepChr m:val=""/>
            <m:endChr m:val=")"/>
            <m:grow/>
          </m:dPr>
          <m:e>
            <m:r>
              <w:rPr>
                <w:rFonts w:ascii="Cambria Math" w:hAnsi="Cambria Math"/>
                <w:sz w:val="22"/>
              </w:rPr>
              <m:rPr>
                <m:sty m:val="p"/>
              </m:rPr>
              <m:t>RAA</m:t>
            </m:r>
            <m:r>
              <w:rPr>
                <w:rFonts w:ascii="Cambria Math" w:hAnsi="Cambria Math"/>
                <w:sz w:val="22"/>
              </w:rPr>
              <m:rPr>
                <m:sty m:val="p"/>
              </m:rPr>
              <m:t>(</m:t>
            </m:r>
            <m:sSub>
              <m:e>
                <m:r>
                  <w:rPr>
                    <w:rFonts w:ascii="Cambria Math" w:hAnsi="Cambria Math"/>
                    <w:sz w:val="22"/>
                  </w:rPr>
                  <m:rPr>
                    <m:sty m:val="bi"/>
                  </m:rPr>
                  <m:t>X</m:t>
                </m:r>
              </m:e>
              <m:sub>
                <m:r>
                  <w:rPr>
                    <w:rFonts w:ascii="Cambria Math" w:hAnsi="Cambria Math"/>
                    <w:sz w:val="22"/>
                  </w:rPr>
                  <m:t>S</m:t>
                </m:r>
              </m:sub>
            </m:sSub>
            <m:r>
              <w:rPr>
                <w:rFonts w:ascii="Cambria Math" w:hAnsi="Cambria Math"/>
                <w:sz w:val="22"/>
              </w:rPr>
              <m:rPr>
                <m:sty m:val="p"/>
              </m:rPr>
              <m:t>)</m:t>
            </m:r>
          </m:e>
        </m:d>
        <m:r>
          <w:rPr>
            <w:rFonts w:ascii="Cambria Math" w:hAnsi="Cambria Math"/>
            <w:sz w:val="22"/>
          </w:rPr>
          <m:rPr>
            <m:sty m:val="p"/>
          </m:rPr>
          <m:t>.</m:t>
        </m:r>
      </m:oMath>
      <w:r>
        <w:tab/>
        <w:t>(33)</w:t>
      </w:r>
      <w:bookmarkEnd w:id="1063"/>
      <w:bookmarkEnd w:id="1064"/>
    </w:p>
    <w:p>
      <w:pPr>
        <w:pStyle w:val="BodyText"/>
      </w:pPr>
      <w:r>
        <w:rPr>
          <w:rFonts w:hint="eastAsia"/>
        </w:rPr>
        <w:t xml:space="preserve">其中，</w:t>
      </w:r>
      <m:oMath>
        <m:sSub>
          <m:e>
            <m:r>
              <w:rPr>
                <w:rFonts w:ascii="Cambria Math" w:hAnsi="Cambria Math"/>
                <w:sz w:val="22"/>
              </w:rPr>
              <m:rPr>
                <m:sty m:val="bi"/>
              </m:rPr>
              <m:t>X</m:t>
            </m:r>
          </m:e>
          <m:sub>
            <m:r>
              <w:rPr>
                <w:rFonts w:ascii="Cambria Math" w:hAnsi="Cambria Math"/>
                <w:sz w:val="22"/>
              </w:rPr>
              <m:t>F</m:t>
            </m:r>
          </m:sub>
        </m:sSub>
      </m:oMath>
      <w:r>
        <w:rPr>
          <w:rFonts w:hint="eastAsia"/>
        </w:rPr>
        <w:t xml:space="preserve">表示SLFA的融合输出，</w:t>
      </w:r>
      <m:oMath>
        <m:r>
          <w:rPr>
            <w:rFonts w:ascii="Cambria Math" w:hAnsi="Cambria Math"/>
            <w:sz w:val="22"/>
          </w:rPr>
          <m:rPr>
            <m:sty m:val="p"/>
          </m:rPr>
          <m:t>LN</m:t>
        </m:r>
        <m:r>
          <w:rPr>
            <w:rFonts w:ascii="Cambria Math" w:hAnsi="Cambria Math"/>
            <w:sz w:val="22"/>
          </w:rPr>
          <m:rPr>
            <m:sty m:val="p"/>
          </m:rPr>
          <m:t>(</m:t>
        </m:r>
        <m:sSub>
          <m:e>
            <m:r>
              <w:rPr>
                <w:rFonts w:ascii="Cambria Math" w:hAnsi="Cambria Math"/>
                <w:sz w:val="22"/>
              </w:rPr>
              <m:rPr>
                <m:sty m:val="bi"/>
              </m:rPr>
              <m:t>X</m:t>
            </m:r>
          </m:e>
          <m:sub>
            <m:r>
              <w:rPr>
                <w:rFonts w:ascii="Cambria Math" w:hAnsi="Cambria Math"/>
                <w:sz w:val="22"/>
              </w:rPr>
              <m:t>S</m:t>
            </m:r>
          </m:sub>
        </m:sSub>
        <m:r>
          <w:rPr>
            <w:rFonts w:ascii="Cambria Math" w:hAnsi="Cambria Math"/>
            <w:sz w:val="22"/>
          </w:rPr>
          <m:rPr>
            <m:sty m:val="p"/>
          </m:rPr>
          <m:t>)</m:t>
        </m:r>
      </m:oMath>
      <w:r>
        <w:rPr>
          <w:rFonts w:hint="eastAsia"/>
        </w:rPr>
        <w:t xml:space="preserve">为局部分支的归一化表示，</w:t>
      </w:r>
      <m:oMath>
        <m:r>
          <w:rPr>
            <w:rFonts w:ascii="Cambria Math" w:hAnsi="Cambria Math"/>
            <w:sz w:val="22"/>
          </w:rPr>
          <m:rPr>
            <m:sty m:val="p"/>
          </m:rPr>
          <m:t>RAA</m:t>
        </m:r>
        <m:r>
          <w:rPr>
            <w:rFonts w:ascii="Cambria Math" w:hAnsi="Cambria Math"/>
            <w:sz w:val="22"/>
          </w:rPr>
          <m:rPr>
            <m:sty m:val="p"/>
          </m:rPr>
          <m:t>(</m:t>
        </m:r>
        <m:sSub>
          <m:e>
            <m:r>
              <w:rPr>
                <w:rFonts w:ascii="Cambria Math" w:hAnsi="Cambria Math"/>
                <w:sz w:val="22"/>
              </w:rPr>
              <m:rPr>
                <m:sty m:val="bi"/>
              </m:rPr>
              <m:t>X</m:t>
            </m:r>
          </m:e>
          <m:sub>
            <m:r>
              <w:rPr>
                <w:rFonts w:ascii="Cambria Math" w:hAnsi="Cambria Math"/>
                <w:sz w:val="22"/>
              </w:rPr>
              <m:t>S</m:t>
            </m:r>
          </m:sub>
        </m:sSub>
        <m:r>
          <w:rPr>
            <w:rFonts w:ascii="Cambria Math" w:hAnsi="Cambria Math"/>
            <w:sz w:val="22"/>
          </w:rPr>
          <m:rPr>
            <m:sty m:val="p"/>
          </m:rPr>
          <m:t>)</m:t>
        </m:r>
      </m:oMath>
      <w:r>
        <w:rPr>
          <w:rFonts w:hint="eastAsia"/>
        </w:rPr>
        <w:t xml:space="preserve">为RAA分支输出；</w:t>
      </w:r>
      <m:oMath>
        <m:r>
          <w:rPr>
            <w:rFonts w:ascii="Cambria Math" w:hAnsi="Cambria Math"/>
            <w:sz w:val="22"/>
          </w:rPr>
          <m:rPr>
            <m:sty m:val="p"/>
          </m:rPr>
          <m:t>Dropout</m:t>
        </m:r>
        <m:r>
          <w:rPr>
            <w:rFonts w:ascii="Cambria Math" w:hAnsi="Cambria Math"/>
            <w:sz w:val="22"/>
          </w:rPr>
          <m:rPr>
            <m:sty m:val="p"/>
          </m:rPr>
          <m:t>(</m:t>
        </m:r>
        <m:r>
          <w:rPr>
            <w:rFonts w:ascii="Cambria Math" w:hAnsi="Cambria Math"/>
            <w:sz w:val="22"/>
          </w:rPr>
          <m:rPr>
            <m:sty m:val="p"/>
          </m:rPr>
          <m:t>⋅</m:t>
        </m:r>
        <m:r>
          <w:rPr>
            <w:rFonts w:ascii="Cambria Math" w:hAnsi="Cambria Math"/>
            <w:sz w:val="22"/>
          </w:rPr>
          <m:rPr>
            <m:sty m:val="p"/>
          </m:rPr>
          <m:t>)</m:t>
        </m:r>
      </m:oMath>
      <w:r>
        <w:rPr>
          <w:rFonts w:hint="eastAsia"/>
        </w:rPr>
        <w:t xml:space="preserve">用于训练阶段的正则化[</w:t>
      </w:r>
      <w:hyperlink w:anchor="b_ref75">
        <w:r>
          <w:rPr>
            <w:rStyle w:val="Hyperlink"/>
          </w:rPr>
          <w:t xml:space="preserve">75</w:t>
        </w:r>
      </w:hyperlink>
      <w:r>
        <w:rPr>
          <w:rFonts w:hint="eastAsia"/>
        </w:rPr>
        <w:t xml:space="preserve">]，</w:t>
      </w:r>
      <m:oMath>
        <m:sSub>
          <m:e>
            <m:r>
              <w:rPr>
                <w:rFonts w:ascii="Cambria Math" w:hAnsi="Cambria Math"/>
                <w:sz w:val="22"/>
              </w:rPr>
              <m:t>W</m:t>
            </m:r>
          </m:e>
          <m:sub>
            <m:r>
              <w:rPr>
                <w:rFonts w:ascii="Cambria Math" w:hAnsi="Cambria Math"/>
                <w:sz w:val="22"/>
              </w:rPr>
              <m:t>a</m:t>
            </m:r>
          </m:sub>
        </m:sSub>
      </m:oMath>
      <w:r>
        <w:rPr>
          <w:rFonts w:hint="eastAsia"/>
        </w:rPr>
        <w:t xml:space="preserve">为调节RAA分支贡献的可学习缩放系数。</w:t>
      </w:r>
    </w:p>
    <w:p>
      <w:pPr>
        <w:pStyle w:val="BodyText"/>
      </w:pPr>
      <w:r>
        <w:rPr>
          <w:rFonts w:hint="eastAsia"/>
        </w:rPr>
        <w:t xml:space="preserve">这种加性连接保留了DSConv-S提取的局部退化特征，并融合RAA建立的跨位置上下文，在形成局部—全局联合表示的同时，保持关于序列长度</w:t>
      </w:r>
      <m:oMath>
        <m:r>
          <w:rPr>
            <w:rFonts w:ascii="Cambria Math" w:hAnsi="Cambria Math"/>
            <w:sz w:val="22"/>
          </w:rPr>
          <m:t>N</m:t>
        </m:r>
      </m:oMath>
      <w:r>
        <w:rPr>
          <w:rFonts w:hint="eastAsia"/>
        </w:rPr>
        <w:t xml:space="preserve">的线性计算复杂度。</w:t>
      </w:r>
    </w:p>
    <w:p>
      <w:pPr>
        <w:pStyle w:val="BodyText"/>
        <w:keepNext/>
        <w:keepLines/>
        <w:spacing w:before="100" w:after="80"/>
        <w:ind w:firstLine="0"/>
        <w:jc w:val="center"/>
      </w:pPr>
      <w:bookmarkStart w:id="1065" w:name="b_fig_3_3"/>
      <w:r>
        <w:drawing>
          <wp:inline>
            <wp:extent cx="6084000" cy="2292998"/>
            <wp:docPr id="12" name="Picture 12"/>
            <wp:cNvGraphicFramePr>
              <a:graphicFrameLocks noChangeAspect="1"/>
            </wp:cNvGraphicFramePr>
            <a:graphic>
              <a:graphicData uri="http://schemas.openxmlformats.org/drawingml/2006/picture">
                <pic:pic>
                  <pic:nvPicPr>
                    <pic:cNvPr id="0" name="fig3_3_attention_comparison.png"/>
                    <pic:cNvPicPr/>
                  </pic:nvPicPr>
                  <pic:blipFill>
                    <a:blip r:embed="rId20"/>
                    <a:stretch>
                      <a:fillRect/>
                    </a:stretch>
                  </pic:blipFill>
                  <pic:spPr>
                    <a:xfrm>
                      <a:off x="0" y="0"/>
                      <a:ext cx="6084000" cy="2292998"/>
                    </a:xfrm>
                    <a:prstGeom prst="rect"/>
                  </pic:spPr>
                </pic:pic>
              </a:graphicData>
            </a:graphic>
          </wp:inline>
        </w:drawing>
      </w:r>
      <w:bookmarkEnd w:id="1065"/>
    </w:p>
    <w:p>
      <w:pPr>
        <w:ind w:firstLine="0"/>
        <w:jc w:val="center"/>
      </w:pPr>
      <w:r>
        <w:rPr>
          <w:sz w:val="18"/>
        </w:rPr>
        <w:t>Fig. 7. Comparison of (a) Softmax attention, (b) linear attention, (c) Agent Attention, and (d) the proposed SLFA module.</w:t>
      </w:r>
    </w:p>
    <w:bookmarkEnd w:id="30"/>
    <w:bookmarkEnd w:id="31"/>
    <w:bookmarkEnd w:id="32"/>
    <w:bookmarkStart w:id="47" w:name="实验结果与分析"/>
    <w:p>
      <w:pPr>
        <w:pStyle w:val="Heading1"/>
      </w:pPr>
      <w:r>
        <w:rPr>
          <w:rStyle w:val="SectionNumber"/>
        </w:rPr>
        <w:t xml:space="preserve">4</w:t>
      </w:r>
      <w:r>
        <w:tab/>
      </w:r>
      <w:r>
        <w:rPr>
          <w:rFonts w:hint="eastAsia"/>
        </w:rPr>
        <w:t xml:space="preserve">实验结果与分析</w:t>
      </w:r>
    </w:p>
    <w:p>
      <w:pPr>
        <w:pStyle w:val="FirstParagraph"/>
      </w:pPr>
      <w:r>
        <w:rPr>
          <w:rFonts w:hint="eastAsia"/>
        </w:rPr>
        <w:t xml:space="preserve">本节基于四个公开电池数据集对所提</w:t>
      </w:r>
      <w:r>
        <w:t xml:space="preserve"> MS-AgentNet </w:t>
      </w:r>
      <w:r>
        <w:rPr>
          <w:rFonts w:hint="eastAsia"/>
        </w:rPr>
        <w:t xml:space="preserve">模型进行系统性评估。研究设置多组验证实验，主要包含健康指标有效性验证、模型性能对比分析、模块消融与复杂度评估以及跨域适应性测试。其中，健康指标有效性实验用于验证所选特征对电池退化模式的表征能力，可有效评价模型输入的合理性；模型对比实验用于检验所提方法在跨电池场景下的估计精度与稳定性；通过消融实验与复杂度分析可量化核心模块的贡献程度，并评估模型的计算效率；最终通过跨数据集迁移实验进一步考察模型对数据域差异的适应能力。综合上述多维度实验结果，可全面验证所提</w:t>
      </w:r>
      <w:r>
        <w:t xml:space="preserve"> MS-AgentNet </w:t>
      </w:r>
      <w:r>
        <w:rPr>
          <w:rFonts w:hint="eastAsia"/>
        </w:rPr>
        <w:t xml:space="preserve">模型在电池</w:t>
      </w:r>
      <w:r>
        <w:t xml:space="preserve"> SOH </w:t>
      </w:r>
      <w:r>
        <w:rPr>
          <w:rFonts w:hint="eastAsia"/>
        </w:rPr>
        <w:t xml:space="preserve">估计任务中的有效性与适用性。</w:t>
      </w:r>
    </w:p>
    <w:bookmarkStart w:id="33" w:name="评价指标"/>
    <w:p>
      <w:pPr>
        <w:pStyle w:val="Heading2"/>
      </w:pPr>
      <w:r>
        <w:rPr>
          <w:rStyle w:val="SectionNumber"/>
        </w:rPr>
        <w:t xml:space="preserve">4.1</w:t>
      </w:r>
      <w:r>
        <w:tab/>
      </w:r>
      <w:r>
        <w:rPr>
          <w:rFonts w:hint="eastAsia"/>
        </w:rPr>
        <w:t xml:space="preserve">评价指标</w:t>
      </w:r>
    </w:p>
    <w:p>
      <w:pPr>
        <w:pStyle w:val="FirstParagraph"/>
      </w:pPr>
      <w:r>
        <w:rPr>
          <w:rFonts w:hint="eastAsia"/>
        </w:rPr>
        <w:t xml:space="preserve">为评价模型的</w:t>
      </w:r>
      <w:r>
        <w:t xml:space="preserve"> SOH </w:t>
      </w:r>
      <w:r>
        <w:rPr>
          <w:rFonts w:hint="eastAsia"/>
        </w:rPr>
        <w:t xml:space="preserve">估计性能，选取平均绝对误差（MAE）、平均绝对百分比误差（MAPE）、均方根误差（RMSE）和决定系数（R²）四项常用指标[</w:t>
      </w:r>
      <w:hyperlink w:anchor="b_ref76">
        <w:r>
          <w:rPr>
            <w:rStyle w:val="Hyperlink"/>
          </w:rPr>
          <w:t xml:space="preserve">76</w:t>
        </w:r>
      </w:hyperlink>
      <w:r>
        <w:t xml:space="preserve">]。</w:t>
      </w:r>
    </w:p>
    <w:p>
      <w:pPr>
        <w:pStyle w:val="BodyText"/>
      </w:pPr>
      <w:r>
        <w:t xml:space="preserve">MAE </w:t>
      </w:r>
      <w:r>
        <w:rPr>
          <w:rFonts w:hint="eastAsia"/>
        </w:rPr>
        <w:t xml:space="preserve">表示全部评价样本中预测</w:t>
      </w:r>
      <w:r>
        <w:t xml:space="preserve"> SOH </w:t>
      </w:r>
      <w:r>
        <w:rPr>
          <w:rFonts w:hint="eastAsia"/>
        </w:rPr>
        <w:t xml:space="preserve">与真实</w:t>
      </w:r>
      <w:r>
        <w:t xml:space="preserve"> SOH </w:t>
      </w:r>
      <w:r>
        <w:rPr>
          <w:rFonts w:hint="eastAsia"/>
        </w:rPr>
        <w:t xml:space="preserve">之间绝对误差的平均值，用于反映模型的整体误差水平。该指标不会进一步放大单个较大偏差，能够较为直观地衡量总体估计精度。</w:t>
      </w:r>
    </w:p>
    <w:p>
      <w:pPr>
        <w:pStyle w:val="BodyText"/>
      </w:pPr>
      <w:r>
        <w:t xml:space="preserve">MAPE </w:t>
      </w:r>
      <w:r>
        <w:rPr>
          <w:rFonts w:hint="eastAsia"/>
        </w:rPr>
        <w:t xml:space="preserve">通过真实</w:t>
      </w:r>
      <w:r>
        <w:t xml:space="preserve"> SOH </w:t>
      </w:r>
      <w:r>
        <w:rPr>
          <w:rFonts w:hint="eastAsia"/>
        </w:rPr>
        <w:t xml:space="preserve">对绝对误差进行归一化，便于比较不同数据集上的估计性能。当真实</w:t>
      </w:r>
      <w:r>
        <w:t xml:space="preserve"> SOH </w:t>
      </w:r>
      <w:r>
        <w:rPr>
          <w:rFonts w:hint="eastAsia"/>
        </w:rPr>
        <w:t xml:space="preserve">接近零时，MAPE</w:t>
      </w:r>
      <w:r>
        <w:t xml:space="preserve"> </w:t>
      </w:r>
      <w:r>
        <w:rPr>
          <w:rFonts w:hint="eastAsia"/>
        </w:rPr>
        <w:t xml:space="preserve">可能被显著放大，需结合</w:t>
      </w:r>
      <w:r>
        <w:t xml:space="preserve"> MAE </w:t>
      </w:r>
      <w:r>
        <w:rPr>
          <w:rFonts w:hint="eastAsia"/>
        </w:rPr>
        <w:t xml:space="preserve">和</w:t>
      </w:r>
      <w:r>
        <w:t xml:space="preserve"> RMSE </w:t>
      </w:r>
      <w:r>
        <w:rPr>
          <w:rFonts w:hint="eastAsia"/>
        </w:rPr>
        <w:t xml:space="preserve">进行综合评价。</w:t>
      </w:r>
    </w:p>
    <w:p>
      <w:pPr>
        <w:pStyle w:val="BodyText"/>
      </w:pPr>
      <w:r>
        <w:t xml:space="preserve">RMSE </w:t>
      </w:r>
      <w:r>
        <w:rPr>
          <w:rFonts w:hint="eastAsia"/>
        </w:rPr>
        <w:t xml:space="preserve">表示预测</w:t>
      </w:r>
      <w:r>
        <w:t xml:space="preserve"> SOH </w:t>
      </w:r>
      <w:r>
        <w:rPr>
          <w:rFonts w:hint="eastAsia"/>
        </w:rPr>
        <w:t xml:space="preserve">与真实</w:t>
      </w:r>
      <w:r>
        <w:t xml:space="preserve"> SOH </w:t>
      </w:r>
      <w:r>
        <w:rPr>
          <w:rFonts w:hint="eastAsia"/>
        </w:rPr>
        <w:t xml:space="preserve">之间均方误差的平方根。与</w:t>
      </w:r>
      <w:r>
        <w:t xml:space="preserve"> MAE </w:t>
      </w:r>
      <w:r>
        <w:rPr>
          <w:rFonts w:hint="eastAsia"/>
        </w:rPr>
        <w:t xml:space="preserve">相比，RMSE</w:t>
      </w:r>
      <w:r>
        <w:t xml:space="preserve"> </w:t>
      </w:r>
      <w:r>
        <w:rPr>
          <w:rFonts w:hint="eastAsia"/>
        </w:rPr>
        <w:t xml:space="preserve">对较大的预测偏差赋予更高权重，可以进一步反映模型对较大误差的控制能力。</w:t>
      </w:r>
    </w:p>
    <w:p>
      <w:pPr>
        <w:pStyle w:val="BodyText"/>
      </w:pPr>
      <w:r>
        <w:t xml:space="preserve">R² </w:t>
      </w:r>
      <w:r>
        <w:rPr>
          <w:rFonts w:hint="eastAsia"/>
        </w:rPr>
        <w:t xml:space="preserve">衡量模型对真实</w:t>
      </w:r>
      <w:r>
        <w:t xml:space="preserve"> SOH </w:t>
      </w:r>
      <w:r>
        <w:rPr>
          <w:rFonts w:hint="eastAsia"/>
        </w:rPr>
        <w:t xml:space="preserve">变化的拟合程度，其值越接近</w:t>
      </w:r>
      <w:r>
        <w:t xml:space="preserve"> </w:t>
      </w:r>
      <w:r>
        <w:rPr>
          <w:rFonts w:hint="eastAsia"/>
        </w:rPr>
        <w:t xml:space="preserve">1，表明模型对整体退化趋势的拟合效果越好。</w:t>
      </w:r>
    </w:p>
    <w:p>
      <w:pPr>
        <w:pStyle w:val="BodyText"/>
      </w:pPr>
      <w:r>
        <w:rPr>
          <w:rFonts w:hint="eastAsia"/>
        </w:rPr>
        <w:t xml:space="preserve">上述四项指标的数学定义如下：</w:t>
      </w:r>
    </w:p>
    <w:p>
      <w:pPr>
        <w:pStyle w:val="BodyText"/>
        <w:keepLines/>
        <w:tabs>
          <w:tab w:pos="4791" w:val="center"/>
          <w:tab w:pos="9581" w:val="right"/>
        </w:tabs>
        <w:spacing w:before="100" w:after="100"/>
        <w:ind w:firstLine="0"/>
        <w:jc w:val="left"/>
      </w:pPr>
      <w:bookmarkStart w:id="1067" w:name="equation_34"/>
      <w:bookmarkStart w:id="1066" w:name="b_eq_metric_mae"/>
      <w:r>
        <w:tab/>
      </w:r>
      <m:oMath>
        <m:r>
          <w:rPr>
            <w:rFonts w:ascii="Cambria Math" w:hAnsi="Cambria Math"/>
            <w:sz w:val="22"/>
          </w:rPr>
          <m:rPr>
            <m:sty m:val="p"/>
          </m:rPr>
          <m:t>M</m:t>
        </m:r>
        <m:r>
          <w:rPr>
            <w:rFonts w:ascii="Cambria Math" w:hAnsi="Cambria Math"/>
            <w:sz w:val="22"/>
          </w:rPr>
          <m:rPr>
            <m:sty m:val="p"/>
          </m:rPr>
          <m:t>A</m:t>
        </m:r>
        <m:r>
          <w:rPr>
            <w:rFonts w:ascii="Cambria Math" w:hAnsi="Cambria Math"/>
            <w:sz w:val="22"/>
          </w:rPr>
          <m:rPr>
            <m:sty m:val="p"/>
          </m:rPr>
          <m:t>E</m:t>
        </m:r>
        <m:r>
          <w:rPr>
            <w:rFonts w:ascii="Cambria Math" w:hAnsi="Cambria Math"/>
            <w:sz w:val="22"/>
          </w:rPr>
          <m:rPr>
            <m:sty m:val="p"/>
          </m:rPr>
          <m:t>=</m:t>
        </m:r>
        <m:f>
          <m:fPr>
            <m:type m:val="bar"/>
          </m:fPr>
          <m:num>
            <m:r>
              <w:rPr>
                <w:rFonts w:ascii="Cambria Math" w:hAnsi="Cambria Math"/>
                <w:sz w:val="22"/>
              </w:rPr>
              <m:t>1</m:t>
            </m:r>
          </m:num>
          <m:den>
            <m:r>
              <w:rPr>
                <w:rFonts w:ascii="Cambria Math" w:hAnsi="Cambria Math"/>
                <w:sz w:val="22"/>
              </w:rPr>
              <m:t>n</m:t>
            </m:r>
          </m:den>
        </m:f>
        <m:nary>
          <m:naryPr>
            <m:chr m:val="∑"/>
            <m:limLoc m:val="undOvr"/>
            <m:subHide m:val="off"/>
            <m:supHide m:val="off"/>
          </m:naryPr>
          <m:sub>
            <m:r>
              <w:rPr>
                <w:rFonts w:ascii="Cambria Math" w:hAnsi="Cambria Math"/>
                <w:sz w:val="22"/>
              </w:rPr>
              <m:t>i</m:t>
            </m:r>
            <m:r>
              <w:rPr>
                <w:rFonts w:ascii="Cambria Math" w:hAnsi="Cambria Math"/>
                <w:sz w:val="22"/>
              </w:rPr>
              <m:rPr>
                <m:sty m:val="p"/>
              </m:rPr>
              <m:t>=</m:t>
            </m:r>
            <m:r>
              <w:rPr>
                <w:rFonts w:ascii="Cambria Math" w:hAnsi="Cambria Math"/>
                <w:sz w:val="22"/>
              </w:rPr>
              <m:t>1</m:t>
            </m:r>
          </m:sub>
          <m:sup>
            <m:r>
              <w:rPr>
                <w:rFonts w:ascii="Cambria Math" w:hAnsi="Cambria Math"/>
                <w:sz w:val="22"/>
              </w:rPr>
              <m:t>n</m:t>
            </m:r>
          </m:sup>
          <m:e>
            <m:d>
              <m:dPr>
                <m:begChr m:val="|"/>
                <m:sepChr m:val=""/>
                <m:endChr m:val="|"/>
                <m:grow/>
              </m:dPr>
              <m:e>
                <m:sSub>
                  <m:e>
                    <m:r>
                      <w:rPr>
                        <w:rFonts w:ascii="Cambria Math" w:hAnsi="Cambria Math"/>
                        <w:sz w:val="22"/>
                      </w:rPr>
                      <m:t>y</m:t>
                    </m:r>
                  </m:e>
                  <m:sub>
                    <m:r>
                      <w:rPr>
                        <w:rFonts w:ascii="Cambria Math" w:hAnsi="Cambria Math"/>
                        <w:sz w:val="22"/>
                      </w:rPr>
                      <m:t>i</m:t>
                    </m:r>
                  </m:sub>
                </m:sSub>
                <m:r>
                  <w:rPr>
                    <w:rFonts w:ascii="Cambria Math" w:hAnsi="Cambria Math"/>
                    <w:sz w:val="22"/>
                  </w:rPr>
                  <m:rPr>
                    <m:sty m:val="p"/>
                  </m:rPr>
                  <m:t>−</m:t>
                </m:r>
                <m:sSub>
                  <m:e>
                    <m:acc>
                      <m:accPr>
                        <m:chr m:val="̂"/>
                      </m:accPr>
                      <m:e>
                        <m:r>
                          <w:rPr>
                            <w:rFonts w:ascii="Cambria Math" w:hAnsi="Cambria Math"/>
                            <w:sz w:val="22"/>
                          </w:rPr>
                          <m:t>y</m:t>
                        </m:r>
                      </m:e>
                    </m:acc>
                  </m:e>
                  <m:sub>
                    <m:r>
                      <w:rPr>
                        <w:rFonts w:ascii="Cambria Math" w:hAnsi="Cambria Math"/>
                        <w:sz w:val="22"/>
                      </w:rPr>
                      <m:t>i</m:t>
                    </m:r>
                  </m:sub>
                </m:sSub>
              </m:e>
            </m:d>
          </m:e>
        </m:nary>
      </m:oMath>
      <w:r>
        <w:tab/>
        <w:t>(34)</w:t>
      </w:r>
      <w:bookmarkEnd w:id="1066"/>
      <w:bookmarkEnd w:id="1067"/>
    </w:p>
    <w:p>
      <w:pPr>
        <w:pStyle w:val="BodyText"/>
        <w:keepLines/>
        <w:tabs>
          <w:tab w:pos="4791" w:val="center"/>
          <w:tab w:pos="9581" w:val="right"/>
        </w:tabs>
        <w:spacing w:before="100" w:after="100"/>
        <w:ind w:firstLine="0"/>
        <w:jc w:val="left"/>
      </w:pPr>
      <w:bookmarkStart w:id="1069" w:name="equation_35"/>
      <w:bookmarkStart w:id="1068" w:name="b_eq_metric_mape"/>
      <w:r>
        <w:tab/>
      </w:r>
      <m:oMath>
        <m:r>
          <w:rPr>
            <w:rFonts w:ascii="Cambria Math" w:hAnsi="Cambria Math"/>
            <w:sz w:val="22"/>
          </w:rPr>
          <m:rPr>
            <m:sty m:val="p"/>
          </m:rPr>
          <m:t>M</m:t>
        </m:r>
        <m:r>
          <w:rPr>
            <w:rFonts w:ascii="Cambria Math" w:hAnsi="Cambria Math"/>
            <w:sz w:val="22"/>
          </w:rPr>
          <m:rPr>
            <m:sty m:val="p"/>
          </m:rPr>
          <m:t>A</m:t>
        </m:r>
        <m:r>
          <w:rPr>
            <w:rFonts w:ascii="Cambria Math" w:hAnsi="Cambria Math"/>
            <w:sz w:val="22"/>
          </w:rPr>
          <m:rPr>
            <m:sty m:val="p"/>
          </m:rPr>
          <m:t>P</m:t>
        </m:r>
        <m:r>
          <w:rPr>
            <w:rFonts w:ascii="Cambria Math" w:hAnsi="Cambria Math"/>
            <w:sz w:val="22"/>
          </w:rPr>
          <m:rPr>
            <m:sty m:val="p"/>
          </m:rPr>
          <m:t>E</m:t>
        </m:r>
        <m:r>
          <w:rPr>
            <w:rFonts w:ascii="Cambria Math" w:hAnsi="Cambria Math"/>
            <w:sz w:val="22"/>
          </w:rPr>
          <m:rPr>
            <m:sty m:val="p"/>
          </m:rPr>
          <m:t>=</m:t>
        </m:r>
        <m:f>
          <m:fPr>
            <m:type m:val="bar"/>
          </m:fPr>
          <m:num>
            <m:r>
              <w:rPr>
                <w:rFonts w:ascii="Cambria Math" w:hAnsi="Cambria Math"/>
                <w:sz w:val="22"/>
              </w:rPr>
              <m:t>1</m:t>
            </m:r>
          </m:num>
          <m:den>
            <m:r>
              <w:rPr>
                <w:rFonts w:ascii="Cambria Math" w:hAnsi="Cambria Math"/>
                <w:sz w:val="22"/>
              </w:rPr>
              <m:t>n</m:t>
            </m:r>
          </m:den>
        </m:f>
        <m:nary>
          <m:naryPr>
            <m:chr m:val="∑"/>
            <m:limLoc m:val="undOvr"/>
            <m:subHide m:val="off"/>
            <m:supHide m:val="off"/>
          </m:naryPr>
          <m:sub>
            <m:r>
              <w:rPr>
                <w:rFonts w:ascii="Cambria Math" w:hAnsi="Cambria Math"/>
                <w:sz w:val="22"/>
              </w:rPr>
              <m:t>i</m:t>
            </m:r>
            <m:r>
              <w:rPr>
                <w:rFonts w:ascii="Cambria Math" w:hAnsi="Cambria Math"/>
                <w:sz w:val="22"/>
              </w:rPr>
              <m:rPr>
                <m:sty m:val="p"/>
              </m:rPr>
              <m:t>=</m:t>
            </m:r>
            <m:r>
              <w:rPr>
                <w:rFonts w:ascii="Cambria Math" w:hAnsi="Cambria Math"/>
                <w:sz w:val="22"/>
              </w:rPr>
              <m:t>1</m:t>
            </m:r>
          </m:sub>
          <m:sup>
            <m:r>
              <w:rPr>
                <w:rFonts w:ascii="Cambria Math" w:hAnsi="Cambria Math"/>
                <w:sz w:val="22"/>
              </w:rPr>
              <m:t>n</m:t>
            </m:r>
          </m:sup>
          <m:e>
            <m:d>
              <m:dPr>
                <m:begChr m:val="|"/>
                <m:sepChr m:val=""/>
                <m:endChr m:val="|"/>
                <m:grow/>
              </m:dPr>
              <m:e>
                <m:f>
                  <m:fPr>
                    <m:type m:val="bar"/>
                  </m:fPr>
                  <m:num>
                    <m:sSub>
                      <m:e>
                        <m:r>
                          <w:rPr>
                            <w:rFonts w:ascii="Cambria Math" w:hAnsi="Cambria Math"/>
                            <w:sz w:val="22"/>
                          </w:rPr>
                          <m:t>y</m:t>
                        </m:r>
                      </m:e>
                      <m:sub>
                        <m:r>
                          <w:rPr>
                            <w:rFonts w:ascii="Cambria Math" w:hAnsi="Cambria Math"/>
                            <w:sz w:val="22"/>
                          </w:rPr>
                          <m:t>i</m:t>
                        </m:r>
                      </m:sub>
                    </m:sSub>
                    <m:r>
                      <w:rPr>
                        <w:rFonts w:ascii="Cambria Math" w:hAnsi="Cambria Math"/>
                        <w:sz w:val="22"/>
                      </w:rPr>
                      <m:rPr>
                        <m:sty m:val="p"/>
                      </m:rPr>
                      <m:t>−</m:t>
                    </m:r>
                    <m:sSub>
                      <m:e>
                        <m:acc>
                          <m:accPr>
                            <m:chr m:val="̂"/>
                          </m:accPr>
                          <m:e>
                            <m:r>
                              <w:rPr>
                                <w:rFonts w:ascii="Cambria Math" w:hAnsi="Cambria Math"/>
                                <w:sz w:val="22"/>
                              </w:rPr>
                              <m:t>y</m:t>
                            </m:r>
                          </m:e>
                        </m:acc>
                      </m:e>
                      <m:sub>
                        <m:r>
                          <w:rPr>
                            <w:rFonts w:ascii="Cambria Math" w:hAnsi="Cambria Math"/>
                            <w:sz w:val="22"/>
                          </w:rPr>
                          <m:t>i</m:t>
                        </m:r>
                      </m:sub>
                    </m:sSub>
                  </m:num>
                  <m:den>
                    <m:sSub>
                      <m:e>
                        <m:r>
                          <w:rPr>
                            <w:rFonts w:ascii="Cambria Math" w:hAnsi="Cambria Math"/>
                            <w:sz w:val="22"/>
                          </w:rPr>
                          <m:t>y</m:t>
                        </m:r>
                      </m:e>
                      <m:sub>
                        <m:r>
                          <w:rPr>
                            <w:rFonts w:ascii="Cambria Math" w:hAnsi="Cambria Math"/>
                            <w:sz w:val="22"/>
                          </w:rPr>
                          <m:t>i</m:t>
                        </m:r>
                      </m:sub>
                    </m:sSub>
                  </m:den>
                </m:f>
              </m:e>
            </m:d>
          </m:e>
        </m:nary>
      </m:oMath>
      <w:r>
        <w:tab/>
        <w:t>(35)</w:t>
      </w:r>
      <w:bookmarkEnd w:id="1068"/>
      <w:bookmarkEnd w:id="1069"/>
    </w:p>
    <w:p>
      <w:pPr>
        <w:pStyle w:val="BodyText"/>
        <w:keepLines/>
        <w:tabs>
          <w:tab w:pos="4791" w:val="center"/>
          <w:tab w:pos="9581" w:val="right"/>
        </w:tabs>
        <w:spacing w:before="100" w:after="100"/>
        <w:ind w:firstLine="0"/>
        <w:jc w:val="left"/>
      </w:pPr>
      <w:bookmarkStart w:id="1071" w:name="equation_36"/>
      <w:bookmarkStart w:id="1070" w:name="b_eq_metric_rmse"/>
      <w:r>
        <w:tab/>
      </w:r>
      <m:oMath>
        <m:r>
          <w:rPr>
            <w:rFonts w:ascii="Cambria Math" w:hAnsi="Cambria Math"/>
            <w:sz w:val="22"/>
          </w:rPr>
          <m:rPr>
            <m:sty m:val="p"/>
          </m:rPr>
          <m:t>R</m:t>
        </m:r>
        <m:r>
          <w:rPr>
            <w:rFonts w:ascii="Cambria Math" w:hAnsi="Cambria Math"/>
            <w:sz w:val="22"/>
          </w:rPr>
          <m:rPr>
            <m:sty m:val="p"/>
          </m:rPr>
          <m:t>M</m:t>
        </m:r>
        <m:r>
          <w:rPr>
            <w:rFonts w:ascii="Cambria Math" w:hAnsi="Cambria Math"/>
            <w:sz w:val="22"/>
          </w:rPr>
          <m:rPr>
            <m:sty m:val="p"/>
          </m:rPr>
          <m:t>S</m:t>
        </m:r>
        <m:r>
          <w:rPr>
            <w:rFonts w:ascii="Cambria Math" w:hAnsi="Cambria Math"/>
            <w:sz w:val="22"/>
          </w:rPr>
          <m:rPr>
            <m:sty m:val="p"/>
          </m:rPr>
          <m:t>E</m:t>
        </m:r>
        <m:r>
          <w:rPr>
            <w:rFonts w:ascii="Cambria Math" w:hAnsi="Cambria Math"/>
            <w:sz w:val="22"/>
          </w:rPr>
          <m:rPr>
            <m:sty m:val="p"/>
          </m:rPr>
          <m:t>=</m:t>
        </m:r>
        <m:rad>
          <m:radPr>
            <m:degHide m:val="on"/>
          </m:radPr>
          <m:deg/>
          <m:e>
            <m:f>
              <m:fPr>
                <m:type m:val="bar"/>
              </m:fPr>
              <m:num>
                <m:r>
                  <w:rPr>
                    <w:rFonts w:ascii="Cambria Math" w:hAnsi="Cambria Math"/>
                    <w:sz w:val="22"/>
                  </w:rPr>
                  <m:t>1</m:t>
                </m:r>
              </m:num>
              <m:den>
                <m:r>
                  <w:rPr>
                    <w:rFonts w:ascii="Cambria Math" w:hAnsi="Cambria Math"/>
                    <w:sz w:val="22"/>
                  </w:rPr>
                  <m:t>n</m:t>
                </m:r>
              </m:den>
            </m:f>
            <m:nary>
              <m:naryPr>
                <m:chr m:val="∑"/>
                <m:limLoc m:val="undOvr"/>
                <m:subHide m:val="off"/>
                <m:supHide m:val="off"/>
              </m:naryPr>
              <m:sub>
                <m:r>
                  <w:rPr>
                    <w:rFonts w:ascii="Cambria Math" w:hAnsi="Cambria Math"/>
                    <w:sz w:val="22"/>
                  </w:rPr>
                  <m:t>i</m:t>
                </m:r>
                <m:r>
                  <w:rPr>
                    <w:rFonts w:ascii="Cambria Math" w:hAnsi="Cambria Math"/>
                    <w:sz w:val="22"/>
                  </w:rPr>
                  <m:rPr>
                    <m:sty m:val="p"/>
                  </m:rPr>
                  <m:t>=</m:t>
                </m:r>
                <m:r>
                  <w:rPr>
                    <w:rFonts w:ascii="Cambria Math" w:hAnsi="Cambria Math"/>
                    <w:sz w:val="22"/>
                  </w:rPr>
                  <m:t>1</m:t>
                </m:r>
              </m:sub>
              <m:sup>
                <m:r>
                  <w:rPr>
                    <w:rFonts w:ascii="Cambria Math" w:hAnsi="Cambria Math"/>
                    <w:sz w:val="22"/>
                  </w:rPr>
                  <m:t>n</m:t>
                </m:r>
              </m:sup>
              <m:e>
                <m:sSup>
                  <m:e>
                    <m:d>
                      <m:dPr>
                        <m:begChr m:val="("/>
                        <m:sepChr m:val=""/>
                        <m:endChr m:val=")"/>
                        <m:grow/>
                      </m:dPr>
                      <m:e>
                        <m:sSub>
                          <m:e>
                            <m:r>
                              <w:rPr>
                                <w:rFonts w:ascii="Cambria Math" w:hAnsi="Cambria Math"/>
                                <w:sz w:val="22"/>
                              </w:rPr>
                              <m:t>y</m:t>
                            </m:r>
                          </m:e>
                          <m:sub>
                            <m:r>
                              <w:rPr>
                                <w:rFonts w:ascii="Cambria Math" w:hAnsi="Cambria Math"/>
                                <w:sz w:val="22"/>
                              </w:rPr>
                              <m:t>i</m:t>
                            </m:r>
                          </m:sub>
                        </m:sSub>
                        <m:r>
                          <w:rPr>
                            <w:rFonts w:ascii="Cambria Math" w:hAnsi="Cambria Math"/>
                            <w:sz w:val="22"/>
                          </w:rPr>
                          <m:rPr>
                            <m:sty m:val="p"/>
                          </m:rPr>
                          <m:t>−</m:t>
                        </m:r>
                        <m:sSub>
                          <m:e>
                            <m:acc>
                              <m:accPr>
                                <m:chr m:val="̂"/>
                              </m:accPr>
                              <m:e>
                                <m:r>
                                  <w:rPr>
                                    <w:rFonts w:ascii="Cambria Math" w:hAnsi="Cambria Math"/>
                                    <w:sz w:val="22"/>
                                  </w:rPr>
                                  <m:t>y</m:t>
                                </m:r>
                              </m:e>
                            </m:acc>
                          </m:e>
                          <m:sub>
                            <m:r>
                              <w:rPr>
                                <w:rFonts w:ascii="Cambria Math" w:hAnsi="Cambria Math"/>
                                <w:sz w:val="22"/>
                              </w:rPr>
                              <m:t>i</m:t>
                            </m:r>
                          </m:sub>
                        </m:sSub>
                      </m:e>
                    </m:d>
                  </m:e>
                  <m:sup>
                    <m:r>
                      <w:rPr>
                        <w:rFonts w:ascii="Cambria Math" w:hAnsi="Cambria Math"/>
                        <w:sz w:val="22"/>
                      </w:rPr>
                      <m:t>2</m:t>
                    </m:r>
                  </m:sup>
                </m:sSup>
              </m:e>
            </m:nary>
          </m:e>
        </m:rad>
      </m:oMath>
      <w:r>
        <w:tab/>
        <w:t>(36)</w:t>
      </w:r>
      <w:bookmarkEnd w:id="1070"/>
      <w:bookmarkEnd w:id="1071"/>
    </w:p>
    <w:p>
      <w:pPr>
        <w:pStyle w:val="BodyText"/>
        <w:keepLines/>
        <w:tabs>
          <w:tab w:pos="4791" w:val="center"/>
          <w:tab w:pos="9581" w:val="right"/>
        </w:tabs>
        <w:spacing w:before="100" w:after="100"/>
        <w:ind w:firstLine="0"/>
        <w:jc w:val="left"/>
      </w:pPr>
      <w:bookmarkStart w:id="1073" w:name="equation_37"/>
      <w:bookmarkStart w:id="1072" w:name="b_eq_metric_r2"/>
      <w:r>
        <w:tab/>
      </w:r>
      <m:oMath>
        <m:sSup>
          <m:e>
            <m:r>
              <w:rPr>
                <w:rFonts w:ascii="Cambria Math" w:hAnsi="Cambria Math"/>
                <w:sz w:val="22"/>
              </w:rPr>
              <m:t>R</m:t>
            </m:r>
          </m:e>
          <m:sup>
            <m:r>
              <w:rPr>
                <w:rFonts w:ascii="Cambria Math" w:hAnsi="Cambria Math"/>
                <w:sz w:val="22"/>
              </w:rPr>
              <m:t>2</m:t>
            </m:r>
          </m:sup>
        </m:sSup>
        <m:r>
          <w:rPr>
            <w:rFonts w:ascii="Cambria Math" w:hAnsi="Cambria Math"/>
            <w:sz w:val="22"/>
          </w:rPr>
          <m:rPr>
            <m:sty m:val="p"/>
          </m:rPr>
          <m:t>=</m:t>
        </m:r>
        <m:r>
          <w:rPr>
            <w:rFonts w:ascii="Cambria Math" w:hAnsi="Cambria Math"/>
            <w:sz w:val="22"/>
          </w:rPr>
          <m:t>1</m:t>
        </m:r>
        <m:r>
          <w:rPr>
            <w:rFonts w:ascii="Cambria Math" w:hAnsi="Cambria Math"/>
            <w:sz w:val="22"/>
          </w:rPr>
          <m:rPr>
            <m:sty m:val="p"/>
          </m:rPr>
          <m:t>−</m:t>
        </m:r>
        <m:f>
          <m:fPr>
            <m:type m:val="bar"/>
          </m:fPr>
          <m:num>
            <m:nary>
              <m:naryPr>
                <m:chr m:val="∑"/>
                <m:limLoc m:val="undOvr"/>
                <m:subHide m:val="off"/>
                <m:supHide m:val="off"/>
              </m:naryPr>
              <m:sub>
                <m:r>
                  <w:rPr>
                    <w:rFonts w:ascii="Cambria Math" w:hAnsi="Cambria Math"/>
                    <w:sz w:val="22"/>
                  </w:rPr>
                  <m:t>i</m:t>
                </m:r>
                <m:r>
                  <w:rPr>
                    <w:rFonts w:ascii="Cambria Math" w:hAnsi="Cambria Math"/>
                    <w:sz w:val="22"/>
                  </w:rPr>
                  <m:rPr>
                    <m:sty m:val="p"/>
                  </m:rPr>
                  <m:t>=</m:t>
                </m:r>
                <m:r>
                  <w:rPr>
                    <w:rFonts w:ascii="Cambria Math" w:hAnsi="Cambria Math"/>
                    <w:sz w:val="22"/>
                  </w:rPr>
                  <m:t>1</m:t>
                </m:r>
              </m:sub>
              <m:sup>
                <m:r>
                  <w:rPr>
                    <w:rFonts w:ascii="Cambria Math" w:hAnsi="Cambria Math"/>
                    <w:sz w:val="22"/>
                  </w:rPr>
                  <m:t>n</m:t>
                </m:r>
              </m:sup>
              <m:e>
                <m:sSup>
                  <m:e>
                    <m:d>
                      <m:dPr>
                        <m:begChr m:val="("/>
                        <m:sepChr m:val=""/>
                        <m:endChr m:val=")"/>
                        <m:grow/>
                      </m:dPr>
                      <m:e>
                        <m:sSub>
                          <m:e>
                            <m:r>
                              <w:rPr>
                                <w:rFonts w:ascii="Cambria Math" w:hAnsi="Cambria Math"/>
                                <w:sz w:val="22"/>
                              </w:rPr>
                              <m:t>y</m:t>
                            </m:r>
                          </m:e>
                          <m:sub>
                            <m:r>
                              <w:rPr>
                                <w:rFonts w:ascii="Cambria Math" w:hAnsi="Cambria Math"/>
                                <w:sz w:val="22"/>
                              </w:rPr>
                              <m:t>i</m:t>
                            </m:r>
                          </m:sub>
                        </m:sSub>
                        <m:r>
                          <w:rPr>
                            <w:rFonts w:ascii="Cambria Math" w:hAnsi="Cambria Math"/>
                            <w:sz w:val="22"/>
                          </w:rPr>
                          <m:rPr>
                            <m:sty m:val="p"/>
                          </m:rPr>
                          <m:t>−</m:t>
                        </m:r>
                        <m:sSub>
                          <m:e>
                            <m:acc>
                              <m:accPr>
                                <m:chr m:val="̂"/>
                              </m:accPr>
                              <m:e>
                                <m:r>
                                  <w:rPr>
                                    <w:rFonts w:ascii="Cambria Math" w:hAnsi="Cambria Math"/>
                                    <w:sz w:val="22"/>
                                  </w:rPr>
                                  <m:t>y</m:t>
                                </m:r>
                              </m:e>
                            </m:acc>
                          </m:e>
                          <m:sub>
                            <m:r>
                              <w:rPr>
                                <w:rFonts w:ascii="Cambria Math" w:hAnsi="Cambria Math"/>
                                <w:sz w:val="22"/>
                              </w:rPr>
                              <m:t>i</m:t>
                            </m:r>
                          </m:sub>
                        </m:sSub>
                      </m:e>
                    </m:d>
                  </m:e>
                  <m:sup>
                    <m:r>
                      <w:rPr>
                        <w:rFonts w:ascii="Cambria Math" w:hAnsi="Cambria Math"/>
                        <w:sz w:val="22"/>
                      </w:rPr>
                      <m:t>2</m:t>
                    </m:r>
                  </m:sup>
                </m:sSup>
              </m:e>
            </m:nary>
          </m:num>
          <m:den>
            <m:nary>
              <m:naryPr>
                <m:chr m:val="∑"/>
                <m:limLoc m:val="undOvr"/>
                <m:subHide m:val="off"/>
                <m:supHide m:val="off"/>
              </m:naryPr>
              <m:sub>
                <m:r>
                  <w:rPr>
                    <w:rFonts w:ascii="Cambria Math" w:hAnsi="Cambria Math"/>
                    <w:sz w:val="22"/>
                  </w:rPr>
                  <m:t>i</m:t>
                </m:r>
                <m:r>
                  <w:rPr>
                    <w:rFonts w:ascii="Cambria Math" w:hAnsi="Cambria Math"/>
                    <w:sz w:val="22"/>
                  </w:rPr>
                  <m:rPr>
                    <m:sty m:val="p"/>
                  </m:rPr>
                  <m:t>=</m:t>
                </m:r>
                <m:r>
                  <w:rPr>
                    <w:rFonts w:ascii="Cambria Math" w:hAnsi="Cambria Math"/>
                    <w:sz w:val="22"/>
                  </w:rPr>
                  <m:t>1</m:t>
                </m:r>
              </m:sub>
              <m:sup>
                <m:r>
                  <w:rPr>
                    <w:rFonts w:ascii="Cambria Math" w:hAnsi="Cambria Math"/>
                    <w:sz w:val="22"/>
                  </w:rPr>
                  <m:t>n</m:t>
                </m:r>
              </m:sup>
              <m:e>
                <m:sSup>
                  <m:e>
                    <m:d>
                      <m:dPr>
                        <m:begChr m:val="("/>
                        <m:sepChr m:val=""/>
                        <m:endChr m:val=")"/>
                        <m:grow/>
                      </m:dPr>
                      <m:e>
                        <m:sSub>
                          <m:e>
                            <m:r>
                              <w:rPr>
                                <w:rFonts w:ascii="Cambria Math" w:hAnsi="Cambria Math"/>
                                <w:sz w:val="22"/>
                              </w:rPr>
                              <m:t>y</m:t>
                            </m:r>
                          </m:e>
                          <m:sub>
                            <m:r>
                              <w:rPr>
                                <w:rFonts w:ascii="Cambria Math" w:hAnsi="Cambria Math"/>
                                <w:sz w:val="22"/>
                              </w:rPr>
                              <m:t>i</m:t>
                            </m:r>
                          </m:sub>
                        </m:sSub>
                        <m:r>
                          <w:rPr>
                            <w:rFonts w:ascii="Cambria Math" w:hAnsi="Cambria Math"/>
                            <w:sz w:val="22"/>
                          </w:rPr>
                          <m:rPr>
                            <m:sty m:val="p"/>
                          </m:rPr>
                          <m:t>−</m:t>
                        </m:r>
                        <m:acc>
                          <m:accPr>
                            <m:chr m:val="‾"/>
                          </m:accPr>
                          <m:e>
                            <m:r>
                              <w:rPr>
                                <w:rFonts w:ascii="Cambria Math" w:hAnsi="Cambria Math"/>
                                <w:sz w:val="22"/>
                              </w:rPr>
                              <m:t>y</m:t>
                            </m:r>
                          </m:e>
                        </m:acc>
                      </m:e>
                    </m:d>
                  </m:e>
                  <m:sup>
                    <m:r>
                      <w:rPr>
                        <w:rFonts w:ascii="Cambria Math" w:hAnsi="Cambria Math"/>
                        <w:sz w:val="22"/>
                      </w:rPr>
                      <m:t>2</m:t>
                    </m:r>
                  </m:sup>
                </m:sSup>
              </m:e>
            </m:nary>
          </m:den>
        </m:f>
      </m:oMath>
      <w:r>
        <w:tab/>
        <w:t>(37)</w:t>
      </w:r>
      <w:bookmarkEnd w:id="1072"/>
      <w:bookmarkEnd w:id="1073"/>
    </w:p>
    <w:p>
      <w:pPr>
        <w:pStyle w:val="BodyText"/>
      </w:pPr>
      <w:r>
        <w:rPr>
          <w:rFonts w:hint="eastAsia"/>
        </w:rPr>
        <w:t xml:space="preserve">其中，</w:t>
      </w:r>
      <m:oMath>
        <m:sSub>
          <m:e>
            <m:r>
              <w:rPr>
                <w:rFonts w:ascii="Cambria Math" w:hAnsi="Cambria Math"/>
                <w:sz w:val="22"/>
              </w:rPr>
              <m:t>y</m:t>
            </m:r>
          </m:e>
          <m:sub>
            <m:r>
              <w:rPr>
                <w:rFonts w:ascii="Cambria Math" w:hAnsi="Cambria Math"/>
                <w:sz w:val="22"/>
              </w:rPr>
              <m:t>i</m:t>
            </m:r>
          </m:sub>
        </m:sSub>
      </m:oMath>
      <w:r>
        <w:t xml:space="preserve"> </w:t>
      </w:r>
      <w:r>
        <w:rPr>
          <w:rFonts w:hint="eastAsia"/>
        </w:rPr>
        <w:t xml:space="preserve">和</w:t>
      </w:r>
      <w:r>
        <w:t xml:space="preserve"> </w:t>
      </w:r>
      <m:oMath>
        <m:sSub>
          <m:e>
            <m:acc>
              <m:accPr>
                <m:chr m:val="̂"/>
              </m:accPr>
              <m:e>
                <m:r>
                  <w:rPr>
                    <w:rFonts w:ascii="Cambria Math" w:hAnsi="Cambria Math"/>
                    <w:sz w:val="22"/>
                  </w:rPr>
                  <m:t>y</m:t>
                </m:r>
              </m:e>
            </m:acc>
          </m:e>
          <m:sub>
            <m:r>
              <w:rPr>
                <w:rFonts w:ascii="Cambria Math" w:hAnsi="Cambria Math"/>
                <w:sz w:val="22"/>
              </w:rPr>
              <m:t>i</m:t>
            </m:r>
          </m:sub>
        </m:sSub>
      </m:oMath>
      <w:r>
        <w:t xml:space="preserve"> </w:t>
      </w:r>
      <w:r>
        <w:rPr>
          <w:rFonts w:hint="eastAsia"/>
        </w:rPr>
        <w:t xml:space="preserve">分别表示第</w:t>
      </w:r>
      <w:r>
        <w:t xml:space="preserve"> </w:t>
      </w:r>
      <m:oMath>
        <m:r>
          <w:rPr>
            <w:rFonts w:ascii="Cambria Math" w:hAnsi="Cambria Math"/>
            <w:sz w:val="22"/>
          </w:rPr>
          <m:t>i</m:t>
        </m:r>
      </m:oMath>
      <w:r>
        <w:t xml:space="preserve"> </w:t>
      </w:r>
      <w:r>
        <w:rPr>
          <w:rFonts w:hint="eastAsia"/>
        </w:rPr>
        <w:t xml:space="preserve">个样本的真实</w:t>
      </w:r>
      <w:r>
        <w:t xml:space="preserve"> SOH </w:t>
      </w:r>
      <w:r>
        <w:rPr>
          <w:rFonts w:hint="eastAsia"/>
        </w:rPr>
        <w:t xml:space="preserve">和预测</w:t>
      </w:r>
      <w:r>
        <w:t xml:space="preserve"> </w:t>
      </w:r>
      <w:r>
        <w:rPr>
          <w:rFonts w:hint="eastAsia"/>
        </w:rPr>
        <w:t xml:space="preserve">SOH，</w:t>
      </w:r>
      <m:oMath>
        <m:acc>
          <m:accPr>
            <m:chr m:val="‾"/>
          </m:accPr>
          <m:e>
            <m:r>
              <w:rPr>
                <w:rFonts w:ascii="Cambria Math" w:hAnsi="Cambria Math"/>
                <w:sz w:val="22"/>
              </w:rPr>
              <m:t>y</m:t>
            </m:r>
          </m:e>
        </m:acc>
      </m:oMath>
      <w:r>
        <w:t xml:space="preserve"> </w:t>
      </w:r>
      <w:r>
        <w:rPr>
          <w:rFonts w:hint="eastAsia"/>
        </w:rPr>
        <w:t xml:space="preserve">表示评价样本中真实</w:t>
      </w:r>
      <w:r>
        <w:t xml:space="preserve"> SOH </w:t>
      </w:r>
      <w:r>
        <w:rPr>
          <w:rFonts w:hint="eastAsia"/>
        </w:rPr>
        <w:t xml:space="preserve">的平均值，</w:t>
      </w:r>
      <m:oMath>
        <m:r>
          <w:rPr>
            <w:rFonts w:ascii="Cambria Math" w:hAnsi="Cambria Math"/>
            <w:sz w:val="22"/>
          </w:rPr>
          <m:t>n</m:t>
        </m:r>
      </m:oMath>
      <w:r>
        <w:t xml:space="preserve"> </w:t>
      </w:r>
      <w:r>
        <w:rPr>
          <w:rFonts w:hint="eastAsia"/>
        </w:rPr>
        <w:t xml:space="preserve">表示评价样本总数。</w:t>
      </w:r>
    </w:p>
    <w:bookmarkEnd w:id="33"/>
    <w:bookmarkStart w:id="34" w:name="健康指标筛选结果与有效性分析"/>
    <w:p>
      <w:pPr>
        <w:pStyle w:val="Heading2"/>
      </w:pPr>
      <w:r>
        <w:rPr>
          <w:rStyle w:val="SectionNumber"/>
        </w:rPr>
        <w:t xml:space="preserve">4.2</w:t>
      </w:r>
      <w:r>
        <w:tab/>
      </w:r>
      <w:r>
        <w:rPr>
          <w:rFonts w:hint="eastAsia"/>
        </w:rPr>
        <w:t xml:space="preserve">健康指标筛选结果与有效性分析</w:t>
      </w:r>
    </w:p>
    <w:p>
      <w:pPr>
        <w:pStyle w:val="FirstParagraph"/>
      </w:pPr>
      <w:r>
        <w:rPr>
          <w:rFonts w:hint="eastAsia"/>
        </w:rPr>
        <w:t xml:space="preserve">为验证组级健康指标筛选方法在识别跨电池稳定输入方面的有效性，本节以</w:t>
      </w:r>
      <w:r>
        <w:t xml:space="preserve"> Oxford </w:t>
      </w:r>
      <w:r>
        <w:rPr>
          <w:rFonts w:hint="eastAsia"/>
        </w:rPr>
        <w:t xml:space="preserve">数据集为例比较不同健康指标输入下的</w:t>
      </w:r>
      <w:r>
        <w:t xml:space="preserve"> SOH </w:t>
      </w:r>
      <w:r>
        <w:rPr>
          <w:rFonts w:hint="eastAsia"/>
        </w:rPr>
        <w:t xml:space="preserve">估计性能。根据</w:t>
      </w:r>
      <w:r>
        <w:t xml:space="preserve"> Cell1 </w:t>
      </w:r>
      <w:r>
        <w:rPr>
          <w:rFonts w:hint="eastAsia"/>
        </w:rPr>
        <w:t xml:space="preserve">上候选指标的</w:t>
      </w:r>
      <w:r>
        <w:t xml:space="preserve"> PCC </w:t>
      </w:r>
      <w:r>
        <w:rPr>
          <w:rFonts w:hint="eastAsia"/>
        </w:rPr>
        <w:t xml:space="preserve">和</w:t>
      </w:r>
      <w:r>
        <w:t xml:space="preserve"> </w:t>
      </w:r>
      <w:r>
        <w:rPr>
          <w:rFonts w:hint="eastAsia"/>
        </w:rPr>
        <w:t xml:space="preserve">SCC，从</w:t>
      </w:r>
      <w:r>
        <w:t xml:space="preserve"> IC、DTV </w:t>
      </w:r>
      <w:r>
        <w:rPr>
          <w:rFonts w:hint="eastAsia"/>
        </w:rPr>
        <w:t xml:space="preserve">和</w:t>
      </w:r>
      <w:r>
        <w:t xml:space="preserve"> DTC </w:t>
      </w:r>
      <w:r>
        <w:rPr>
          <w:rFonts w:hint="eastAsia"/>
        </w:rPr>
        <w:t xml:space="preserve">三类特征中各选取一项综合相关性最高的指标，分别为</w:t>
      </w:r>
      <w:r>
        <w:t xml:space="preserve"> HI4、HI9 </w:t>
      </w:r>
      <w:r>
        <w:rPr>
          <w:rFonts w:hint="eastAsia"/>
        </w:rPr>
        <w:t xml:space="preserve">和</w:t>
      </w:r>
      <w:r>
        <w:t xml:space="preserve"> </w:t>
      </w:r>
      <w:r>
        <w:rPr>
          <w:rFonts w:hint="eastAsia"/>
        </w:rPr>
        <w:t xml:space="preserve">HI11，三者的综合相关性得分均高于</w:t>
      </w:r>
      <w:r>
        <w:t xml:space="preserve"> </w:t>
      </w:r>
      <w:r>
        <w:rPr>
          <w:rFonts w:hint="eastAsia"/>
        </w:rPr>
        <w:t xml:space="preserve">0.94。将上述指标与组级筛选得到的</w:t>
      </w:r>
      <w:r>
        <w:t xml:space="preserve"> CCCT </w:t>
      </w:r>
      <w:r>
        <w:rPr>
          <w:rFonts w:hint="eastAsia"/>
        </w:rPr>
        <w:t xml:space="preserve">指标</w:t>
      </w:r>
      <w:r>
        <w:t xml:space="preserve"> HI1 </w:t>
      </w:r>
      <w:r>
        <w:rPr>
          <w:rFonts w:hint="eastAsia"/>
        </w:rPr>
        <w:t xml:space="preserve">分别输入</w:t>
      </w:r>
      <w:r>
        <w:t xml:space="preserve"> </w:t>
      </w:r>
      <w:r>
        <w:rPr>
          <w:rFonts w:hint="eastAsia"/>
        </w:rPr>
        <w:t xml:space="preserve">MS-AgentNet，并将</w:t>
      </w:r>
      <w:r>
        <w:t xml:space="preserve"> HI4、HI1、HI9 </w:t>
      </w:r>
      <w:r>
        <w:rPr>
          <w:rFonts w:hint="eastAsia"/>
        </w:rPr>
        <w:t xml:space="preserve">和</w:t>
      </w:r>
      <w:r>
        <w:t xml:space="preserve"> HI11 </w:t>
      </w:r>
      <w:r>
        <w:rPr>
          <w:rFonts w:hint="eastAsia"/>
        </w:rPr>
        <w:t xml:space="preserve">共同输入的方案记为</w:t>
      </w:r>
      <w:r>
        <w:t xml:space="preserve"> </w:t>
      </w:r>
      <w:r>
        <w:rPr>
          <w:rFonts w:hint="eastAsia"/>
        </w:rPr>
        <w:t xml:space="preserve">Fusion。不同输入下</w:t>
      </w:r>
      <w:r>
        <w:t xml:space="preserve"> Cell2–Cell8 </w:t>
      </w:r>
      <w:r>
        <w:rPr>
          <w:rFonts w:hint="eastAsia"/>
        </w:rPr>
        <w:t xml:space="preserve">的</w:t>
      </w:r>
      <w:r>
        <w:t xml:space="preserve"> SOH </w:t>
      </w:r>
      <w:r>
        <w:rPr>
          <w:rFonts w:hint="eastAsia"/>
        </w:rPr>
        <w:t xml:space="preserve">估计结果见</w:t>
      </w:r>
      <w:hyperlink w:anchor="b_tab_4_hi_input">
        <w:r>
          <w:rPr>
            <w:rStyle w:val="Hyperlink"/>
          </w:rPr>
          <w:t xml:space="preserve">Table 6</w:t>
        </w:r>
      </w:hyperlink>
      <w:r>
        <w:t xml:space="preserve">。</w:t>
      </w:r>
    </w:p>
    <w:p>
      <w:pPr>
        <w:pStyle w:val="BodyText"/>
      </w:pPr>
      <w:r>
        <w:rPr>
          <w:rFonts w:hint="eastAsia"/>
        </w:rPr>
        <w:t xml:space="preserve">结果表明，HI1</w:t>
      </w:r>
      <w:r>
        <w:t xml:space="preserve"> </w:t>
      </w:r>
      <w:r>
        <w:rPr>
          <w:rFonts w:hint="eastAsia"/>
        </w:rPr>
        <w:t xml:space="preserve">在</w:t>
      </w:r>
      <w:r>
        <w:t xml:space="preserve"> Cell2–Cell8 </w:t>
      </w:r>
      <w:r>
        <w:rPr>
          <w:rFonts w:hint="eastAsia"/>
        </w:rPr>
        <w:t xml:space="preserve">上始终保持较高的估计精度，其平均</w:t>
      </w:r>
      <w:r>
        <w:t xml:space="preserve"> MAE、RMSE </w:t>
      </w:r>
      <w:r>
        <w:rPr>
          <w:rFonts w:hint="eastAsia"/>
        </w:rPr>
        <w:t xml:space="preserve">和</w:t>
      </w:r>
      <w:r>
        <w:t xml:space="preserve"> MAPE </w:t>
      </w:r>
      <w:r>
        <w:rPr>
          <w:rFonts w:hint="eastAsia"/>
        </w:rPr>
        <w:t xml:space="preserve">均为五种输入方案中的最低值，平均</w:t>
      </w:r>
      <w:r>
        <w:t xml:space="preserve"> MAPE </w:t>
      </w:r>
      <w:r>
        <w:rPr>
          <w:rFonts w:hint="eastAsia"/>
        </w:rPr>
        <w:t xml:space="preserve">为</w:t>
      </w:r>
      <w:r>
        <w:t xml:space="preserve"> </w:t>
      </w:r>
      <w:r>
        <w:rPr>
          <w:rFonts w:hint="eastAsia"/>
        </w:rPr>
        <w:t xml:space="preserve">0.00615，即</w:t>
      </w:r>
      <w:r>
        <w:t xml:space="preserve"> </w:t>
      </w:r>
      <w:r>
        <w:rPr>
          <w:rFonts w:hint="eastAsia"/>
        </w:rPr>
        <w:t xml:space="preserve">0.615%。当四项健康指标共同作为输入时，Fusion</w:t>
      </w:r>
      <w:r>
        <w:t xml:space="preserve"> </w:t>
      </w:r>
      <w:r>
        <w:rPr>
          <w:rFonts w:hint="eastAsia"/>
        </w:rPr>
        <w:t xml:space="preserve">的三项平均误差均排名第四，说明多类健康指标的直接组合没有形成进一步的性能增益。</w:t>
      </w:r>
    </w:p>
    <w:p>
      <w:pPr>
        <w:pStyle w:val="BodyText"/>
      </w:pPr>
      <w:r>
        <w:rPr>
          <w:rFonts w:hint="eastAsia"/>
        </w:rPr>
        <w:t xml:space="preserve">此外，同一健康指标的表征能力在不同电池间存在差异。例如，HI9</w:t>
      </w:r>
      <w:r>
        <w:t xml:space="preserve"> </w:t>
      </w:r>
      <w:r>
        <w:rPr>
          <w:rFonts w:hint="eastAsia"/>
        </w:rPr>
        <w:t xml:space="preserve">在</w:t>
      </w:r>
      <w:r>
        <w:t xml:space="preserve"> Cell7 </w:t>
      </w:r>
      <w:r>
        <w:rPr>
          <w:rFonts w:hint="eastAsia"/>
        </w:rPr>
        <w:t xml:space="preserve">上的估计误差低于</w:t>
      </w:r>
      <w:r>
        <w:t xml:space="preserve"> </w:t>
      </w:r>
      <w:r>
        <w:rPr>
          <w:rFonts w:hint="eastAsia"/>
        </w:rPr>
        <w:t xml:space="preserve">HI11，而在</w:t>
      </w:r>
      <w:r>
        <w:t xml:space="preserve"> Cell8 </w:t>
      </w:r>
      <w:r>
        <w:rPr>
          <w:rFonts w:hint="eastAsia"/>
        </w:rPr>
        <w:t xml:space="preserve">上则观察到相反结果。相比之下，组级筛选得到的</w:t>
      </w:r>
      <w:r>
        <w:t xml:space="preserve"> HI1 </w:t>
      </w:r>
      <w:r>
        <w:rPr>
          <w:rFonts w:hint="eastAsia"/>
        </w:rPr>
        <w:t xml:space="preserve">在七节电池上均取得最低的</w:t>
      </w:r>
      <w:r>
        <w:t xml:space="preserve"> MAE、RMSE </w:t>
      </w:r>
      <w:r>
        <w:rPr>
          <w:rFonts w:hint="eastAsia"/>
        </w:rPr>
        <w:t xml:space="preserve">和</w:t>
      </w:r>
      <w:r>
        <w:t xml:space="preserve"> </w:t>
      </w:r>
      <w:r>
        <w:rPr>
          <w:rFonts w:hint="eastAsia"/>
        </w:rPr>
        <w:t xml:space="preserve">MAPE。上述结果表明，单节电池上的高相关性不能保证健康指标在组内其他电池上保持相同的表征能力，而组级筛选得到的</w:t>
      </w:r>
      <w:r>
        <w:t xml:space="preserve"> HI1 </w:t>
      </w:r>
      <w:r>
        <w:rPr>
          <w:rFonts w:hint="eastAsia"/>
        </w:rPr>
        <w:t xml:space="preserve">在该组</w:t>
      </w:r>
      <w:r>
        <w:t xml:space="preserve"> Oxford </w:t>
      </w:r>
      <w:r>
        <w:rPr>
          <w:rFonts w:hint="eastAsia"/>
        </w:rPr>
        <w:t xml:space="preserve">电池上提供了更稳定的</w:t>
      </w:r>
      <w:r>
        <w:t xml:space="preserve"> SOH </w:t>
      </w:r>
      <w:r>
        <w:rPr>
          <w:rFonts w:hint="eastAsia"/>
        </w:rPr>
        <w:t xml:space="preserve">估计输入。</w:t>
      </w:r>
    </w:p>
    <w:p>
      <w:pPr>
        <w:pStyle w:val="BodyText"/>
        <w:keepLines/>
        <w:spacing w:before="100" w:after="80"/>
        <w:ind w:firstLine="0"/>
        <w:jc w:val="center"/>
      </w:pPr>
      <w:bookmarkStart w:id="1074" w:name="b_tab_4_hi_input"/>
      <w:r>
        <w:drawing>
          <wp:inline>
            <wp:extent cx="6084000" cy="1962399"/>
            <wp:docPr id="13" name="Picture 13"/>
            <wp:cNvGraphicFramePr>
              <a:graphicFrameLocks noChangeAspect="1"/>
            </wp:cNvGraphicFramePr>
            <a:graphic>
              <a:graphicData uri="http://schemas.openxmlformats.org/drawingml/2006/picture">
                <pic:pic>
                  <pic:nvPicPr>
                    <pic:cNvPr id="0" name="table_06.png"/>
                    <pic:cNvPicPr/>
                  </pic:nvPicPr>
                  <pic:blipFill>
                    <a:blip r:embed="rId21"/>
                    <a:stretch>
                      <a:fillRect/>
                    </a:stretch>
                  </pic:blipFill>
                  <pic:spPr>
                    <a:xfrm>
                      <a:off x="0" y="0"/>
                      <a:ext cx="6084000" cy="1962399"/>
                    </a:xfrm>
                    <a:prstGeom prst="rect"/>
                  </pic:spPr>
                </pic:pic>
              </a:graphicData>
            </a:graphic>
          </wp:inline>
        </w:drawing>
      </w:r>
      <w:bookmarkEnd w:id="1074"/>
    </w:p>
    <w:bookmarkEnd w:id="34"/>
    <w:bookmarkStart w:id="37" w:name="模型训练鲁棒性与超参数分析"/>
    <w:p>
      <w:pPr>
        <w:pStyle w:val="Heading2"/>
      </w:pPr>
      <w:r>
        <w:rPr>
          <w:rStyle w:val="SectionNumber"/>
        </w:rPr>
        <w:t xml:space="preserve">4.3</w:t>
      </w:r>
      <w:r>
        <w:tab/>
      </w:r>
      <w:r>
        <w:rPr>
          <w:rFonts w:hint="eastAsia"/>
        </w:rPr>
        <w:t xml:space="preserve">模型训练鲁棒性与超参数分析</w:t>
      </w:r>
    </w:p>
    <w:p>
      <w:pPr>
        <w:pStyle w:val="FirstParagraph"/>
      </w:pPr>
      <w:r>
        <w:rPr>
          <w:rFonts w:hint="eastAsia"/>
        </w:rPr>
        <w:t xml:space="preserve">为进一步考察</w:t>
      </w:r>
      <w:r>
        <w:t xml:space="preserve"> MS-AgentNet </w:t>
      </w:r>
      <w:r>
        <w:rPr>
          <w:rFonts w:hint="eastAsia"/>
        </w:rPr>
        <w:t xml:space="preserve">的训练稳定性及轻量化模型的参数设置，本文对智能体矩阵的初始化策略、模型收敛表现和超参数配置进行分析。</w:t>
      </w:r>
    </w:p>
    <w:bookmarkStart w:id="35" w:name="智能体矩阵初始化与收敛性分析"/>
    <w:p>
      <w:pPr>
        <w:pStyle w:val="Heading3"/>
      </w:pPr>
      <w:r>
        <w:rPr>
          <w:rStyle w:val="SectionNumber"/>
        </w:rPr>
        <w:t xml:space="preserve">4.3.1</w:t>
      </w:r>
      <w:r>
        <w:tab/>
      </w:r>
      <w:r>
        <w:rPr>
          <w:rFonts w:hint="eastAsia"/>
        </w:rPr>
        <w:t xml:space="preserve">智能体矩阵初始化与收敛性分析</w:t>
      </w:r>
    </w:p>
    <w:p>
      <w:pPr>
        <w:pStyle w:val="FirstParagraph"/>
      </w:pPr>
      <w:r>
        <w:t xml:space="preserve">RAA </w:t>
      </w:r>
      <w:r>
        <w:rPr>
          <w:rFonts w:hint="eastAsia"/>
        </w:rPr>
        <w:t xml:space="preserve">将智能体表示为与输入无关的静态可学习矩阵</w:t>
      </w:r>
      <w:r>
        <w:t xml:space="preserve"> </w:t>
      </w:r>
      <m:oMath>
        <m:r>
          <w:rPr>
            <w:rFonts w:ascii="Cambria Math" w:hAnsi="Cambria Math"/>
            <w:sz w:val="22"/>
          </w:rPr>
          <m:rPr>
            <m:sty m:val="bi"/>
          </m:rPr>
          <m:t>A</m:t>
        </m:r>
        <m:r>
          <w:rPr>
            <w:rFonts w:ascii="Cambria Math" w:hAnsi="Cambria Math"/>
            <w:sz w:val="22"/>
          </w:rPr>
          <m:rPr>
            <m:sty m:val="p"/>
          </m:rPr>
          <m:t>∈</m:t>
        </m:r>
        <m:sSup>
          <m:e>
            <m:r>
              <w:rPr>
                <w:rFonts w:ascii="Cambria Math" w:hAnsi="Cambria Math"/>
                <w:sz w:val="22"/>
              </w:rPr>
              <m:rPr>
                <m:scr m:val="double-struck"/>
                <m:sty m:val="p"/>
              </m:rPr>
              <m:t>R</m:t>
            </m:r>
          </m:e>
          <m:sup>
            <m:sSub>
              <m:e>
                <m:r>
                  <w:rPr>
                    <w:rFonts w:ascii="Cambria Math" w:hAnsi="Cambria Math"/>
                    <w:sz w:val="22"/>
                  </w:rPr>
                  <m:t>n</m:t>
                </m:r>
              </m:e>
              <m:sub>
                <m:r>
                  <w:rPr>
                    <w:rFonts w:ascii="Cambria Math" w:hAnsi="Cambria Math"/>
                    <w:sz w:val="22"/>
                  </w:rPr>
                  <m:t>a</m:t>
                </m:r>
              </m:sub>
            </m:sSub>
            <m:r>
              <w:rPr>
                <w:rFonts w:ascii="Cambria Math" w:hAnsi="Cambria Math"/>
                <w:sz w:val="22"/>
              </w:rPr>
              <m:rPr>
                <m:sty m:val="p"/>
              </m:rPr>
              <m:t>×</m:t>
            </m:r>
            <m:r>
              <w:rPr>
                <w:rFonts w:ascii="Cambria Math" w:hAnsi="Cambria Math"/>
                <w:sz w:val="22"/>
              </w:rPr>
              <m:t>d</m:t>
            </m:r>
          </m:sup>
        </m:sSup>
      </m:oMath>
      <w:r>
        <w:rPr>
          <w:rFonts w:hint="eastAsia"/>
        </w:rPr>
        <w:t xml:space="preserve">，用于全局特征聚合，智能体数量固定为</w:t>
      </w:r>
      <w:r>
        <w:t xml:space="preserve"> </w:t>
      </w:r>
      <m:oMath>
        <m:sSub>
          <m:e>
            <m:r>
              <w:rPr>
                <w:rFonts w:ascii="Cambria Math" w:hAnsi="Cambria Math"/>
                <w:sz w:val="22"/>
              </w:rPr>
              <m:t>n</m:t>
            </m:r>
          </m:e>
          <m:sub>
            <m:r>
              <w:rPr>
                <w:rFonts w:ascii="Cambria Math" w:hAnsi="Cambria Math"/>
                <w:sz w:val="22"/>
              </w:rPr>
              <m:t>a</m:t>
            </m:r>
          </m:sub>
        </m:sSub>
        <m:r>
          <w:rPr>
            <w:rFonts w:ascii="Cambria Math" w:hAnsi="Cambria Math"/>
            <w:sz w:val="22"/>
          </w:rPr>
          <m:rPr>
            <m:sty m:val="p"/>
          </m:rPr>
          <m:t>=</m:t>
        </m:r>
        <m:r>
          <w:rPr>
            <w:rFonts w:ascii="Cambria Math" w:hAnsi="Cambria Math"/>
            <w:sz w:val="22"/>
          </w:rPr>
          <m:t>2</m:t>
        </m:r>
      </m:oMath>
      <w:r>
        <w:rPr>
          <w:rFonts w:hint="eastAsia"/>
        </w:rPr>
        <w:t xml:space="preserve">。矩阵参数采用均值为</w:t>
      </w:r>
      <w:r>
        <w:t xml:space="preserve"> </w:t>
      </w:r>
      <w:r>
        <w:rPr>
          <w:rFonts w:hint="eastAsia"/>
        </w:rPr>
        <w:t xml:space="preserve">0、标准差为</w:t>
      </w:r>
      <w:r>
        <w:t xml:space="preserve"> 0.02 </w:t>
      </w:r>
      <w:r>
        <w:rPr>
          <w:rFonts w:hint="eastAsia"/>
        </w:rPr>
        <w:t xml:space="preserve">的正态分布初始化：</w:t>
      </w:r>
    </w:p>
    <w:p>
      <w:pPr>
        <w:pStyle w:val="BodyText"/>
        <w:keepLines/>
        <w:tabs>
          <w:tab w:pos="4791" w:val="center"/>
          <w:tab w:pos="9581" w:val="right"/>
        </w:tabs>
        <w:spacing w:before="100" w:after="100"/>
        <w:ind w:firstLine="0"/>
        <w:jc w:val="left"/>
      </w:pPr>
      <w:bookmarkStart w:id="1076" w:name="equation_38"/>
      <w:bookmarkStart w:id="1075" w:name="b_eq_agent_initialization"/>
      <w:r>
        <w:tab/>
      </w:r>
      <m:oMath>
        <m:sSub>
          <m:e>
            <m:r>
              <w:rPr>
                <w:rFonts w:ascii="Cambria Math" w:hAnsi="Cambria Math"/>
                <w:sz w:val="22"/>
              </w:rPr>
              <m:t>A</m:t>
            </m:r>
          </m:e>
          <m:sub>
            <m:r>
              <w:rPr>
                <w:rFonts w:ascii="Cambria Math" w:hAnsi="Cambria Math"/>
                <w:sz w:val="22"/>
              </w:rPr>
              <m:t>i</m:t>
            </m:r>
            <m:r>
              <w:rPr>
                <w:rFonts w:ascii="Cambria Math" w:hAnsi="Cambria Math"/>
                <w:sz w:val="22"/>
              </w:rPr>
              <m:t>j</m:t>
            </m:r>
          </m:sub>
        </m:sSub>
        <m:r>
          <w:rPr>
            <w:rFonts w:ascii="Cambria Math" w:hAnsi="Cambria Math"/>
            <w:sz w:val="22"/>
          </w:rPr>
          <m:rPr>
            <m:sty m:val="p"/>
          </m:rPr>
          <m:t>∼</m:t>
        </m:r>
        <m:r>
          <w:rPr>
            <w:rFonts w:ascii="Cambria Math" w:hAnsi="Cambria Math"/>
            <w:sz w:val="22"/>
          </w:rPr>
          <m:rPr>
            <m:scr m:val="script"/>
            <m:sty m:val="p"/>
          </m:rPr>
          <m:t>N</m:t>
        </m:r>
        <m:r>
          <w:rPr>
            <w:rFonts w:ascii="Cambria Math" w:hAnsi="Cambria Math"/>
            <w:sz w:val="22"/>
          </w:rPr>
          <m:t>​</m:t>
        </m:r>
        <m:d>
          <m:dPr>
            <m:begChr m:val="("/>
            <m:sepChr m:val=""/>
            <m:endChr m:val=")"/>
            <m:grow/>
          </m:dPr>
          <m:e>
            <m:r>
              <w:rPr>
                <w:rFonts w:ascii="Cambria Math" w:hAnsi="Cambria Math"/>
                <w:sz w:val="22"/>
              </w:rPr>
              <m:t>0</m:t>
            </m:r>
            <m:r>
              <w:rPr>
                <w:rFonts w:ascii="Cambria Math" w:hAnsi="Cambria Math"/>
                <w:sz w:val="22"/>
              </w:rPr>
              <m:rPr>
                <m:sty m:val="p"/>
              </m:rPr>
              <m:t>,</m:t>
            </m:r>
            <m:sSup>
              <m:e>
                <m:r>
                  <w:rPr>
                    <w:rFonts w:ascii="Cambria Math" w:hAnsi="Cambria Math"/>
                    <w:sz w:val="22"/>
                  </w:rPr>
                  <m:t>0.02</m:t>
                </m:r>
              </m:e>
              <m:sup>
                <m:r>
                  <w:rPr>
                    <w:rFonts w:ascii="Cambria Math" w:hAnsi="Cambria Math"/>
                    <w:sz w:val="22"/>
                  </w:rPr>
                  <m:t>2</m:t>
                </m:r>
              </m:sup>
            </m:sSup>
          </m:e>
        </m:d>
      </m:oMath>
      <w:r>
        <w:tab/>
        <w:t>(38)</w:t>
      </w:r>
      <w:bookmarkEnd w:id="1075"/>
      <w:bookmarkEnd w:id="1076"/>
    </w:p>
    <w:p>
      <w:pPr>
        <w:pStyle w:val="BodyText"/>
      </w:pPr>
      <w:r>
        <w:rPr>
          <w:rFonts w:hint="eastAsia"/>
        </w:rPr>
        <w:t xml:space="preserve">式中，</w:t>
      </w:r>
      <m:oMath>
        <m:sSub>
          <m:e>
            <m:r>
              <w:rPr>
                <w:rFonts w:ascii="Cambria Math" w:hAnsi="Cambria Math"/>
                <w:sz w:val="22"/>
              </w:rPr>
              <m:t>A</m:t>
            </m:r>
          </m:e>
          <m:sub>
            <m:r>
              <w:rPr>
                <w:rFonts w:ascii="Cambria Math" w:hAnsi="Cambria Math"/>
                <w:sz w:val="22"/>
              </w:rPr>
              <m:t>i</m:t>
            </m:r>
            <m:r>
              <w:rPr>
                <w:rFonts w:ascii="Cambria Math" w:hAnsi="Cambria Math"/>
                <w:sz w:val="22"/>
              </w:rPr>
              <m:t>j</m:t>
            </m:r>
          </m:sub>
        </m:sSub>
      </m:oMath>
      <w:r>
        <w:t xml:space="preserve"> </w:t>
      </w:r>
      <w:r>
        <w:rPr>
          <w:rFonts w:hint="eastAsia"/>
        </w:rPr>
        <w:t xml:space="preserve">表示第</w:t>
      </w:r>
      <w:r>
        <w:t xml:space="preserve"> </w:t>
      </w:r>
      <m:oMath>
        <m:r>
          <w:rPr>
            <w:rFonts w:ascii="Cambria Math" w:hAnsi="Cambria Math"/>
            <w:sz w:val="22"/>
          </w:rPr>
          <m:t>i</m:t>
        </m:r>
      </m:oMath>
      <w:r>
        <w:t xml:space="preserve"> </w:t>
      </w:r>
      <w:r>
        <w:rPr>
          <w:rFonts w:hint="eastAsia"/>
        </w:rPr>
        <w:t xml:space="preserve">个智能体在第</w:t>
      </w:r>
      <w:r>
        <w:t xml:space="preserve"> </w:t>
      </w:r>
      <m:oMath>
        <m:r>
          <w:rPr>
            <w:rFonts w:ascii="Cambria Math" w:hAnsi="Cambria Math"/>
            <w:sz w:val="22"/>
          </w:rPr>
          <m:t>j</m:t>
        </m:r>
      </m:oMath>
      <w:r>
        <w:t xml:space="preserve"> </w:t>
      </w:r>
      <w:r>
        <w:rPr>
          <w:rFonts w:hint="eastAsia"/>
        </w:rPr>
        <w:t xml:space="preserve">维特征上的参数。该初始化能够为不同智能体提供幅值较小且非一致的初始参数，避免其处于完全相同的初始状态。</w:t>
      </w:r>
    </w:p>
    <w:p>
      <w:pPr>
        <w:pStyle w:val="BodyText"/>
      </w:pPr>
      <w:r>
        <w:rPr>
          <w:rFonts w:hint="eastAsia"/>
        </w:rPr>
        <w:t xml:space="preserve">三种初始化方案的对比结果如</w:t>
      </w:r>
      <w:hyperlink w:anchor="b_tab_4_3_initialization">
        <w:r>
          <w:rPr>
            <w:rStyle w:val="Hyperlink"/>
          </w:rPr>
          <w:t xml:space="preserve">Table 7</w:t>
        </w:r>
      </w:hyperlink>
      <w:r>
        <w:rPr>
          <w:rFonts w:hint="eastAsia"/>
        </w:rPr>
        <w:t xml:space="preserve">所示。各方案对应的</w:t>
      </w:r>
      <w:r>
        <w:t xml:space="preserve"> </w:t>
      </w:r>
      <m:oMath>
        <m:sSup>
          <m:e>
            <m:r>
              <w:rPr>
                <w:rFonts w:ascii="Cambria Math" w:hAnsi="Cambria Math"/>
                <w:sz w:val="22"/>
              </w:rPr>
              <m:t>R</m:t>
            </m:r>
          </m:e>
          <m:sup>
            <m:r>
              <w:rPr>
                <w:rFonts w:ascii="Cambria Math" w:hAnsi="Cambria Math"/>
                <w:sz w:val="22"/>
              </w:rPr>
              <m:t>2</m:t>
            </m:r>
          </m:sup>
        </m:sSup>
      </m:oMath>
      <w:r>
        <w:t xml:space="preserve"> </w:t>
      </w:r>
      <w:r>
        <w:rPr>
          <w:rFonts w:hint="eastAsia"/>
        </w:rPr>
        <w:t xml:space="preserve">为</w:t>
      </w:r>
      <w:r>
        <w:t xml:space="preserve"> </w:t>
      </w:r>
      <w:r>
        <w:rPr>
          <w:rFonts w:hint="eastAsia"/>
        </w:rPr>
        <w:t xml:space="preserve">0.98527～0.98645，RMSE</w:t>
      </w:r>
      <w:r>
        <w:t xml:space="preserve"> </w:t>
      </w:r>
      <w:r>
        <w:rPr>
          <w:rFonts w:hint="eastAsia"/>
        </w:rPr>
        <w:t xml:space="preserve">为</w:t>
      </w:r>
      <w:r>
        <w:t xml:space="preserve"> </w:t>
      </w:r>
      <w:r>
        <w:rPr>
          <w:rFonts w:hint="eastAsia"/>
        </w:rPr>
        <w:t xml:space="preserve">0.00774～0.00805，MAE</w:t>
      </w:r>
      <w:r>
        <w:t xml:space="preserve"> </w:t>
      </w:r>
      <w:r>
        <w:rPr>
          <w:rFonts w:hint="eastAsia"/>
        </w:rPr>
        <w:t xml:space="preserve">为</w:t>
      </w:r>
      <w:r>
        <w:t xml:space="preserve"> </w:t>
      </w:r>
      <w:r>
        <w:rPr>
          <w:rFonts w:hint="eastAsia"/>
        </w:rPr>
        <w:t xml:space="preserve">0.00485～0.00499，表明其预测性能较为接近。截断正态通过限定采样范围控制参数幅值，Xavier</w:t>
      </w:r>
      <w:r>
        <w:t xml:space="preserve"> </w:t>
      </w:r>
      <w:r>
        <w:rPr>
          <w:rFonts w:hint="eastAsia"/>
        </w:rPr>
        <w:t xml:space="preserve">均匀初始化则根据网络层的输入和输出维度调整参数方差。相比之下，普通正态初始化能够直接为静态智能体矩阵提供以零为中心的小幅随机参数，且不依赖额外的范围限制或维度缩放。因此，本文采用普通正态初始化作为默认设置。</w:t>
      </w:r>
    </w:p>
    <w:p>
      <w:pPr>
        <w:pStyle w:val="BodyText"/>
      </w:pPr>
      <w:r>
        <w:rPr>
          <w:rFonts w:hint="eastAsia"/>
        </w:rPr>
        <w:t xml:space="preserve">模型收敛特性通过收敛速度和训练后期损失波动共同评价。将训练损失首次降至首轮损失</w:t>
      </w:r>
      <w:r>
        <w:t xml:space="preserve"> 10% </w:t>
      </w:r>
      <w:r>
        <w:rPr>
          <w:rFonts w:hint="eastAsia"/>
        </w:rPr>
        <w:t xml:space="preserve">以下的训练轮次定义为收敛阈值轮次，并采用最后</w:t>
      </w:r>
      <w:r>
        <w:t xml:space="preserve"> 20 </w:t>
      </w:r>
      <w:r>
        <w:rPr>
          <w:rFonts w:hint="eastAsia"/>
        </w:rPr>
        <w:t xml:space="preserve">轮损失的均值和标准差描述训练后期的收敛状态。如</w:t>
      </w:r>
      <w:hyperlink w:anchor="b_tab_4_3">
        <w:r>
          <w:rPr>
            <w:rStyle w:val="Hyperlink"/>
          </w:rPr>
          <w:t xml:space="preserve">Table 8</w:t>
        </w:r>
      </w:hyperlink>
      <w:r>
        <w:rPr>
          <w:rFonts w:hint="eastAsia"/>
        </w:rPr>
        <w:t xml:space="preserve">所示，各次训练均达到预设收敛阈值。Oxford</w:t>
      </w:r>
      <w:r>
        <w:t xml:space="preserve"> </w:t>
      </w:r>
      <w:r>
        <w:rPr>
          <w:rFonts w:hint="eastAsia"/>
        </w:rPr>
        <w:t xml:space="preserve">和</w:t>
      </w:r>
      <w:r>
        <w:t xml:space="preserve"> MIT </w:t>
      </w:r>
      <w:r>
        <w:rPr>
          <w:rFonts w:hint="eastAsia"/>
        </w:rPr>
        <w:t xml:space="preserve">数据集上的收敛阈值轮次中位数分别为</w:t>
      </w:r>
      <w:r>
        <w:t xml:space="preserve"> 26 </w:t>
      </w:r>
      <w:r>
        <w:rPr>
          <w:rFonts w:hint="eastAsia"/>
        </w:rPr>
        <w:t xml:space="preserve">和</w:t>
      </w:r>
      <w:r>
        <w:t xml:space="preserve"> </w:t>
      </w:r>
      <w:r>
        <w:rPr>
          <w:rFonts w:hint="eastAsia"/>
        </w:rPr>
        <w:t xml:space="preserve">7，训练后期损失标准差中位数分别为</w:t>
      </w:r>
      <w:r>
        <w:t xml:space="preserve"> </w:t>
      </w:r>
      <m:oMath>
        <m:r>
          <w:rPr>
            <w:rFonts w:ascii="Cambria Math" w:hAnsi="Cambria Math"/>
            <w:sz w:val="22"/>
          </w:rPr>
          <m:t>2.38</m:t>
        </m:r>
        <m:r>
          <w:rPr>
            <w:rFonts w:ascii="Cambria Math" w:hAnsi="Cambria Math"/>
            <w:sz w:val="22"/>
          </w:rPr>
          <m:rPr>
            <m:sty m:val="p"/>
          </m:rPr>
          <m:t>×</m:t>
        </m:r>
        <m:sSup>
          <m:e>
            <m:r>
              <w:rPr>
                <w:rFonts w:ascii="Cambria Math" w:hAnsi="Cambria Math"/>
                <w:sz w:val="22"/>
              </w:rPr>
              <m:t>10</m:t>
            </m:r>
          </m:e>
          <m:sup>
            <m:r>
              <w:rPr>
                <w:rFonts w:ascii="Cambria Math" w:hAnsi="Cambria Math"/>
                <w:sz w:val="22"/>
              </w:rPr>
              <m:rPr>
                <m:sty m:val="p"/>
              </m:rPr>
              <m:t>−</m:t>
            </m:r>
            <m:r>
              <w:rPr>
                <w:rFonts w:ascii="Cambria Math" w:hAnsi="Cambria Math"/>
                <w:sz w:val="22"/>
              </w:rPr>
              <m:t>4</m:t>
            </m:r>
          </m:sup>
        </m:sSup>
      </m:oMath>
      <w:r>
        <w:t xml:space="preserve"> </w:t>
      </w:r>
      <w:r>
        <w:rPr>
          <w:rFonts w:hint="eastAsia"/>
        </w:rPr>
        <w:t xml:space="preserve">和</w:t>
      </w:r>
      <w:r>
        <w:t xml:space="preserve"> </w:t>
      </w:r>
      <m:oMath>
        <m:r>
          <w:rPr>
            <w:rFonts w:ascii="Cambria Math" w:hAnsi="Cambria Math"/>
            <w:sz w:val="22"/>
          </w:rPr>
          <m:t>4.84</m:t>
        </m:r>
        <m:r>
          <w:rPr>
            <w:rFonts w:ascii="Cambria Math" w:hAnsi="Cambria Math"/>
            <w:sz w:val="22"/>
          </w:rPr>
          <m:rPr>
            <m:sty m:val="p"/>
          </m:rPr>
          <m:t>×</m:t>
        </m:r>
        <m:sSup>
          <m:e>
            <m:r>
              <w:rPr>
                <w:rFonts w:ascii="Cambria Math" w:hAnsi="Cambria Math"/>
                <w:sz w:val="22"/>
              </w:rPr>
              <m:t>10</m:t>
            </m:r>
          </m:e>
          <m:sup>
            <m:r>
              <w:rPr>
                <w:rFonts w:ascii="Cambria Math" w:hAnsi="Cambria Math"/>
                <w:sz w:val="22"/>
              </w:rPr>
              <m:rPr>
                <m:sty m:val="p"/>
              </m:rPr>
              <m:t>−</m:t>
            </m:r>
            <m:r>
              <w:rPr>
                <w:rFonts w:ascii="Cambria Math" w:hAnsi="Cambria Math"/>
                <w:sz w:val="22"/>
              </w:rPr>
              <m:t>6</m:t>
            </m:r>
          </m:sup>
        </m:sSup>
      </m:oMath>
      <w:r>
        <w:rPr>
          <w:rFonts w:hint="eastAsia"/>
        </w:rPr>
        <w:t xml:space="preserve">。上述结果表明，MS-AgentNet</w:t>
      </w:r>
      <w:r>
        <w:t xml:space="preserve"> </w:t>
      </w:r>
      <w:r>
        <w:rPr>
          <w:rFonts w:hint="eastAsia"/>
        </w:rPr>
        <w:t xml:space="preserve">在当前实验设置下能够稳定收敛，且训练后期的损失波动较小。</w:t>
      </w:r>
    </w:p>
    <w:p>
      <w:pPr>
        <w:pStyle w:val="BodyText"/>
        <w:keepLines/>
        <w:spacing w:before="100" w:after="80"/>
        <w:ind w:firstLine="0"/>
        <w:jc w:val="center"/>
      </w:pPr>
      <w:bookmarkStart w:id="1077" w:name="b_tab_4_3_initialization"/>
      <w:r>
        <w:drawing>
          <wp:inline>
            <wp:extent cx="6084000" cy="1835884"/>
            <wp:docPr id="14" name="Picture 14"/>
            <wp:cNvGraphicFramePr>
              <a:graphicFrameLocks noChangeAspect="1"/>
            </wp:cNvGraphicFramePr>
            <a:graphic>
              <a:graphicData uri="http://schemas.openxmlformats.org/drawingml/2006/picture">
                <pic:pic>
                  <pic:nvPicPr>
                    <pic:cNvPr id="0" name="table_07.png"/>
                    <pic:cNvPicPr/>
                  </pic:nvPicPr>
                  <pic:blipFill>
                    <a:blip r:embed="rId22"/>
                    <a:stretch>
                      <a:fillRect/>
                    </a:stretch>
                  </pic:blipFill>
                  <pic:spPr>
                    <a:xfrm>
                      <a:off x="0" y="0"/>
                      <a:ext cx="6084000" cy="1835884"/>
                    </a:xfrm>
                    <a:prstGeom prst="rect"/>
                  </pic:spPr>
                </pic:pic>
              </a:graphicData>
            </a:graphic>
          </wp:inline>
        </w:drawing>
      </w:r>
      <w:bookmarkEnd w:id="1077"/>
    </w:p>
    <w:p>
      <w:pPr>
        <w:pStyle w:val="BodyText"/>
        <w:keepLines/>
        <w:spacing w:before="100" w:after="80"/>
        <w:ind w:firstLine="0"/>
        <w:jc w:val="center"/>
      </w:pPr>
      <w:bookmarkStart w:id="1078" w:name="b_tab_4_3"/>
      <w:r>
        <w:drawing>
          <wp:inline>
            <wp:extent cx="6084000" cy="1155510"/>
            <wp:docPr id="15" name="Picture 15"/>
            <wp:cNvGraphicFramePr>
              <a:graphicFrameLocks noChangeAspect="1"/>
            </wp:cNvGraphicFramePr>
            <a:graphic>
              <a:graphicData uri="http://schemas.openxmlformats.org/drawingml/2006/picture">
                <pic:pic>
                  <pic:nvPicPr>
                    <pic:cNvPr id="0" name="table_08.png"/>
                    <pic:cNvPicPr/>
                  </pic:nvPicPr>
                  <pic:blipFill>
                    <a:blip r:embed="rId23"/>
                    <a:stretch>
                      <a:fillRect/>
                    </a:stretch>
                  </pic:blipFill>
                  <pic:spPr>
                    <a:xfrm>
                      <a:off x="0" y="0"/>
                      <a:ext cx="6084000" cy="1155510"/>
                    </a:xfrm>
                    <a:prstGeom prst="rect"/>
                  </pic:spPr>
                </pic:pic>
              </a:graphicData>
            </a:graphic>
          </wp:inline>
        </w:drawing>
      </w:r>
      <w:bookmarkEnd w:id="1078"/>
    </w:p>
    <w:bookmarkEnd w:id="35"/>
    <w:bookmarkStart w:id="36" w:name="超参数配置"/>
    <w:p>
      <w:pPr>
        <w:pStyle w:val="Heading3"/>
      </w:pPr>
      <w:r>
        <w:rPr>
          <w:rStyle w:val="SectionNumber"/>
        </w:rPr>
        <w:t xml:space="preserve">4.3.2</w:t>
      </w:r>
      <w:r>
        <w:tab/>
      </w:r>
      <w:r>
        <w:rPr>
          <w:rFonts w:hint="eastAsia"/>
        </w:rPr>
        <w:t xml:space="preserve">超参数配置</w:t>
      </w:r>
    </w:p>
    <w:p>
      <w:pPr>
        <w:pStyle w:val="FirstParagraph"/>
      </w:pPr>
      <w:r>
        <w:t xml:space="preserve">MS-AgentNet </w:t>
      </w:r>
      <w:r>
        <w:rPr>
          <w:rFonts w:hint="eastAsia"/>
        </w:rPr>
        <w:t xml:space="preserve">的主要超参数包括学习率、网络深度</w:t>
      </w:r>
      <w:r>
        <w:t xml:space="preserve"> </w:t>
      </w:r>
      <m:oMath>
        <m:r>
          <w:rPr>
            <w:rFonts w:ascii="Cambria Math" w:hAnsi="Cambria Math"/>
            <w:sz w:val="22"/>
          </w:rPr>
          <m:t>L</m:t>
        </m:r>
      </m:oMath>
      <w:r>
        <w:t xml:space="preserve"> </w:t>
      </w:r>
      <w:r>
        <w:rPr>
          <w:rFonts w:hint="eastAsia"/>
        </w:rPr>
        <w:t xml:space="preserve">和嵌入维度</w:t>
      </w:r>
      <w:r>
        <w:t xml:space="preserve"> </w:t>
      </w:r>
      <m:oMath>
        <m:r>
          <w:rPr>
            <w:rFonts w:ascii="Cambria Math" w:hAnsi="Cambria Math"/>
            <w:sz w:val="22"/>
          </w:rPr>
          <m:t>d</m:t>
        </m:r>
      </m:oMath>
      <w:r>
        <w:rPr>
          <w:rFonts w:hint="eastAsia"/>
        </w:rPr>
        <w:t xml:space="preserve">，各参数的配置范围见</w:t>
      </w:r>
      <w:hyperlink w:anchor="b_tab_4_1">
        <w:r>
          <w:rPr>
            <w:rStyle w:val="Hyperlink"/>
          </w:rPr>
          <w:t xml:space="preserve">Table 9</w:t>
        </w:r>
      </w:hyperlink>
      <w:r>
        <w:rPr>
          <w:rFonts w:hint="eastAsia"/>
        </w:rPr>
        <w:t xml:space="preserve">。在上述范围内，各数据集利用特征开发集合中的两节电池完成模型训练和配置，其中一节用于模型参数学习，另一节用于超参数配置。Oxford、CALCE</w:t>
      </w:r>
      <w:r>
        <w:t xml:space="preserve"> CS2、CALCE CX2 </w:t>
      </w:r>
      <w:r>
        <w:rPr>
          <w:rFonts w:hint="eastAsia"/>
        </w:rPr>
        <w:t xml:space="preserve">和</w:t>
      </w:r>
      <w:r>
        <w:t xml:space="preserve"> MIT/Severson </w:t>
      </w:r>
      <w:r>
        <w:rPr>
          <w:rFonts w:hint="eastAsia"/>
        </w:rPr>
        <w:t xml:space="preserve">数据集对应的训练电池与配置电池分别为</w:t>
      </w:r>
      <w:r>
        <w:t xml:space="preserve"> Cell1 </w:t>
      </w:r>
      <w:r>
        <w:rPr>
          <w:rFonts w:hint="eastAsia"/>
        </w:rPr>
        <w:t xml:space="preserve">与</w:t>
      </w:r>
      <w:r>
        <w:t xml:space="preserve"> Cell2、CS2_36 </w:t>
      </w:r>
      <w:r>
        <w:rPr>
          <w:rFonts w:hint="eastAsia"/>
        </w:rPr>
        <w:t xml:space="preserve">与</w:t>
      </w:r>
      <w:r>
        <w:t xml:space="preserve"> CS2_37、CX2_36 </w:t>
      </w:r>
      <w:r>
        <w:rPr>
          <w:rFonts w:hint="eastAsia"/>
        </w:rPr>
        <w:t xml:space="preserve">与</w:t>
      </w:r>
      <w:r>
        <w:t xml:space="preserve"> CX2_37 </w:t>
      </w:r>
      <w:r>
        <w:rPr>
          <w:rFonts w:hint="eastAsia"/>
        </w:rPr>
        <w:t xml:space="preserve">以及</w:t>
      </w:r>
      <w:r>
        <w:t xml:space="preserve"> b3c8 </w:t>
      </w:r>
      <w:r>
        <w:rPr>
          <w:rFonts w:hint="eastAsia"/>
        </w:rPr>
        <w:t xml:space="preserve">与</w:t>
      </w:r>
      <w:r>
        <w:t xml:space="preserve"> b3c13。</w:t>
      </w:r>
    </w:p>
    <w:p>
      <w:pPr>
        <w:pStyle w:val="BodyText"/>
      </w:pPr>
      <w:r>
        <w:rPr>
          <w:rFonts w:hint="eastAsia"/>
        </w:rPr>
        <w:t xml:space="preserve">确定后的模型配置保持不变。在后续</w:t>
      </w:r>
      <w:r>
        <w:t xml:space="preserve"> SOH </w:t>
      </w:r>
      <w:r>
        <w:rPr>
          <w:rFonts w:hint="eastAsia"/>
        </w:rPr>
        <w:t xml:space="preserve">估计性能比较中，MS-AgentNet</w:t>
      </w:r>
      <w:r>
        <w:t xml:space="preserve"> </w:t>
      </w:r>
      <w:r>
        <w:rPr>
          <w:rFonts w:hint="eastAsia"/>
        </w:rPr>
        <w:t xml:space="preserve">采用学习率</w:t>
      </w:r>
      <w:r>
        <w:t xml:space="preserve"> </w:t>
      </w:r>
      <w:r>
        <w:rPr>
          <w:rFonts w:hint="eastAsia"/>
        </w:rPr>
        <w:t xml:space="preserve">0.001、网络深度</w:t>
      </w:r>
      <w:r>
        <w:t xml:space="preserve"> </w:t>
      </w:r>
      <m:oMath>
        <m:r>
          <w:rPr>
            <w:rFonts w:ascii="Cambria Math" w:hAnsi="Cambria Math"/>
            <w:sz w:val="22"/>
          </w:rPr>
          <m:t>L</m:t>
        </m:r>
        <m:r>
          <w:rPr>
            <w:rFonts w:ascii="Cambria Math" w:hAnsi="Cambria Math"/>
            <w:sz w:val="22"/>
          </w:rPr>
          <m:rPr>
            <m:sty m:val="p"/>
          </m:rPr>
          <m:t>=</m:t>
        </m:r>
        <m:r>
          <w:rPr>
            <w:rFonts w:ascii="Cambria Math" w:hAnsi="Cambria Math"/>
            <w:sz w:val="22"/>
          </w:rPr>
          <m:t>1</m:t>
        </m:r>
      </m:oMath>
      <w:r>
        <w:t xml:space="preserve"> </w:t>
      </w:r>
      <w:r>
        <w:rPr>
          <w:rFonts w:hint="eastAsia"/>
        </w:rPr>
        <w:t xml:space="preserve">和嵌入维度</w:t>
      </w:r>
      <w:r>
        <w:t xml:space="preserve"> </w:t>
      </w:r>
      <m:oMath>
        <m:r>
          <w:rPr>
            <w:rFonts w:ascii="Cambria Math" w:hAnsi="Cambria Math"/>
            <w:sz w:val="22"/>
          </w:rPr>
          <m:t>d</m:t>
        </m:r>
        <m:r>
          <w:rPr>
            <w:rFonts w:ascii="Cambria Math" w:hAnsi="Cambria Math"/>
            <w:sz w:val="22"/>
          </w:rPr>
          <m:rPr>
            <m:sty m:val="p"/>
          </m:rPr>
          <m:t>=</m:t>
        </m:r>
        <m:r>
          <w:rPr>
            <w:rFonts w:ascii="Cambria Math" w:hAnsi="Cambria Math"/>
            <w:sz w:val="22"/>
          </w:rPr>
          <m:t>16</m:t>
        </m:r>
      </m:oMath>
      <w:r>
        <w:t xml:space="preserve">。</w:t>
      </w:r>
    </w:p>
    <w:p>
      <w:pPr>
        <w:pStyle w:val="BodyText"/>
        <w:keepLines/>
        <w:spacing w:before="100" w:after="80"/>
        <w:ind w:firstLine="0"/>
        <w:jc w:val="center"/>
      </w:pPr>
      <w:bookmarkStart w:id="1079" w:name="b_tab_4_1"/>
      <w:r>
        <w:drawing>
          <wp:inline>
            <wp:extent cx="6084000" cy="1192059"/>
            <wp:docPr id="16" name="Picture 16"/>
            <wp:cNvGraphicFramePr>
              <a:graphicFrameLocks noChangeAspect="1"/>
            </wp:cNvGraphicFramePr>
            <a:graphic>
              <a:graphicData uri="http://schemas.openxmlformats.org/drawingml/2006/picture">
                <pic:pic>
                  <pic:nvPicPr>
                    <pic:cNvPr id="0" name="table_09.png"/>
                    <pic:cNvPicPr/>
                  </pic:nvPicPr>
                  <pic:blipFill>
                    <a:blip r:embed="rId24"/>
                    <a:stretch>
                      <a:fillRect/>
                    </a:stretch>
                  </pic:blipFill>
                  <pic:spPr>
                    <a:xfrm>
                      <a:off x="0" y="0"/>
                      <a:ext cx="6084000" cy="1192059"/>
                    </a:xfrm>
                    <a:prstGeom prst="rect"/>
                  </pic:spPr>
                </pic:pic>
              </a:graphicData>
            </a:graphic>
          </wp:inline>
        </w:drawing>
      </w:r>
      <w:bookmarkEnd w:id="1079"/>
    </w:p>
    <w:bookmarkEnd w:id="36"/>
    <w:bookmarkEnd w:id="37"/>
    <w:bookmarkStart w:id="40" w:name="soh估计精度与跨电池泛化性能比较"/>
    <w:p>
      <w:pPr>
        <w:pStyle w:val="Heading2"/>
      </w:pPr>
      <w:r>
        <w:rPr>
          <w:rStyle w:val="SectionNumber"/>
        </w:rPr>
        <w:t xml:space="preserve">4.4</w:t>
      </w:r>
      <w:r>
        <w:tab/>
      </w:r>
      <w:r>
        <w:rPr>
          <w:rFonts w:hint="eastAsia"/>
        </w:rPr>
        <w:t xml:space="preserve">SOH估计精度与跨电池泛化性能比较</w:t>
      </w:r>
    </w:p>
    <w:p>
      <w:pPr>
        <w:pStyle w:val="FirstParagraph"/>
      </w:pPr>
      <w:r>
        <w:rPr>
          <w:rFonts w:hint="eastAsia"/>
        </w:rPr>
        <w:t xml:space="preserve">根据第</w:t>
      </w:r>
      <w:r>
        <w:t xml:space="preserve"> 2.3 </w:t>
      </w:r>
      <w:r>
        <w:rPr>
          <w:rFonts w:hint="eastAsia"/>
        </w:rPr>
        <w:t xml:space="preserve">节的筛选结果，Oxford</w:t>
      </w:r>
      <w:r>
        <w:t xml:space="preserve"> </w:t>
      </w:r>
      <w:r>
        <w:rPr>
          <w:rFonts w:hint="eastAsia"/>
        </w:rPr>
        <w:t xml:space="preserve">数据集采用</w:t>
      </w:r>
      <w:r>
        <w:t xml:space="preserve"> </w:t>
      </w:r>
      <w:r>
        <w:rPr>
          <w:rFonts w:hint="eastAsia"/>
        </w:rPr>
        <w:t xml:space="preserve">HI1，CALCE</w:t>
      </w:r>
      <w:r>
        <w:t xml:space="preserve"> CS2 </w:t>
      </w:r>
      <w:r>
        <w:rPr>
          <w:rFonts w:hint="eastAsia"/>
        </w:rPr>
        <w:t xml:space="preserve">数据集采用</w:t>
      </w:r>
      <w:r>
        <w:t xml:space="preserve"> HI1 </w:t>
      </w:r>
      <w:r>
        <w:rPr>
          <w:rFonts w:hint="eastAsia"/>
        </w:rPr>
        <w:t xml:space="preserve">和</w:t>
      </w:r>
      <w:r>
        <w:t xml:space="preserve"> </w:t>
      </w:r>
      <w:r>
        <w:rPr>
          <w:rFonts w:hint="eastAsia"/>
        </w:rPr>
        <w:t xml:space="preserve">HI2，CALCE</w:t>
      </w:r>
      <w:r>
        <w:t xml:space="preserve"> CX2 </w:t>
      </w:r>
      <w:r>
        <w:rPr>
          <w:rFonts w:hint="eastAsia"/>
        </w:rPr>
        <w:t xml:space="preserve">数据集采用</w:t>
      </w:r>
      <w:r>
        <w:t xml:space="preserve"> </w:t>
      </w:r>
      <w:r>
        <w:rPr>
          <w:rFonts w:hint="eastAsia"/>
        </w:rPr>
        <w:t xml:space="preserve">HI13，MIT/Severson</w:t>
      </w:r>
      <w:r>
        <w:t xml:space="preserve"> </w:t>
      </w:r>
      <w:r>
        <w:rPr>
          <w:rFonts w:hint="eastAsia"/>
        </w:rPr>
        <w:t xml:space="preserve">数据集采用</w:t>
      </w:r>
      <w:r>
        <w:t xml:space="preserve"> HI14 </w:t>
      </w:r>
      <w:r>
        <w:rPr>
          <w:rFonts w:hint="eastAsia"/>
        </w:rPr>
        <w:t xml:space="preserve">和</w:t>
      </w:r>
      <w:r>
        <w:t xml:space="preserve"> </w:t>
      </w:r>
      <w:r>
        <w:rPr>
          <w:rFonts w:hint="eastAsia"/>
        </w:rPr>
        <w:t xml:space="preserve">HI15。在上述健康指标输入下，进一步比较</w:t>
      </w:r>
      <w:r>
        <w:t xml:space="preserve"> MS-AgentNet </w:t>
      </w:r>
      <w:r>
        <w:rPr>
          <w:rFonts w:hint="eastAsia"/>
        </w:rPr>
        <w:t xml:space="preserve">与四种基线模型的</w:t>
      </w:r>
      <w:r>
        <w:t xml:space="preserve"> SOH </w:t>
      </w:r>
      <w:r>
        <w:rPr>
          <w:rFonts w:hint="eastAsia"/>
        </w:rPr>
        <w:t xml:space="preserve">估计性能。</w:t>
      </w:r>
    </w:p>
    <w:bookmarkStart w:id="38" w:name="oxford数据集上的估计精度分析"/>
    <w:p>
      <w:pPr>
        <w:pStyle w:val="Heading3"/>
      </w:pPr>
      <w:r>
        <w:rPr>
          <w:rStyle w:val="SectionNumber"/>
        </w:rPr>
        <w:t xml:space="preserve">4.4.1</w:t>
      </w:r>
      <w:r>
        <w:tab/>
      </w:r>
      <w:r>
        <w:rPr>
          <w:rFonts w:hint="eastAsia"/>
        </w:rPr>
        <w:t xml:space="preserve">Oxford数据集上的估计精度分析</w:t>
      </w:r>
    </w:p>
    <w:p>
      <w:pPr>
        <w:pStyle w:val="FirstParagraph"/>
      </w:pPr>
      <w:r>
        <w:rPr>
          <w:rFonts w:hint="eastAsia"/>
        </w:rPr>
        <w:t xml:space="preserve">五种模型的层配置见</w:t>
      </w:r>
      <w:hyperlink w:anchor="b_tab_4_4">
        <w:r>
          <w:rPr>
            <w:rStyle w:val="Hyperlink"/>
          </w:rPr>
          <w:t xml:space="preserve">Table 10</w:t>
        </w:r>
      </w:hyperlink>
      <w:r>
        <w:t xml:space="preserve">。</w:t>
      </w:r>
    </w:p>
    <w:p>
      <w:pPr>
        <w:pStyle w:val="BodyText"/>
        <w:keepLines/>
        <w:spacing w:before="100" w:after="80"/>
        <w:ind w:firstLine="0"/>
        <w:jc w:val="center"/>
      </w:pPr>
      <w:bookmarkStart w:id="1080" w:name="b_tab_4_4"/>
      <w:r>
        <w:drawing>
          <wp:inline>
            <wp:extent cx="6084000" cy="2552806"/>
            <wp:docPr id="17" name="Picture 17"/>
            <wp:cNvGraphicFramePr>
              <a:graphicFrameLocks noChangeAspect="1"/>
            </wp:cNvGraphicFramePr>
            <a:graphic>
              <a:graphicData uri="http://schemas.openxmlformats.org/drawingml/2006/picture">
                <pic:pic>
                  <pic:nvPicPr>
                    <pic:cNvPr id="0" name="table_10.png"/>
                    <pic:cNvPicPr/>
                  </pic:nvPicPr>
                  <pic:blipFill>
                    <a:blip r:embed="rId25"/>
                    <a:stretch>
                      <a:fillRect/>
                    </a:stretch>
                  </pic:blipFill>
                  <pic:spPr>
                    <a:xfrm>
                      <a:off x="0" y="0"/>
                      <a:ext cx="6084000" cy="2552806"/>
                    </a:xfrm>
                    <a:prstGeom prst="rect"/>
                  </pic:spPr>
                </pic:pic>
              </a:graphicData>
            </a:graphic>
          </wp:inline>
        </w:drawing>
      </w:r>
      <w:bookmarkEnd w:id="1080"/>
    </w:p>
    <w:p>
      <w:pPr>
        <w:pStyle w:val="BodyText"/>
      </w:pPr>
      <w:hyperlink w:anchor="b_fig_4_2">
        <w:r>
          <w:rPr>
            <w:rStyle w:val="Hyperlink"/>
          </w:rPr>
          <w:t xml:space="preserve">Fig. 8</w:t>
        </w:r>
      </w:hyperlink>
      <w:r>
        <w:rPr>
          <w:rFonts w:hint="eastAsia"/>
        </w:rPr>
        <w:t xml:space="preserve">和</w:t>
      </w:r>
      <w:hyperlink w:anchor="b_tab_4_5">
        <w:r>
          <w:rPr>
            <w:rStyle w:val="Hyperlink"/>
          </w:rPr>
          <w:t xml:space="preserve">Table 11</w:t>
        </w:r>
      </w:hyperlink>
      <w:r>
        <w:rPr>
          <w:rFonts w:hint="eastAsia"/>
        </w:rPr>
        <w:t xml:space="preserve">展示了</w:t>
      </w:r>
      <w:r>
        <w:t xml:space="preserve"> MS-AgentNet、CNN-Transformer、CNN-LSTM、Transformer </w:t>
      </w:r>
      <w:r>
        <w:rPr>
          <w:rFonts w:hint="eastAsia"/>
        </w:rPr>
        <w:t xml:space="preserve">和</w:t>
      </w:r>
      <w:r>
        <w:t xml:space="preserve"> LSTM </w:t>
      </w:r>
      <w:r>
        <w:rPr>
          <w:rFonts w:hint="eastAsia"/>
        </w:rPr>
        <w:t xml:space="preserve">在</w:t>
      </w:r>
      <w:r>
        <w:t xml:space="preserve"> Oxford Cell2–Cell8 </w:t>
      </w:r>
      <w:r>
        <w:rPr>
          <w:rFonts w:hint="eastAsia"/>
        </w:rPr>
        <w:t xml:space="preserve">上的</w:t>
      </w:r>
      <w:r>
        <w:t xml:space="preserve"> SOH </w:t>
      </w:r>
      <w:r>
        <w:rPr>
          <w:rFonts w:hint="eastAsia"/>
        </w:rPr>
        <w:t xml:space="preserve">估计结果和误差。</w:t>
      </w:r>
    </w:p>
    <w:p>
      <w:pPr>
        <w:pStyle w:val="BodyText"/>
        <w:keepNext/>
        <w:keepLines/>
        <w:spacing w:before="100" w:after="80"/>
        <w:ind w:firstLine="0"/>
        <w:jc w:val="center"/>
      </w:pPr>
      <w:bookmarkStart w:id="1081" w:name="b_fig_4_2"/>
      <w:r>
        <w:drawing>
          <wp:inline>
            <wp:extent cx="6084000" cy="7745573"/>
            <wp:docPr id="18" name="Picture 18"/>
            <wp:cNvGraphicFramePr>
              <a:graphicFrameLocks noChangeAspect="1"/>
            </wp:cNvGraphicFramePr>
            <a:graphic>
              <a:graphicData uri="http://schemas.openxmlformats.org/drawingml/2006/picture">
                <pic:pic>
                  <pic:nvPicPr>
                    <pic:cNvPr id="0" name="figure_4_2_oxford_panel.png"/>
                    <pic:cNvPicPr/>
                  </pic:nvPicPr>
                  <pic:blipFill>
                    <a:blip r:embed="rId26"/>
                    <a:stretch>
                      <a:fillRect/>
                    </a:stretch>
                  </pic:blipFill>
                  <pic:spPr>
                    <a:xfrm>
                      <a:off x="0" y="0"/>
                      <a:ext cx="6084000" cy="7745573"/>
                    </a:xfrm>
                    <a:prstGeom prst="rect"/>
                  </pic:spPr>
                </pic:pic>
              </a:graphicData>
            </a:graphic>
          </wp:inline>
        </w:drawing>
      </w:r>
      <w:bookmarkEnd w:id="1081"/>
    </w:p>
    <w:p>
      <w:pPr>
        <w:ind w:firstLine="0"/>
        <w:jc w:val="center"/>
      </w:pPr>
      <w:r>
        <w:rPr>
          <w:sz w:val="18"/>
        </w:rPr>
        <w:t>Fig. 8. SOH estimation results of different models on the Oxford dataset.</w:t>
      </w:r>
    </w:p>
    <w:p>
      <w:pPr>
        <w:pStyle w:val="BodyText"/>
      </w:pPr>
      <w:r>
        <w:rPr>
          <w:rFonts w:hint="eastAsia"/>
        </w:rPr>
        <w:t xml:space="preserve">总体而言，各模型均能够跟踪电池的容量衰减趋势，但在局部变化区间的预测结果上存在差异。值得注意的是，Cell4</w:t>
      </w:r>
      <w:r>
        <w:t xml:space="preserve"> </w:t>
      </w:r>
      <w:r>
        <w:rPr>
          <w:rFonts w:hint="eastAsia"/>
        </w:rPr>
        <w:t xml:space="preserve">的局部偏离和</w:t>
      </w:r>
      <w:r>
        <w:t xml:space="preserve"> Cell6 </w:t>
      </w:r>
      <w:r>
        <w:rPr>
          <w:rFonts w:hint="eastAsia"/>
        </w:rPr>
        <w:t xml:space="preserve">后段的快速下降使各模型表现出不同程度的跟踪偏差。局部放大结果显示，MS-AgentNet</w:t>
      </w:r>
      <w:r>
        <w:t xml:space="preserve"> </w:t>
      </w:r>
      <w:r>
        <w:rPr>
          <w:rFonts w:hint="eastAsia"/>
        </w:rPr>
        <w:t xml:space="preserve">在上述变化区间仍能较好地跟踪真实</w:t>
      </w:r>
      <w:r>
        <w:t xml:space="preserve"> </w:t>
      </w:r>
      <w:r>
        <w:rPr>
          <w:rFonts w:hint="eastAsia"/>
        </w:rPr>
        <w:t xml:space="preserve">SOH。对于退化轨迹相对平滑的</w:t>
      </w:r>
      <w:r>
        <w:t xml:space="preserve"> Cell3 </w:t>
      </w:r>
      <w:r>
        <w:rPr>
          <w:rFonts w:hint="eastAsia"/>
        </w:rPr>
        <w:t xml:space="preserve">和</w:t>
      </w:r>
      <w:r>
        <w:t xml:space="preserve"> </w:t>
      </w:r>
      <w:r>
        <w:rPr>
          <w:rFonts w:hint="eastAsia"/>
        </w:rPr>
        <w:t xml:space="preserve">Cell5，其预测结果也与真实</w:t>
      </w:r>
      <w:r>
        <w:t xml:space="preserve"> SOH </w:t>
      </w:r>
      <w:r>
        <w:rPr>
          <w:rFonts w:hint="eastAsia"/>
        </w:rPr>
        <w:t xml:space="preserve">保持较好的贴合。</w:t>
      </w:r>
    </w:p>
    <w:p>
      <w:pPr>
        <w:pStyle w:val="BodyText"/>
      </w:pPr>
      <w:r>
        <w:rPr>
          <w:rFonts w:hint="eastAsia"/>
        </w:rPr>
        <w:t xml:space="preserve">定量结果表明，MS-AgentNet</w:t>
      </w:r>
      <w:r>
        <w:t xml:space="preserve"> </w:t>
      </w:r>
      <w:r>
        <w:rPr>
          <w:rFonts w:hint="eastAsia"/>
        </w:rPr>
        <w:t xml:space="preserve">在</w:t>
      </w:r>
      <w:r>
        <w:t xml:space="preserve"> Cell2、Cell3、Cell5 </w:t>
      </w:r>
      <w:r>
        <w:rPr>
          <w:rFonts w:hint="eastAsia"/>
        </w:rPr>
        <w:t xml:space="preserve">和</w:t>
      </w:r>
      <w:r>
        <w:t xml:space="preserve"> Cell6 </w:t>
      </w:r>
      <w:r>
        <w:rPr>
          <w:rFonts w:hint="eastAsia"/>
        </w:rPr>
        <w:t xml:space="preserve">上的</w:t>
      </w:r>
      <w:r>
        <w:t xml:space="preserve"> </w:t>
      </w:r>
      <m:oMath>
        <m:sSup>
          <m:e>
            <m:r>
              <w:rPr>
                <w:rFonts w:ascii="Cambria Math" w:hAnsi="Cambria Math"/>
                <w:sz w:val="22"/>
              </w:rPr>
              <m:t>R</m:t>
            </m:r>
          </m:e>
          <m:sup>
            <m:r>
              <w:rPr>
                <w:rFonts w:ascii="Cambria Math" w:hAnsi="Cambria Math"/>
                <w:sz w:val="22"/>
              </w:rPr>
              <m:t>2</m:t>
            </m:r>
          </m:sup>
        </m:sSup>
      </m:oMath>
      <w:r>
        <w:t xml:space="preserve">、MAE、MAPE </w:t>
      </w:r>
      <w:r>
        <w:rPr>
          <w:rFonts w:hint="eastAsia"/>
        </w:rPr>
        <w:t xml:space="preserve">和</w:t>
      </w:r>
      <w:r>
        <w:t xml:space="preserve"> RMSE </w:t>
      </w:r>
      <w:r>
        <w:rPr>
          <w:rFonts w:hint="eastAsia"/>
        </w:rPr>
        <w:t xml:space="preserve">均为最优，并在</w:t>
      </w:r>
      <w:r>
        <w:t xml:space="preserve"> Cell4 </w:t>
      </w:r>
      <w:r>
        <w:rPr>
          <w:rFonts w:hint="eastAsia"/>
        </w:rPr>
        <w:t xml:space="preserve">上取得最高的</w:t>
      </w:r>
      <w:r>
        <w:t xml:space="preserve"> </w:t>
      </w:r>
      <m:oMath>
        <m:sSup>
          <m:e>
            <m:r>
              <w:rPr>
                <w:rFonts w:ascii="Cambria Math" w:hAnsi="Cambria Math"/>
                <w:sz w:val="22"/>
              </w:rPr>
              <m:t>R</m:t>
            </m:r>
          </m:e>
          <m:sup>
            <m:r>
              <w:rPr>
                <w:rFonts w:ascii="Cambria Math" w:hAnsi="Cambria Math"/>
                <w:sz w:val="22"/>
              </w:rPr>
              <m:t>2</m:t>
            </m:r>
          </m:sup>
        </m:sSup>
      </m:oMath>
      <w:r>
        <w:t xml:space="preserve"> </w:t>
      </w:r>
      <w:r>
        <w:rPr>
          <w:rFonts w:hint="eastAsia"/>
        </w:rPr>
        <w:t xml:space="preserve">和最低的</w:t>
      </w:r>
      <w:r>
        <w:t xml:space="preserve"> </w:t>
      </w:r>
      <w:r>
        <w:rPr>
          <w:rFonts w:hint="eastAsia"/>
        </w:rPr>
        <w:t xml:space="preserve">RMSE。从</w:t>
      </w:r>
      <w:r>
        <w:t xml:space="preserve"> Cell2–Cell8 </w:t>
      </w:r>
      <w:r>
        <w:rPr>
          <w:rFonts w:hint="eastAsia"/>
        </w:rPr>
        <w:t xml:space="preserve">的平均结果来看，MS-AgentNet</w:t>
      </w:r>
      <w:r>
        <w:t xml:space="preserve"> </w:t>
      </w:r>
      <w:r>
        <w:rPr>
          <w:rFonts w:hint="eastAsia"/>
        </w:rPr>
        <w:t xml:space="preserve">的平均</w:t>
      </w:r>
      <w:r>
        <w:t xml:space="preserve"> </w:t>
      </w:r>
      <m:oMath>
        <m:sSup>
          <m:e>
            <m:r>
              <w:rPr>
                <w:rFonts w:ascii="Cambria Math" w:hAnsi="Cambria Math"/>
                <w:sz w:val="22"/>
              </w:rPr>
              <m:t>R</m:t>
            </m:r>
          </m:e>
          <m:sup>
            <m:r>
              <w:rPr>
                <w:rFonts w:ascii="Cambria Math" w:hAnsi="Cambria Math"/>
                <w:sz w:val="22"/>
              </w:rPr>
              <m:t>2</m:t>
            </m:r>
          </m:sup>
        </m:sSup>
      </m:oMath>
      <w:r>
        <w:t xml:space="preserve"> </w:t>
      </w:r>
      <w:r>
        <w:rPr>
          <w:rFonts w:hint="eastAsia"/>
        </w:rPr>
        <w:t xml:space="preserve">为</w:t>
      </w:r>
      <w:r>
        <w:t xml:space="preserve"> </w:t>
      </w:r>
      <w:r>
        <w:rPr>
          <w:rFonts w:hint="eastAsia"/>
        </w:rPr>
        <w:t xml:space="preserve">0.98379，平均</w:t>
      </w:r>
      <w:r>
        <w:t xml:space="preserve"> MAE、MAPE </w:t>
      </w:r>
      <w:r>
        <w:rPr>
          <w:rFonts w:hint="eastAsia"/>
        </w:rPr>
        <w:t xml:space="preserve">和</w:t>
      </w:r>
      <w:r>
        <w:t xml:space="preserve"> RMSE </w:t>
      </w:r>
      <w:r>
        <w:rPr>
          <w:rFonts w:hint="eastAsia"/>
        </w:rPr>
        <w:t xml:space="preserve">分别为</w:t>
      </w:r>
      <w:r>
        <w:t xml:space="preserve"> 0.00524、0.00615 </w:t>
      </w:r>
      <w:r>
        <w:rPr>
          <w:rFonts w:hint="eastAsia"/>
        </w:rPr>
        <w:t xml:space="preserve">和</w:t>
      </w:r>
      <w:r>
        <w:t xml:space="preserve"> </w:t>
      </w:r>
      <w:r>
        <w:rPr>
          <w:rFonts w:hint="eastAsia"/>
        </w:rPr>
        <w:t xml:space="preserve">0.00638，均在五种模型中排名第一。与</w:t>
      </w:r>
      <w:r>
        <w:t xml:space="preserve"> CNN-Transformer、CNN-LSTM、Transformer </w:t>
      </w:r>
      <w:r>
        <w:rPr>
          <w:rFonts w:hint="eastAsia"/>
        </w:rPr>
        <w:t xml:space="preserve">和</w:t>
      </w:r>
      <w:r>
        <w:t xml:space="preserve"> LSTM </w:t>
      </w:r>
      <w:r>
        <w:rPr>
          <w:rFonts w:hint="eastAsia"/>
        </w:rPr>
        <w:t xml:space="preserve">相比，其平均</w:t>
      </w:r>
      <w:r>
        <w:t xml:space="preserve"> MAE </w:t>
      </w:r>
      <w:r>
        <w:rPr>
          <w:rFonts w:hint="eastAsia"/>
        </w:rPr>
        <w:t xml:space="preserve">分别降低了</w:t>
      </w:r>
      <w:r>
        <w:t xml:space="preserve"> 2.42%、8.87%、4.20% </w:t>
      </w:r>
      <w:r>
        <w:rPr>
          <w:rFonts w:hint="eastAsia"/>
        </w:rPr>
        <w:t xml:space="preserve">和</w:t>
      </w:r>
      <w:r>
        <w:t xml:space="preserve"> </w:t>
      </w:r>
      <w:r>
        <w:rPr>
          <w:rFonts w:hint="eastAsia"/>
        </w:rPr>
        <w:t xml:space="preserve">12.52%，平均</w:t>
      </w:r>
      <w:r>
        <w:t xml:space="preserve"> MAPE </w:t>
      </w:r>
      <w:r>
        <w:rPr>
          <w:rFonts w:hint="eastAsia"/>
        </w:rPr>
        <w:t xml:space="preserve">分别降低了</w:t>
      </w:r>
      <w:r>
        <w:t xml:space="preserve"> 2.38%、8.48%、3.76% </w:t>
      </w:r>
      <w:r>
        <w:rPr>
          <w:rFonts w:hint="eastAsia"/>
        </w:rPr>
        <w:t xml:space="preserve">和</w:t>
      </w:r>
      <w:r>
        <w:t xml:space="preserve"> </w:t>
      </w:r>
      <w:r>
        <w:rPr>
          <w:rFonts w:hint="eastAsia"/>
        </w:rPr>
        <w:t xml:space="preserve">12.52%，平均</w:t>
      </w:r>
      <w:r>
        <w:t xml:space="preserve"> RMSE </w:t>
      </w:r>
      <w:r>
        <w:rPr>
          <w:rFonts w:hint="eastAsia"/>
        </w:rPr>
        <w:t xml:space="preserve">分别降低了</w:t>
      </w:r>
      <w:r>
        <w:t xml:space="preserve"> 5.06%、11.39%、5.62% </w:t>
      </w:r>
      <w:r>
        <w:rPr>
          <w:rFonts w:hint="eastAsia"/>
        </w:rPr>
        <w:t xml:space="preserve">和</w:t>
      </w:r>
      <w:r>
        <w:t xml:space="preserve"> </w:t>
      </w:r>
      <w:r>
        <w:rPr>
          <w:rFonts w:hint="eastAsia"/>
        </w:rPr>
        <w:t xml:space="preserve">15.83%。上述结果表明，MS-AgentNet</w:t>
      </w:r>
      <w:r>
        <w:t xml:space="preserve"> </w:t>
      </w:r>
      <w:r>
        <w:rPr>
          <w:rFonts w:hint="eastAsia"/>
        </w:rPr>
        <w:t xml:space="preserve">在</w:t>
      </w:r>
      <w:r>
        <w:t xml:space="preserve"> Oxford </w:t>
      </w:r>
      <w:r>
        <w:rPr>
          <w:rFonts w:hint="eastAsia"/>
        </w:rPr>
        <w:t xml:space="preserve">数据集上具有较高的</w:t>
      </w:r>
      <w:r>
        <w:t xml:space="preserve"> SOH </w:t>
      </w:r>
      <w:r>
        <w:rPr>
          <w:rFonts w:hint="eastAsia"/>
        </w:rPr>
        <w:t xml:space="preserve">估计精度和良好的预测鲁棒性。</w:t>
      </w:r>
    </w:p>
    <w:p>
      <w:pPr>
        <w:pStyle w:val="BodyText"/>
        <w:keepLines/>
        <w:spacing w:before="100" w:after="80"/>
        <w:ind w:firstLine="0"/>
        <w:jc w:val="center"/>
      </w:pPr>
      <w:bookmarkStart w:id="1082" w:name="b_tab_4_5"/>
      <w:r>
        <w:drawing>
          <wp:inline>
            <wp:extent cx="6084000" cy="7560017"/>
            <wp:docPr id="19" name="Picture 19"/>
            <wp:cNvGraphicFramePr>
              <a:graphicFrameLocks noChangeAspect="1"/>
            </wp:cNvGraphicFramePr>
            <a:graphic>
              <a:graphicData uri="http://schemas.openxmlformats.org/drawingml/2006/picture">
                <pic:pic>
                  <pic:nvPicPr>
                    <pic:cNvPr id="0" name="table_11.png"/>
                    <pic:cNvPicPr/>
                  </pic:nvPicPr>
                  <pic:blipFill>
                    <a:blip r:embed="rId27"/>
                    <a:stretch>
                      <a:fillRect/>
                    </a:stretch>
                  </pic:blipFill>
                  <pic:spPr>
                    <a:xfrm>
                      <a:off x="0" y="0"/>
                      <a:ext cx="6084000" cy="7560017"/>
                    </a:xfrm>
                    <a:prstGeom prst="rect"/>
                  </pic:spPr>
                </pic:pic>
              </a:graphicData>
            </a:graphic>
          </wp:inline>
        </w:drawing>
      </w:r>
      <w:bookmarkEnd w:id="1082"/>
    </w:p>
    <w:bookmarkEnd w:id="38"/>
    <w:bookmarkStart w:id="39" w:name="calce和mit数据集上的跨电池泛化分析"/>
    <w:p>
      <w:pPr>
        <w:pStyle w:val="Heading3"/>
      </w:pPr>
      <w:r>
        <w:rPr>
          <w:rStyle w:val="SectionNumber"/>
        </w:rPr>
        <w:t xml:space="preserve">4.4.2</w:t>
      </w:r>
      <w:r>
        <w:tab/>
      </w:r>
      <w:r>
        <w:rPr>
          <w:rFonts w:hint="eastAsia"/>
        </w:rPr>
        <w:t xml:space="preserve">CALCE和MIT数据集上的跨电池泛化分析</w:t>
      </w:r>
    </w:p>
    <w:p>
      <w:pPr>
        <w:pStyle w:val="FirstParagraph"/>
      </w:pPr>
      <w:r>
        <w:rPr>
          <w:rFonts w:hint="eastAsia"/>
        </w:rPr>
        <w:t xml:space="preserve">本节进一步比较了</w:t>
      </w:r>
      <w:r>
        <w:t xml:space="preserve"> MS-AgentNet </w:t>
      </w:r>
      <w:r>
        <w:rPr>
          <w:rFonts w:hint="eastAsia"/>
        </w:rPr>
        <w:t xml:space="preserve">与四种基线模型在</w:t>
      </w:r>
      <w:r>
        <w:t xml:space="preserve"> CALCE CS2、CALCE CX2 </w:t>
      </w:r>
      <w:r>
        <w:rPr>
          <w:rFonts w:hint="eastAsia"/>
        </w:rPr>
        <w:t xml:space="preserve">和</w:t>
      </w:r>
      <w:r>
        <w:t xml:space="preserve"> MIT/Severson </w:t>
      </w:r>
      <w:r>
        <w:rPr>
          <w:rFonts w:hint="eastAsia"/>
        </w:rPr>
        <w:t xml:space="preserve">数据集上的</w:t>
      </w:r>
      <w:r>
        <w:t xml:space="preserve"> SOH </w:t>
      </w:r>
      <w:r>
        <w:rPr>
          <w:rFonts w:hint="eastAsia"/>
        </w:rPr>
        <w:t xml:space="preserve">估计性能。上述数据集在电池材料和充放电协议方面与</w:t>
      </w:r>
      <w:r>
        <w:t xml:space="preserve"> Oxford </w:t>
      </w:r>
      <w:r>
        <w:rPr>
          <w:rFonts w:hint="eastAsia"/>
        </w:rPr>
        <w:t xml:space="preserve">数据集存在差异，并呈现出平滑衰减、阶段性转折和寿命后期加速衰减等多样化退化动态。各模型的</w:t>
      </w:r>
      <w:r>
        <w:t xml:space="preserve"> SOH </w:t>
      </w:r>
      <w:r>
        <w:rPr>
          <w:rFonts w:hint="eastAsia"/>
        </w:rPr>
        <w:t xml:space="preserve">估计结果如</w:t>
      </w:r>
      <w:hyperlink w:anchor="b_fig_4_3">
        <w:r>
          <w:rPr>
            <w:rStyle w:val="Hyperlink"/>
          </w:rPr>
          <w:t xml:space="preserve">Fig. 9</w:t>
        </w:r>
      </w:hyperlink>
      <w:r>
        <w:rPr>
          <w:rFonts w:hint="eastAsia"/>
        </w:rPr>
        <w:t xml:space="preserve">所示。</w:t>
      </w:r>
    </w:p>
    <w:p>
      <w:pPr>
        <w:pStyle w:val="BodyText"/>
        <w:keepNext/>
        <w:keepLines/>
        <w:spacing w:before="100" w:after="80"/>
        <w:ind w:firstLine="0"/>
        <w:jc w:val="center"/>
      </w:pPr>
      <w:bookmarkStart w:id="1083" w:name="b_fig_4_3"/>
      <w:r>
        <w:drawing>
          <wp:inline>
            <wp:extent cx="6084000" cy="5198390"/>
            <wp:docPr id="20" name="Picture 20"/>
            <wp:cNvGraphicFramePr>
              <a:graphicFrameLocks noChangeAspect="1"/>
            </wp:cNvGraphicFramePr>
            <a:graphic>
              <a:graphicData uri="http://schemas.openxmlformats.org/drawingml/2006/picture">
                <pic:pic>
                  <pic:nvPicPr>
                    <pic:cNvPr id="0" name="figure_4_3_calce_mit_panel.png"/>
                    <pic:cNvPicPr/>
                  </pic:nvPicPr>
                  <pic:blipFill>
                    <a:blip r:embed="rId28"/>
                    <a:stretch>
                      <a:fillRect/>
                    </a:stretch>
                  </pic:blipFill>
                  <pic:spPr>
                    <a:xfrm>
                      <a:off x="0" y="0"/>
                      <a:ext cx="6084000" cy="5198390"/>
                    </a:xfrm>
                    <a:prstGeom prst="rect"/>
                  </pic:spPr>
                </pic:pic>
              </a:graphicData>
            </a:graphic>
          </wp:inline>
        </w:drawing>
      </w:r>
      <w:bookmarkEnd w:id="1083"/>
    </w:p>
    <w:p>
      <w:pPr>
        <w:ind w:firstLine="0"/>
        <w:jc w:val="center"/>
      </w:pPr>
      <w:r>
        <w:rPr>
          <w:sz w:val="18"/>
        </w:rPr>
        <w:t>Fig. 9. SOH estimation results of different models on the CALCE and MIT/Severson datasets.</w:t>
      </w:r>
    </w:p>
    <w:p>
      <w:pPr>
        <w:pStyle w:val="BodyText"/>
      </w:pPr>
      <w:r>
        <w:rPr>
          <w:rFonts w:hint="eastAsia"/>
        </w:rPr>
        <w:t xml:space="preserve">从整体结果来看，各模型均能够跟踪不同电池的容量衰减趋势，但在局部非线性转折和寿命后期加速衰减阶段的预测表现上存在差异。其中，CX2_38</w:t>
      </w:r>
      <w:r>
        <w:t xml:space="preserve"> </w:t>
      </w:r>
      <w:r>
        <w:rPr>
          <w:rFonts w:hint="eastAsia"/>
        </w:rPr>
        <w:t xml:space="preserve">经历了多次阶段性转折，并呈现出明显的非线性衰减尾部。局部放大结果显示，进入加速衰减阶段后，各模型的预测偏差逐渐扩大，MS-AgentNet</w:t>
      </w:r>
      <w:r>
        <w:t xml:space="preserve"> </w:t>
      </w:r>
      <w:r>
        <w:rPr>
          <w:rFonts w:hint="eastAsia"/>
        </w:rPr>
        <w:t xml:space="preserve">仍能较好地跟踪其加速衰减轨迹。对于退化轨迹较为连续的</w:t>
      </w:r>
      <w:r>
        <w:t xml:space="preserve"> CS2_38 </w:t>
      </w:r>
      <w:r>
        <w:rPr>
          <w:rFonts w:hint="eastAsia"/>
        </w:rPr>
        <w:t xml:space="preserve">和</w:t>
      </w:r>
      <w:r>
        <w:t xml:space="preserve"> </w:t>
      </w:r>
      <w:r>
        <w:rPr>
          <w:rFonts w:hint="eastAsia"/>
        </w:rPr>
        <w:t xml:space="preserve">b3c29，MS-AgentNet</w:t>
      </w:r>
      <w:r>
        <w:t xml:space="preserve"> </w:t>
      </w:r>
      <w:r>
        <w:rPr>
          <w:rFonts w:hint="eastAsia"/>
        </w:rPr>
        <w:t xml:space="preserve">也能够保持与真实</w:t>
      </w:r>
      <w:r>
        <w:t xml:space="preserve"> SOH </w:t>
      </w:r>
      <w:r>
        <w:rPr>
          <w:rFonts w:hint="eastAsia"/>
        </w:rPr>
        <w:t xml:space="preserve">的较好贴合。</w:t>
      </w:r>
    </w:p>
    <w:p>
      <w:pPr>
        <w:pStyle w:val="BodyText"/>
      </w:pPr>
      <w:hyperlink w:anchor="b_tab_4_6">
        <w:r>
          <w:rPr>
            <w:rStyle w:val="Hyperlink"/>
          </w:rPr>
          <w:t xml:space="preserve">Table 12</w:t>
        </w:r>
      </w:hyperlink>
      <w:r>
        <w:rPr>
          <w:rFonts w:hint="eastAsia"/>
        </w:rPr>
        <w:t xml:space="preserve">列出了各模型在六节电池上的</w:t>
      </w:r>
      <w:r>
        <w:t xml:space="preserve"> SOH </w:t>
      </w:r>
      <w:r>
        <w:rPr>
          <w:rFonts w:hint="eastAsia"/>
        </w:rPr>
        <w:t xml:space="preserve">估计误差。MS-AgentNet</w:t>
      </w:r>
      <w:r>
        <w:t xml:space="preserve"> </w:t>
      </w:r>
      <w:r>
        <w:rPr>
          <w:rFonts w:hint="eastAsia"/>
        </w:rPr>
        <w:t xml:space="preserve">在其中五节电池上的</w:t>
      </w:r>
      <w:r>
        <w:t xml:space="preserve"> </w:t>
      </w:r>
      <m:oMath>
        <m:sSup>
          <m:e>
            <m:r>
              <w:rPr>
                <w:rFonts w:ascii="Cambria Math" w:hAnsi="Cambria Math"/>
                <w:sz w:val="22"/>
              </w:rPr>
              <m:t>R</m:t>
            </m:r>
          </m:e>
          <m:sup>
            <m:r>
              <w:rPr>
                <w:rFonts w:ascii="Cambria Math" w:hAnsi="Cambria Math"/>
                <w:sz w:val="22"/>
              </w:rPr>
              <m:t>2</m:t>
            </m:r>
          </m:sup>
        </m:sSup>
      </m:oMath>
      <w:r>
        <w:t xml:space="preserve">、MAE、MAPE </w:t>
      </w:r>
      <w:r>
        <w:rPr>
          <w:rFonts w:hint="eastAsia"/>
        </w:rPr>
        <w:t xml:space="preserve">和</w:t>
      </w:r>
      <w:r>
        <w:t xml:space="preserve"> RMSE </w:t>
      </w:r>
      <w:r>
        <w:rPr>
          <w:rFonts w:hint="eastAsia"/>
        </w:rPr>
        <w:t xml:space="preserve">均为最优。值得注意的是，在具有阶段性转折和非线性衰减尾部的</w:t>
      </w:r>
      <w:r>
        <w:t xml:space="preserve"> CX2_38 </w:t>
      </w:r>
      <w:r>
        <w:rPr>
          <w:rFonts w:hint="eastAsia"/>
        </w:rPr>
        <w:t xml:space="preserve">上，MS-AgentNet</w:t>
      </w:r>
      <w:r>
        <w:t xml:space="preserve"> </w:t>
      </w:r>
      <w:r>
        <w:rPr>
          <w:rFonts w:hint="eastAsia"/>
        </w:rPr>
        <w:t xml:space="preserve">的</w:t>
      </w:r>
      <w:r>
        <w:t xml:space="preserve"> MAPE </w:t>
      </w:r>
      <w:r>
        <w:rPr>
          <w:rFonts w:hint="eastAsia"/>
        </w:rPr>
        <w:t xml:space="preserve">仅为</w:t>
      </w:r>
      <w:r>
        <w:t xml:space="preserve"> </w:t>
      </w:r>
      <w:r>
        <w:rPr>
          <w:rFonts w:hint="eastAsia"/>
        </w:rPr>
        <w:t xml:space="preserve">0.037673，较</w:t>
      </w:r>
      <w:r>
        <w:t xml:space="preserve"> CNN-Transformer </w:t>
      </w:r>
      <w:r>
        <w:rPr>
          <w:rFonts w:hint="eastAsia"/>
        </w:rPr>
        <w:t xml:space="preserve">和</w:t>
      </w:r>
      <w:r>
        <w:t xml:space="preserve"> Transformer </w:t>
      </w:r>
      <w:r>
        <w:rPr>
          <w:rFonts w:hint="eastAsia"/>
        </w:rPr>
        <w:t xml:space="preserve">分别降低了</w:t>
      </w:r>
      <w:r>
        <w:t xml:space="preserve"> 59.75% </w:t>
      </w:r>
      <w:r>
        <w:rPr>
          <w:rFonts w:hint="eastAsia"/>
        </w:rPr>
        <w:t xml:space="preserve">和</w:t>
      </w:r>
      <w:r>
        <w:t xml:space="preserve"> </w:t>
      </w:r>
      <w:r>
        <w:rPr>
          <w:rFonts w:hint="eastAsia"/>
        </w:rPr>
        <w:t xml:space="preserve">51.80%，表明模型在寿命后期加速衰减阶段仍能保持较低的预测误差。</w:t>
      </w:r>
    </w:p>
    <w:p>
      <w:pPr>
        <w:pStyle w:val="BodyText"/>
      </w:pPr>
      <w:r>
        <w:rPr>
          <w:rFonts w:hint="eastAsia"/>
        </w:rPr>
        <w:t xml:space="preserve">从六节电池的平均结果来看，MS-AgentNet</w:t>
      </w:r>
      <w:r>
        <w:t xml:space="preserve"> </w:t>
      </w:r>
      <w:r>
        <w:rPr>
          <w:rFonts w:hint="eastAsia"/>
        </w:rPr>
        <w:t xml:space="preserve">的平均</w:t>
      </w:r>
      <w:r>
        <w:t xml:space="preserve"> </w:t>
      </w:r>
      <m:oMath>
        <m:sSup>
          <m:e>
            <m:r>
              <w:rPr>
                <w:rFonts w:ascii="Cambria Math" w:hAnsi="Cambria Math"/>
                <w:sz w:val="22"/>
              </w:rPr>
              <m:t>R</m:t>
            </m:r>
          </m:e>
          <m:sup>
            <m:r>
              <w:rPr>
                <w:rFonts w:ascii="Cambria Math" w:hAnsi="Cambria Math"/>
                <w:sz w:val="22"/>
              </w:rPr>
              <m:t>2</m:t>
            </m:r>
          </m:sup>
        </m:sSup>
      </m:oMath>
      <w:r>
        <w:t xml:space="preserve"> </w:t>
      </w:r>
      <w:r>
        <w:rPr>
          <w:rFonts w:hint="eastAsia"/>
        </w:rPr>
        <w:t xml:space="preserve">为</w:t>
      </w:r>
      <w:r>
        <w:t xml:space="preserve"> </w:t>
      </w:r>
      <w:r>
        <w:rPr>
          <w:rFonts w:hint="eastAsia"/>
        </w:rPr>
        <w:t xml:space="preserve">0.9896，平均</w:t>
      </w:r>
      <w:r>
        <w:t xml:space="preserve"> MAE、MAPE </w:t>
      </w:r>
      <w:r>
        <w:rPr>
          <w:rFonts w:hint="eastAsia"/>
        </w:rPr>
        <w:t xml:space="preserve">和</w:t>
      </w:r>
      <w:r>
        <w:t xml:space="preserve"> RMSE </w:t>
      </w:r>
      <w:r>
        <w:rPr>
          <w:rFonts w:hint="eastAsia"/>
        </w:rPr>
        <w:t xml:space="preserve">分别为</w:t>
      </w:r>
      <w:r>
        <w:t xml:space="preserve"> 0.00707、0.013335 </w:t>
      </w:r>
      <w:r>
        <w:rPr>
          <w:rFonts w:hint="eastAsia"/>
        </w:rPr>
        <w:t xml:space="preserve">和</w:t>
      </w:r>
      <w:r>
        <w:t xml:space="preserve"> </w:t>
      </w:r>
      <w:r>
        <w:rPr>
          <w:rFonts w:hint="eastAsia"/>
        </w:rPr>
        <w:t xml:space="preserve">0.01188，均在五种模型中排名第一。与</w:t>
      </w:r>
      <w:r>
        <w:t xml:space="preserve"> CNN-Transformer、CNN-LSTM、Transformer </w:t>
      </w:r>
      <w:r>
        <w:rPr>
          <w:rFonts w:hint="eastAsia"/>
        </w:rPr>
        <w:t xml:space="preserve">和</w:t>
      </w:r>
      <w:r>
        <w:t xml:space="preserve"> LSTM </w:t>
      </w:r>
      <w:r>
        <w:rPr>
          <w:rFonts w:hint="eastAsia"/>
        </w:rPr>
        <w:t xml:space="preserve">相比，其平均</w:t>
      </w:r>
      <w:r>
        <w:t xml:space="preserve"> MAE </w:t>
      </w:r>
      <w:r>
        <w:rPr>
          <w:rFonts w:hint="eastAsia"/>
        </w:rPr>
        <w:t xml:space="preserve">分别降低了</w:t>
      </w:r>
      <w:r>
        <w:t xml:space="preserve"> 13.50%、26.02%、9.11% </w:t>
      </w:r>
      <w:r>
        <w:rPr>
          <w:rFonts w:hint="eastAsia"/>
        </w:rPr>
        <w:t xml:space="preserve">和</w:t>
      </w:r>
      <w:r>
        <w:t xml:space="preserve"> </w:t>
      </w:r>
      <w:r>
        <w:rPr>
          <w:rFonts w:hint="eastAsia"/>
        </w:rPr>
        <w:t xml:space="preserve">22.94%，平均</w:t>
      </w:r>
      <w:r>
        <w:t xml:space="preserve"> MAPE </w:t>
      </w:r>
      <w:r>
        <w:rPr>
          <w:rFonts w:hint="eastAsia"/>
        </w:rPr>
        <w:t xml:space="preserve">分别降低了</w:t>
      </w:r>
      <w:r>
        <w:t xml:space="preserve"> 42.19%、60.08%、34.49% </w:t>
      </w:r>
      <w:r>
        <w:rPr>
          <w:rFonts w:hint="eastAsia"/>
        </w:rPr>
        <w:t xml:space="preserve">和</w:t>
      </w:r>
      <w:r>
        <w:t xml:space="preserve"> </w:t>
      </w:r>
      <w:r>
        <w:rPr>
          <w:rFonts w:hint="eastAsia"/>
        </w:rPr>
        <w:t xml:space="preserve">58.17%，平均</w:t>
      </w:r>
      <w:r>
        <w:t xml:space="preserve"> RMSE </w:t>
      </w:r>
      <w:r>
        <w:rPr>
          <w:rFonts w:hint="eastAsia"/>
        </w:rPr>
        <w:t xml:space="preserve">分别降低了</w:t>
      </w:r>
      <w:r>
        <w:t xml:space="preserve"> 12.04%、26.52%、7.97% </w:t>
      </w:r>
      <w:r>
        <w:rPr>
          <w:rFonts w:hint="eastAsia"/>
        </w:rPr>
        <w:t xml:space="preserve">和</w:t>
      </w:r>
      <w:r>
        <w:t xml:space="preserve"> </w:t>
      </w:r>
      <w:r>
        <w:rPr>
          <w:rFonts w:hint="eastAsia"/>
        </w:rPr>
        <w:t xml:space="preserve">23.09%。综合不同退化场景，MS-AgentNet</w:t>
      </w:r>
      <w:r>
        <w:t xml:space="preserve"> </w:t>
      </w:r>
      <w:r>
        <w:rPr>
          <w:rFonts w:hint="eastAsia"/>
        </w:rPr>
        <w:t xml:space="preserve">在平滑衰减、阶段性转折和寿命后期加速衰减过程中均保持了较低的估计误差，体现出较好的预测鲁棒性和跨电池泛化能力。</w:t>
      </w:r>
    </w:p>
    <w:p>
      <w:pPr>
        <w:pStyle w:val="BodyText"/>
        <w:keepLines/>
        <w:spacing w:before="100" w:after="80"/>
        <w:ind w:firstLine="0"/>
        <w:jc w:val="center"/>
      </w:pPr>
      <w:bookmarkStart w:id="1084" w:name="b_tab_4_6"/>
      <w:r>
        <w:drawing>
          <wp:inline>
            <wp:extent cx="6084000" cy="7478484"/>
            <wp:docPr id="21" name="Picture 21"/>
            <wp:cNvGraphicFramePr>
              <a:graphicFrameLocks noChangeAspect="1"/>
            </wp:cNvGraphicFramePr>
            <a:graphic>
              <a:graphicData uri="http://schemas.openxmlformats.org/drawingml/2006/picture">
                <pic:pic>
                  <pic:nvPicPr>
                    <pic:cNvPr id="0" name="table_12.png"/>
                    <pic:cNvPicPr/>
                  </pic:nvPicPr>
                  <pic:blipFill>
                    <a:blip r:embed="rId29"/>
                    <a:stretch>
                      <a:fillRect/>
                    </a:stretch>
                  </pic:blipFill>
                  <pic:spPr>
                    <a:xfrm>
                      <a:off x="0" y="0"/>
                      <a:ext cx="6084000" cy="7478484"/>
                    </a:xfrm>
                    <a:prstGeom prst="rect"/>
                  </pic:spPr>
                </pic:pic>
              </a:graphicData>
            </a:graphic>
          </wp:inline>
        </w:drawing>
      </w:r>
      <w:bookmarkEnd w:id="1084"/>
    </w:p>
    <w:bookmarkEnd w:id="39"/>
    <w:bookmarkEnd w:id="40"/>
    <w:bookmarkStart w:id="43" w:name="跨数据集迁移实验"/>
    <w:p>
      <w:pPr>
        <w:pStyle w:val="Heading2"/>
      </w:pPr>
      <w:r>
        <w:rPr>
          <w:rStyle w:val="SectionNumber"/>
        </w:rPr>
        <w:t xml:space="preserve">4.5</w:t>
      </w:r>
      <w:r>
        <w:tab/>
      </w:r>
      <w:r>
        <w:rPr>
          <w:rFonts w:hint="eastAsia"/>
        </w:rPr>
        <w:t xml:space="preserve">跨数据集迁移实验</w:t>
      </w:r>
    </w:p>
    <w:p>
      <w:pPr>
        <w:pStyle w:val="FirstParagraph"/>
      </w:pPr>
      <w:r>
        <w:rPr>
          <w:rFonts w:hint="eastAsia"/>
        </w:rPr>
        <w:t xml:space="preserve">当源域与目标域来自不同数据集时，化学体系、运行协议和退化轨迹差异可能引起域偏移[</w:t>
      </w:r>
      <w:hyperlink w:anchor="b_ref52">
        <w:r>
          <w:rPr>
            <w:rStyle w:val="Hyperlink"/>
          </w:rPr>
          <w:t xml:space="preserve">52</w:t>
        </w:r>
      </w:hyperlink>
      <w:r>
        <w:t xml:space="preserve">,</w:t>
      </w:r>
      <w:hyperlink w:anchor="b_ref59">
        <w:r>
          <w:rPr>
            <w:rStyle w:val="Hyperlink"/>
          </w:rPr>
          <w:t xml:space="preserve">59</w:t>
        </w:r>
      </w:hyperlink>
      <w:r>
        <w:rPr>
          <w:rFonts w:hint="eastAsia"/>
        </w:rPr>
        <w:t xml:space="preserve">]。为评价</w:t>
      </w:r>
      <w:r>
        <w:t xml:space="preserve"> MS-AgentNet </w:t>
      </w:r>
      <w:r>
        <w:rPr>
          <w:rFonts w:hint="eastAsia"/>
        </w:rPr>
        <w:t xml:space="preserve">的跨数据集迁移能力，本文设置源域直接测试和少样本适应两类实验。源域直接测试（source-only）仅利用源域参考电池训练模型，并在不使用目标域数据更新参数的情况下直接测试目标域电池；少样本适应则固定特征提取模块，利用目标域参考电池前</w:t>
      </w:r>
      <w:r>
        <w:t xml:space="preserve"> 30% </w:t>
      </w:r>
      <w:r>
        <w:rPr>
          <w:rFonts w:hint="eastAsia"/>
        </w:rPr>
        <w:t xml:space="preserve">的循环数据更新读出层，再在目标域测试电池上进行评价[</w:t>
      </w:r>
      <w:hyperlink w:anchor="b_ref52">
        <w:r>
          <w:rPr>
            <w:rStyle w:val="Hyperlink"/>
          </w:rPr>
          <w:t xml:space="preserve">52</w:t>
        </w:r>
      </w:hyperlink>
      <w:r>
        <w:t xml:space="preserve">,</w:t>
      </w:r>
      <w:hyperlink w:anchor="b_ref58">
        <w:r>
          <w:rPr>
            <w:rStyle w:val="Hyperlink"/>
          </w:rPr>
          <w:t xml:space="preserve">58</w:t>
        </w:r>
      </w:hyperlink>
      <w:r>
        <w:t xml:space="preserve">]。</w:t>
      </w:r>
    </w:p>
    <w:p>
      <w:pPr>
        <w:pStyle w:val="BodyText"/>
      </w:pPr>
      <w:r>
        <w:t xml:space="preserve">CALCE CS2、CALCE CX2 </w:t>
      </w:r>
      <w:r>
        <w:rPr>
          <w:rFonts w:hint="eastAsia"/>
        </w:rPr>
        <w:t xml:space="preserve">和</w:t>
      </w:r>
      <w:r>
        <w:t xml:space="preserve"> Oxford </w:t>
      </w:r>
      <w:r>
        <w:rPr>
          <w:rFonts w:hint="eastAsia"/>
        </w:rPr>
        <w:t xml:space="preserve">分别视为三个数据域，其中</w:t>
      </w:r>
      <w:r>
        <w:t xml:space="preserve"> CS2_36、CX2_36 </w:t>
      </w:r>
      <w:r>
        <w:rPr>
          <w:rFonts w:hint="eastAsia"/>
        </w:rPr>
        <w:t xml:space="preserve">和</w:t>
      </w:r>
      <w:r>
        <w:t xml:space="preserve"> Oxford Cell1 </w:t>
      </w:r>
      <w:r>
        <w:rPr>
          <w:rFonts w:hint="eastAsia"/>
        </w:rPr>
        <w:t xml:space="preserve">用于源域训练或目标域适应，CS2_38、CX2_38</w:t>
      </w:r>
      <w:r>
        <w:t xml:space="preserve"> </w:t>
      </w:r>
      <w:r>
        <w:rPr>
          <w:rFonts w:hint="eastAsia"/>
        </w:rPr>
        <w:t xml:space="preserve">和</w:t>
      </w:r>
      <w:r>
        <w:t xml:space="preserve"> Oxford Cell3 </w:t>
      </w:r>
      <w:r>
        <w:rPr>
          <w:rFonts w:hint="eastAsia"/>
        </w:rPr>
        <w:t xml:space="preserve">仅用于目标域测试。CALCE</w:t>
      </w:r>
      <w:r>
        <w:t xml:space="preserve"> CS2 </w:t>
      </w:r>
      <w:r>
        <w:rPr>
          <w:rFonts w:hint="eastAsia"/>
        </w:rPr>
        <w:t xml:space="preserve">与</w:t>
      </w:r>
      <w:r>
        <w:t xml:space="preserve"> CALCE CX2 </w:t>
      </w:r>
      <w:r>
        <w:rPr>
          <w:rFonts w:hint="eastAsia"/>
        </w:rPr>
        <w:t xml:space="preserve">均属于</w:t>
      </w:r>
      <w:r>
        <w:t xml:space="preserve"> LCO </w:t>
      </w:r>
      <w:r>
        <w:rPr>
          <w:rFonts w:hint="eastAsia"/>
        </w:rPr>
        <w:t xml:space="preserve">化学体系，Oxford</w:t>
      </w:r>
      <w:r>
        <w:t xml:space="preserve"> </w:t>
      </w:r>
      <w:r>
        <w:rPr>
          <w:rFonts w:hint="eastAsia"/>
        </w:rPr>
        <w:t xml:space="preserve">采用</w:t>
      </w:r>
      <w:r>
        <w:t xml:space="preserve"> NCO-LCO </w:t>
      </w:r>
      <w:r>
        <w:rPr>
          <w:rFonts w:hint="eastAsia"/>
        </w:rPr>
        <w:t xml:space="preserve">混合化学体系，因此实验同时覆盖同化学体系和跨化学体系迁移。为保持源域与目标域的输入定义一致，各迁移方向统一采用</w:t>
      </w:r>
      <w:r>
        <w:t xml:space="preserve"> </w:t>
      </w:r>
      <m:oMath>
        <m:r>
          <w:rPr>
            <w:rFonts w:ascii="Cambria Math" w:hAnsi="Cambria Math"/>
            <w:sz w:val="22"/>
          </w:rPr>
          <m:t>C</m:t>
        </m:r>
        <m:r>
          <w:rPr>
            <w:rFonts w:ascii="Cambria Math" w:hAnsi="Cambria Math"/>
            <w:sz w:val="22"/>
          </w:rPr>
          <m:t>C</m:t>
        </m:r>
        <m:r>
          <w:rPr>
            <w:rFonts w:ascii="Cambria Math" w:hAnsi="Cambria Math"/>
            <w:sz w:val="22"/>
          </w:rPr>
          <m:t>C</m:t>
        </m:r>
        <m:r>
          <w:rPr>
            <w:rFonts w:ascii="Cambria Math" w:hAnsi="Cambria Math"/>
            <w:sz w:val="22"/>
          </w:rPr>
          <m:t>T</m:t>
        </m:r>
        <m:r>
          <w:rPr>
            <w:rFonts w:ascii="Cambria Math" w:hAnsi="Cambria Math"/>
            <w:sz w:val="22"/>
          </w:rPr>
          <m:rPr>
            <m:sty m:val="p"/>
          </m:rPr>
          <m:t>(</m:t>
        </m:r>
        <m:r>
          <w:rPr>
            <w:rFonts w:ascii="Cambria Math" w:hAnsi="Cambria Math"/>
            <w:sz w:val="22"/>
          </w:rPr>
          <m:t>3.8</m:t>
        </m:r>
        <m:r>
          <w:rPr>
            <w:rFonts w:ascii="Cambria Math" w:hAnsi="Cambria Math"/>
            <w:sz w:val="22"/>
          </w:rPr>
          <m:rPr>
            <m:sty m:val="p"/>
          </m:rPr>
          <m:t>,</m:t>
        </m:r>
        <m:r>
          <w:rPr>
            <w:rFonts w:ascii="Cambria Math" w:hAnsi="Cambria Math"/>
            <w:sz w:val="22"/>
          </w:rPr>
          <m:t>4.0</m:t>
        </m:r>
        <m:r>
          <w:rPr>
            <w:rFonts w:ascii="Cambria Math" w:hAnsi="Cambria Math"/>
            <w:sz w:val="22"/>
          </w:rPr>
          <m:rPr>
            <m:sty m:val="p"/>
          </m:rPr>
          <m:t>)</m:t>
        </m:r>
      </m:oMath>
      <w:r>
        <w:t xml:space="preserve"> </w:t>
      </w:r>
      <w:r>
        <w:rPr>
          <w:rFonts w:hint="eastAsia"/>
        </w:rPr>
        <w:t xml:space="preserve">和</w:t>
      </w:r>
      <w:r>
        <w:t xml:space="preserve"> </w:t>
      </w:r>
      <m:oMath>
        <m:sSub>
          <m:e>
            <m:r>
              <w:rPr>
                <w:rFonts w:ascii="Cambria Math" w:hAnsi="Cambria Math"/>
                <w:sz w:val="22"/>
              </w:rPr>
              <m:t>Q</m:t>
            </m:r>
          </m:e>
          <m:sub>
            <m:r>
              <w:rPr>
                <w:rFonts w:ascii="Cambria Math" w:hAnsi="Cambria Math"/>
                <w:sz w:val="22"/>
              </w:rPr>
              <m:rPr>
                <m:sty m:val="p"/>
              </m:rPr>
              <m:t>d</m:t>
            </m:r>
            <m:r>
              <w:rPr>
                <w:rFonts w:ascii="Cambria Math" w:hAnsi="Cambria Math"/>
                <w:sz w:val="22"/>
              </w:rPr>
              <m:rPr>
                <m:sty m:val="p"/>
              </m:rPr>
              <m:t>c</m:t>
            </m:r>
            <m:r>
              <w:rPr>
                <w:rFonts w:ascii="Cambria Math" w:hAnsi="Cambria Math"/>
                <w:sz w:val="22"/>
              </w:rPr>
              <m:rPr>
                <m:sty m:val="p"/>
              </m:rPr>
              <m:t>h</m:t>
            </m:r>
          </m:sub>
        </m:sSub>
        <m:r>
          <w:rPr>
            <w:rFonts w:ascii="Cambria Math" w:hAnsi="Cambria Math"/>
            <w:sz w:val="22"/>
          </w:rPr>
          <m:rPr>
            <m:sty m:val="p"/>
          </m:rPr>
          <m:t>(</m:t>
        </m:r>
        <m:r>
          <w:rPr>
            <w:rFonts w:ascii="Cambria Math" w:hAnsi="Cambria Math"/>
            <w:sz w:val="22"/>
          </w:rPr>
          <m:t>3.8</m:t>
        </m:r>
        <m:r>
          <w:rPr>
            <w:rFonts w:ascii="Cambria Math" w:hAnsi="Cambria Math"/>
            <w:sz w:val="22"/>
          </w:rPr>
          <m:rPr>
            <m:sty m:val="p"/>
          </m:rPr>
          <m:t>,</m:t>
        </m:r>
        <m:r>
          <w:rPr>
            <w:rFonts w:ascii="Cambria Math" w:hAnsi="Cambria Math"/>
            <w:sz w:val="22"/>
          </w:rPr>
          <m:t>3.4</m:t>
        </m:r>
        <m:r>
          <w:rPr>
            <w:rFonts w:ascii="Cambria Math" w:hAnsi="Cambria Math"/>
            <w:sz w:val="22"/>
          </w:rPr>
          <m:rPr>
            <m:sty m:val="p"/>
          </m:rPr>
          <m:t>)</m:t>
        </m:r>
        <m:r>
          <w:rPr>
            <w:rFonts w:ascii="Cambria Math" w:hAnsi="Cambria Math"/>
            <w:sz w:val="22"/>
          </w:rPr>
          <m:rPr>
            <m:sty m:val="p"/>
          </m:rPr>
          <m:t>/</m:t>
        </m:r>
        <m:sSub>
          <m:e>
            <m:r>
              <w:rPr>
                <w:rFonts w:ascii="Cambria Math" w:hAnsi="Cambria Math"/>
                <w:sz w:val="22"/>
              </w:rPr>
              <m:t>C</m:t>
            </m:r>
          </m:e>
          <m:sub>
            <m:r>
              <w:rPr>
                <w:rFonts w:ascii="Cambria Math" w:hAnsi="Cambria Math"/>
                <w:sz w:val="22"/>
              </w:rPr>
              <m:rPr>
                <m:sty m:val="p"/>
              </m:rPr>
              <m:t>r</m:t>
            </m:r>
            <m:r>
              <w:rPr>
                <w:rFonts w:ascii="Cambria Math" w:hAnsi="Cambria Math"/>
                <w:sz w:val="22"/>
              </w:rPr>
              <m:rPr>
                <m:sty m:val="p"/>
              </m:rPr>
              <m:t>a</m:t>
            </m:r>
            <m:r>
              <w:rPr>
                <w:rFonts w:ascii="Cambria Math" w:hAnsi="Cambria Math"/>
                <w:sz w:val="22"/>
              </w:rPr>
              <m:rPr>
                <m:sty m:val="p"/>
              </m:rPr>
              <m:t>t</m:t>
            </m:r>
            <m:r>
              <w:rPr>
                <w:rFonts w:ascii="Cambria Math" w:hAnsi="Cambria Math"/>
                <w:sz w:val="22"/>
              </w:rPr>
              <m:rPr>
                <m:sty m:val="p"/>
              </m:rPr>
              <m:t>e</m:t>
            </m:r>
            <m:r>
              <w:rPr>
                <w:rFonts w:ascii="Cambria Math" w:hAnsi="Cambria Math"/>
                <w:sz w:val="22"/>
              </w:rPr>
              <m:rPr>
                <m:sty m:val="p"/>
              </m:rPr>
              <m:t>d</m:t>
            </m:r>
          </m:sub>
        </m:sSub>
      </m:oMath>
      <w:r>
        <w:t xml:space="preserve"> </w:t>
      </w:r>
      <w:r>
        <w:rPr>
          <w:rFonts w:hint="eastAsia"/>
        </w:rPr>
        <w:t xml:space="preserve">两项健康指标。</w:t>
      </w:r>
    </w:p>
    <w:bookmarkStart w:id="41" w:name="不同迁移方向的性能比较"/>
    <w:p>
      <w:pPr>
        <w:pStyle w:val="Heading3"/>
      </w:pPr>
      <w:r>
        <w:rPr>
          <w:rStyle w:val="SectionNumber"/>
        </w:rPr>
        <w:t xml:space="preserve">4.5.1</w:t>
      </w:r>
      <w:r>
        <w:tab/>
      </w:r>
      <w:r>
        <w:rPr>
          <w:rFonts w:hint="eastAsia"/>
        </w:rPr>
        <w:t xml:space="preserve">不同迁移方向的性能比较</w:t>
      </w:r>
    </w:p>
    <w:p>
      <w:pPr>
        <w:pStyle w:val="FirstParagraph"/>
      </w:pPr>
      <w:r>
        <w:rPr>
          <w:rFonts w:hint="eastAsia"/>
        </w:rPr>
        <w:t xml:space="preserve">如</w:t>
      </w:r>
      <w:hyperlink w:anchor="b_tab_4_7">
        <w:r>
          <w:rPr>
            <w:rStyle w:val="Hyperlink"/>
          </w:rPr>
          <w:t xml:space="preserve">Table 13</w:t>
        </w:r>
      </w:hyperlink>
      <w:r>
        <w:rPr>
          <w:rFonts w:hint="eastAsia"/>
        </w:rPr>
        <w:t xml:space="preserve">所示，CS2→CX2</w:t>
      </w:r>
      <w:r>
        <w:t xml:space="preserve"> </w:t>
      </w:r>
      <w:r>
        <w:rPr>
          <w:rFonts w:hint="eastAsia"/>
        </w:rPr>
        <w:t xml:space="preserve">和</w:t>
      </w:r>
      <w:r>
        <w:t xml:space="preserve"> CX2→CS2 </w:t>
      </w:r>
      <w:r>
        <w:rPr>
          <w:rFonts w:hint="eastAsia"/>
        </w:rPr>
        <w:t xml:space="preserve">的</w:t>
      </w:r>
      <w:r>
        <w:t xml:space="preserve"> </w:t>
      </w:r>
      <m:oMath>
        <m:sSup>
          <m:e>
            <m:r>
              <w:rPr>
                <w:rFonts w:ascii="Cambria Math" w:hAnsi="Cambria Math"/>
                <w:sz w:val="22"/>
              </w:rPr>
              <m:t>R</m:t>
            </m:r>
          </m:e>
          <m:sup>
            <m:r>
              <w:rPr>
                <w:rFonts w:ascii="Cambria Math" w:hAnsi="Cambria Math"/>
                <w:sz w:val="22"/>
              </w:rPr>
              <m:t>2</m:t>
            </m:r>
          </m:sup>
        </m:sSup>
      </m:oMath>
      <w:r>
        <w:t xml:space="preserve"> </w:t>
      </w:r>
      <w:r>
        <w:rPr>
          <w:rFonts w:hint="eastAsia"/>
        </w:rPr>
        <w:t xml:space="preserve">分别为</w:t>
      </w:r>
      <w:r>
        <w:t xml:space="preserve"> 0.8421 </w:t>
      </w:r>
      <w:r>
        <w:rPr>
          <w:rFonts w:hint="eastAsia"/>
        </w:rPr>
        <w:t xml:space="preserve">和</w:t>
      </w:r>
      <w:r>
        <w:t xml:space="preserve"> </w:t>
      </w:r>
      <w:r>
        <w:rPr>
          <w:rFonts w:hint="eastAsia"/>
        </w:rPr>
        <w:t xml:space="preserve">0.7847，MAE</w:t>
      </w:r>
      <w:r>
        <w:t xml:space="preserve"> </w:t>
      </w:r>
      <w:r>
        <w:rPr>
          <w:rFonts w:hint="eastAsia"/>
        </w:rPr>
        <w:t xml:space="preserve">分别为</w:t>
      </w:r>
      <w:r>
        <w:t xml:space="preserve"> 0.0697 </w:t>
      </w:r>
      <w:r>
        <w:rPr>
          <w:rFonts w:hint="eastAsia"/>
        </w:rPr>
        <w:t xml:space="preserve">和</w:t>
      </w:r>
      <w:r>
        <w:t xml:space="preserve"> </w:t>
      </w:r>
      <w:r>
        <w:rPr>
          <w:rFonts w:hint="eastAsia"/>
        </w:rPr>
        <w:t xml:space="preserve">0.0388，表明模型在两个</w:t>
      </w:r>
      <w:r>
        <w:t xml:space="preserve"> CALCE </w:t>
      </w:r>
      <w:r>
        <w:rPr>
          <w:rFonts w:hint="eastAsia"/>
        </w:rPr>
        <w:t xml:space="preserve">数据域之间仍能较好地表征退化趋势。相比之下，四个涉及</w:t>
      </w:r>
      <w:r>
        <w:t xml:space="preserve"> Oxford </w:t>
      </w:r>
      <w:r>
        <w:rPr>
          <w:rFonts w:hint="eastAsia"/>
        </w:rPr>
        <w:t xml:space="preserve">的迁移方向的</w:t>
      </w:r>
      <w:r>
        <w:t xml:space="preserve"> MAE </w:t>
      </w:r>
      <w:r>
        <w:rPr>
          <w:rFonts w:hint="eastAsia"/>
        </w:rPr>
        <w:t xml:space="preserve">为</w:t>
      </w:r>
      <w:r>
        <w:t xml:space="preserve"> </w:t>
      </w:r>
      <w:r>
        <w:rPr>
          <w:rFonts w:hint="eastAsia"/>
        </w:rPr>
        <w:t xml:space="preserve">0.1530～0.6346，且</w:t>
      </w:r>
      <w:r>
        <w:t xml:space="preserve"> </w:t>
      </w:r>
      <m:oMath>
        <m:sSup>
          <m:e>
            <m:r>
              <w:rPr>
                <w:rFonts w:ascii="Cambria Math" w:hAnsi="Cambria Math"/>
                <w:sz w:val="22"/>
              </w:rPr>
              <m:t>R</m:t>
            </m:r>
          </m:e>
          <m:sup>
            <m:r>
              <w:rPr>
                <w:rFonts w:ascii="Cambria Math" w:hAnsi="Cambria Math"/>
                <w:sz w:val="22"/>
              </w:rPr>
              <m:t>2</m:t>
            </m:r>
          </m:sup>
        </m:sSup>
      </m:oMath>
      <w:r>
        <w:t xml:space="preserve"> </w:t>
      </w:r>
      <w:r>
        <w:rPr>
          <w:rFonts w:hint="eastAsia"/>
        </w:rPr>
        <w:t xml:space="preserve">均低于</w:t>
      </w:r>
      <w:r>
        <w:t xml:space="preserve"> </w:t>
      </w:r>
      <w:r>
        <w:rPr>
          <w:rFonts w:hint="eastAsia"/>
        </w:rPr>
        <w:t xml:space="preserve">0，显示直接迁移性能随数据域组合和迁移方向发生明显变化。</w:t>
      </w:r>
    </w:p>
    <w:p>
      <w:pPr>
        <w:pStyle w:val="BodyText"/>
      </w:pPr>
      <w:r>
        <w:rPr>
          <w:rFonts w:hint="eastAsia"/>
        </w:rPr>
        <w:t xml:space="preserve">少样本适应结果见</w:t>
      </w:r>
      <w:hyperlink w:anchor="b_tab_4_8">
        <w:r>
          <w:rPr>
            <w:rStyle w:val="Hyperlink"/>
          </w:rPr>
          <w:t xml:space="preserve">Table 14</w:t>
        </w:r>
      </w:hyperlink>
      <w:r>
        <w:rPr>
          <w:rFonts w:hint="eastAsia"/>
        </w:rPr>
        <w:t xml:space="preserve">。适应后，六个迁移方向的</w:t>
      </w:r>
      <w:r>
        <w:t xml:space="preserve"> MAE、MAPE </w:t>
      </w:r>
      <w:r>
        <w:rPr>
          <w:rFonts w:hint="eastAsia"/>
        </w:rPr>
        <w:t xml:space="preserve">和</w:t>
      </w:r>
      <w:r>
        <w:t xml:space="preserve"> RMSE </w:t>
      </w:r>
      <w:r>
        <w:rPr>
          <w:rFonts w:hint="eastAsia"/>
        </w:rPr>
        <w:t xml:space="preserve">均有所降低。以</w:t>
      </w:r>
      <w:r>
        <w:t xml:space="preserve"> MAE </w:t>
      </w:r>
      <w:r>
        <w:rPr>
          <w:rFonts w:hint="eastAsia"/>
        </w:rPr>
        <w:t xml:space="preserve">为例，两个</w:t>
      </w:r>
      <w:r>
        <w:t xml:space="preserve"> CALCE </w:t>
      </w:r>
      <w:r>
        <w:rPr>
          <w:rFonts w:hint="eastAsia"/>
        </w:rPr>
        <w:t xml:space="preserve">数据域之间的降幅为</w:t>
      </w:r>
      <w:r>
        <w:t xml:space="preserve"> </w:t>
      </w:r>
      <w:r>
        <w:rPr>
          <w:rFonts w:hint="eastAsia"/>
        </w:rPr>
        <w:t xml:space="preserve">21.91%～45.91%，CALCE→Oxford</w:t>
      </w:r>
      <w:r>
        <w:t xml:space="preserve"> </w:t>
      </w:r>
      <w:r>
        <w:rPr>
          <w:rFonts w:hint="eastAsia"/>
        </w:rPr>
        <w:t xml:space="preserve">方向的降幅为</w:t>
      </w:r>
      <w:r>
        <w:t xml:space="preserve"> </w:t>
      </w:r>
      <w:r>
        <w:rPr>
          <w:rFonts w:hint="eastAsia"/>
        </w:rPr>
        <w:t xml:space="preserve">86.84%～87.61%，Oxford→CALCE</w:t>
      </w:r>
      <w:r>
        <w:t xml:space="preserve"> </w:t>
      </w:r>
      <w:r>
        <w:rPr>
          <w:rFonts w:hint="eastAsia"/>
        </w:rPr>
        <w:t xml:space="preserve">方向的降幅为</w:t>
      </w:r>
      <w:r>
        <w:t xml:space="preserve"> </w:t>
      </w:r>
      <w:r>
        <w:rPr>
          <w:rFonts w:hint="eastAsia"/>
        </w:rPr>
        <w:t xml:space="preserve">13.27%～31.21%。从</w:t>
      </w:r>
      <w:r>
        <w:t xml:space="preserve"> </w:t>
      </w:r>
      <m:oMath>
        <m:sSup>
          <m:e>
            <m:r>
              <w:rPr>
                <w:rFonts w:ascii="Cambria Math" w:hAnsi="Cambria Math"/>
                <w:sz w:val="22"/>
              </w:rPr>
              <m:t>R</m:t>
            </m:r>
          </m:e>
          <m:sup>
            <m:r>
              <w:rPr>
                <w:rFonts w:ascii="Cambria Math" w:hAnsi="Cambria Math"/>
                <w:sz w:val="22"/>
              </w:rPr>
              <m:t>2</m:t>
            </m:r>
          </m:sup>
        </m:sSup>
      </m:oMath>
      <w:r>
        <w:t xml:space="preserve"> </w:t>
      </w:r>
      <w:r>
        <w:rPr>
          <w:rFonts w:hint="eastAsia"/>
        </w:rPr>
        <w:t xml:space="preserve">看，适应后的</w:t>
      </w:r>
      <w:r>
        <w:t xml:space="preserve"> CS2→CX2 </w:t>
      </w:r>
      <w:r>
        <w:rPr>
          <w:rFonts w:hint="eastAsia"/>
        </w:rPr>
        <w:t xml:space="preserve">和</w:t>
      </w:r>
      <w:r>
        <w:t xml:space="preserve"> CX2→CS2 </w:t>
      </w:r>
      <w:r>
        <w:rPr>
          <w:rFonts w:hint="eastAsia"/>
        </w:rPr>
        <w:t xml:space="preserve">分别达到</w:t>
      </w:r>
      <w:r>
        <w:t xml:space="preserve"> 0.9566 </w:t>
      </w:r>
      <w:r>
        <w:rPr>
          <w:rFonts w:hint="eastAsia"/>
        </w:rPr>
        <w:t xml:space="preserve">和</w:t>
      </w:r>
      <w:r>
        <w:t xml:space="preserve"> </w:t>
      </w:r>
      <w:r>
        <w:rPr>
          <w:rFonts w:hint="eastAsia"/>
        </w:rPr>
        <w:t xml:space="preserve">0.8806，而四个涉及</w:t>
      </w:r>
      <w:r>
        <w:t xml:space="preserve"> Oxford </w:t>
      </w:r>
      <w:r>
        <w:rPr>
          <w:rFonts w:hint="eastAsia"/>
        </w:rPr>
        <w:t xml:space="preserve">的迁移方向仍低于</w:t>
      </w:r>
      <w:r>
        <w:t xml:space="preserve"> </w:t>
      </w:r>
      <w:r>
        <w:rPr>
          <w:rFonts w:hint="eastAsia"/>
        </w:rPr>
        <w:t xml:space="preserve">0，表明涉及</w:t>
      </w:r>
      <w:r>
        <w:t xml:space="preserve"> Oxford </w:t>
      </w:r>
      <w:r>
        <w:rPr>
          <w:rFonts w:hint="eastAsia"/>
        </w:rPr>
        <w:t xml:space="preserve">的跨数据集迁移较两个</w:t>
      </w:r>
      <w:r>
        <w:t xml:space="preserve"> CALCE </w:t>
      </w:r>
      <w:r>
        <w:rPr>
          <w:rFonts w:hint="eastAsia"/>
        </w:rPr>
        <w:t xml:space="preserve">数据域之间的迁移更具挑战性。</w:t>
      </w:r>
    </w:p>
    <w:p>
      <w:pPr>
        <w:pStyle w:val="BodyText"/>
        <w:keepLines/>
        <w:spacing w:before="100" w:after="80"/>
        <w:ind w:firstLine="0"/>
        <w:jc w:val="center"/>
      </w:pPr>
      <w:bookmarkStart w:id="1085" w:name="b_tab_4_7"/>
      <w:r>
        <w:drawing>
          <wp:inline>
            <wp:extent cx="6084000" cy="1672819"/>
            <wp:docPr id="22" name="Picture 22"/>
            <wp:cNvGraphicFramePr>
              <a:graphicFrameLocks noChangeAspect="1"/>
            </wp:cNvGraphicFramePr>
            <a:graphic>
              <a:graphicData uri="http://schemas.openxmlformats.org/drawingml/2006/picture">
                <pic:pic>
                  <pic:nvPicPr>
                    <pic:cNvPr id="0" name="table_13.png"/>
                    <pic:cNvPicPr/>
                  </pic:nvPicPr>
                  <pic:blipFill>
                    <a:blip r:embed="rId30"/>
                    <a:stretch>
                      <a:fillRect/>
                    </a:stretch>
                  </pic:blipFill>
                  <pic:spPr>
                    <a:xfrm>
                      <a:off x="0" y="0"/>
                      <a:ext cx="6084000" cy="1672819"/>
                    </a:xfrm>
                    <a:prstGeom prst="rect"/>
                  </pic:spPr>
                </pic:pic>
              </a:graphicData>
            </a:graphic>
          </wp:inline>
        </w:drawing>
      </w:r>
      <w:bookmarkEnd w:id="1085"/>
    </w:p>
    <w:p>
      <w:pPr>
        <w:pStyle w:val="BodyText"/>
        <w:keepLines/>
        <w:spacing w:before="100" w:after="80"/>
        <w:ind w:firstLine="0"/>
        <w:jc w:val="center"/>
      </w:pPr>
      <w:bookmarkStart w:id="1086" w:name="b_tab_4_8"/>
      <w:r>
        <w:drawing>
          <wp:inline>
            <wp:extent cx="6084000" cy="1672819"/>
            <wp:docPr id="23" name="Picture 23"/>
            <wp:cNvGraphicFramePr>
              <a:graphicFrameLocks noChangeAspect="1"/>
            </wp:cNvGraphicFramePr>
            <a:graphic>
              <a:graphicData uri="http://schemas.openxmlformats.org/drawingml/2006/picture">
                <pic:pic>
                  <pic:nvPicPr>
                    <pic:cNvPr id="0" name="table_14.png"/>
                    <pic:cNvPicPr/>
                  </pic:nvPicPr>
                  <pic:blipFill>
                    <a:blip r:embed="rId31"/>
                    <a:stretch>
                      <a:fillRect/>
                    </a:stretch>
                  </pic:blipFill>
                  <pic:spPr>
                    <a:xfrm>
                      <a:off x="0" y="0"/>
                      <a:ext cx="6084000" cy="1672819"/>
                    </a:xfrm>
                    <a:prstGeom prst="rect"/>
                  </pic:spPr>
                </pic:pic>
              </a:graphicData>
            </a:graphic>
          </wp:inline>
        </w:drawing>
      </w:r>
      <w:bookmarkEnd w:id="1086"/>
    </w:p>
    <w:bookmarkEnd w:id="41"/>
    <w:bookmarkStart w:id="42" w:name="目标域适配比例的影响"/>
    <w:p>
      <w:pPr>
        <w:pStyle w:val="Heading3"/>
      </w:pPr>
      <w:r>
        <w:rPr>
          <w:rStyle w:val="SectionNumber"/>
        </w:rPr>
        <w:t xml:space="preserve">4.5.2</w:t>
      </w:r>
      <w:r>
        <w:tab/>
      </w:r>
      <w:r>
        <w:rPr>
          <w:rFonts w:hint="eastAsia"/>
        </w:rPr>
        <w:t xml:space="preserve">目标域适配比例的影响</w:t>
      </w:r>
    </w:p>
    <w:p>
      <w:pPr>
        <w:pStyle w:val="FirstParagraph"/>
      </w:pPr>
      <w:r>
        <w:rPr>
          <w:rFonts w:hint="eastAsia"/>
        </w:rPr>
        <w:t xml:space="preserve">分别以</w:t>
      </w:r>
      <w:r>
        <w:t xml:space="preserve"> CS2_36 </w:t>
      </w:r>
      <w:r>
        <w:rPr>
          <w:rFonts w:hint="eastAsia"/>
        </w:rPr>
        <w:t xml:space="preserve">和</w:t>
      </w:r>
      <w:r>
        <w:t xml:space="preserve"> CX2_36 </w:t>
      </w:r>
      <w:r>
        <w:rPr>
          <w:rFonts w:hint="eastAsia"/>
        </w:rPr>
        <w:t xml:space="preserve">作为源域，使用</w:t>
      </w:r>
      <w:r>
        <w:t xml:space="preserve"> Oxford Cell1 </w:t>
      </w:r>
      <w:r>
        <w:rPr>
          <w:rFonts w:hint="eastAsia"/>
        </w:rPr>
        <w:t xml:space="preserve">的前置循环数据进行读出层适配，并将适配比例依次设置为</w:t>
      </w:r>
      <w:r>
        <w:t xml:space="preserve"> 10%、30%、50% </w:t>
      </w:r>
      <w:r>
        <w:rPr>
          <w:rFonts w:hint="eastAsia"/>
        </w:rPr>
        <w:t xml:space="preserve">和</w:t>
      </w:r>
      <w:r>
        <w:t xml:space="preserve"> </w:t>
      </w:r>
      <w:r>
        <w:rPr>
          <w:rFonts w:hint="eastAsia"/>
        </w:rPr>
        <w:t xml:space="preserve">70%，结果见</w:t>
      </w:r>
      <w:hyperlink w:anchor="b_tab_4_9">
        <w:r>
          <w:rPr>
            <w:rStyle w:val="Hyperlink"/>
          </w:rPr>
          <w:t xml:space="preserve">Table 15</w:t>
        </w:r>
      </w:hyperlink>
      <w:r>
        <w:t xml:space="preserve">。</w:t>
      </w:r>
    </w:p>
    <w:p>
      <w:pPr>
        <w:pStyle w:val="BodyText"/>
      </w:pPr>
      <w:r>
        <w:rPr>
          <w:rFonts w:hint="eastAsia"/>
        </w:rPr>
        <w:t xml:space="preserve">随着适配比例由</w:t>
      </w:r>
      <w:r>
        <w:t xml:space="preserve"> 10% </w:t>
      </w:r>
      <w:r>
        <w:rPr>
          <w:rFonts w:hint="eastAsia"/>
        </w:rPr>
        <w:t xml:space="preserve">增至</w:t>
      </w:r>
      <w:r>
        <w:t xml:space="preserve"> </w:t>
      </w:r>
      <w:r>
        <w:rPr>
          <w:rFonts w:hint="eastAsia"/>
        </w:rPr>
        <w:t xml:space="preserve">70%，两种源域设置下的</w:t>
      </w:r>
      <w:r>
        <w:t xml:space="preserve"> MAE、MAPE </w:t>
      </w:r>
      <w:r>
        <w:rPr>
          <w:rFonts w:hint="eastAsia"/>
        </w:rPr>
        <w:t xml:space="preserve">和</w:t>
      </w:r>
      <w:r>
        <w:t xml:space="preserve"> RMSE </w:t>
      </w:r>
      <w:r>
        <w:rPr>
          <w:rFonts w:hint="eastAsia"/>
        </w:rPr>
        <w:t xml:space="preserve">均持续下降。以</w:t>
      </w:r>
      <w:r>
        <w:t xml:space="preserve"> CS2 </w:t>
      </w:r>
      <w:r>
        <w:rPr>
          <w:rFonts w:hint="eastAsia"/>
        </w:rPr>
        <w:t xml:space="preserve">为源域时，MAE</w:t>
      </w:r>
      <w:r>
        <w:t xml:space="preserve"> </w:t>
      </w:r>
      <w:r>
        <w:rPr>
          <w:rFonts w:hint="eastAsia"/>
        </w:rPr>
        <w:t xml:space="preserve">由</w:t>
      </w:r>
      <w:r>
        <w:t xml:space="preserve"> 0.0831 </w:t>
      </w:r>
      <w:r>
        <w:rPr>
          <w:rFonts w:hint="eastAsia"/>
        </w:rPr>
        <w:t xml:space="preserve">降至</w:t>
      </w:r>
      <w:r>
        <w:t xml:space="preserve"> </w:t>
      </w:r>
      <w:r>
        <w:rPr>
          <w:rFonts w:hint="eastAsia"/>
        </w:rPr>
        <w:t xml:space="preserve">0.0252，</w:t>
      </w:r>
      <m:oMath>
        <m:sSup>
          <m:e>
            <m:r>
              <w:rPr>
                <w:rFonts w:ascii="Cambria Math" w:hAnsi="Cambria Math"/>
                <w:sz w:val="22"/>
              </w:rPr>
              <m:t>R</m:t>
            </m:r>
          </m:e>
          <m:sup>
            <m:r>
              <w:rPr>
                <w:rFonts w:ascii="Cambria Math" w:hAnsi="Cambria Math"/>
                <w:sz w:val="22"/>
              </w:rPr>
              <m:t>2</m:t>
            </m:r>
          </m:sup>
        </m:sSup>
      </m:oMath>
      <w:r>
        <w:t xml:space="preserve"> </w:t>
      </w:r>
      <w:r>
        <w:rPr>
          <w:rFonts w:hint="eastAsia"/>
        </w:rPr>
        <w:t xml:space="preserve">由</w:t>
      </w:r>
      <w:r>
        <w:t xml:space="preserve"> -1.3934 </w:t>
      </w:r>
      <w:r>
        <w:rPr>
          <w:rFonts w:hint="eastAsia"/>
        </w:rPr>
        <w:t xml:space="preserve">提高至</w:t>
      </w:r>
      <w:r>
        <w:t xml:space="preserve"> </w:t>
      </w:r>
      <w:r>
        <w:rPr>
          <w:rFonts w:hint="eastAsia"/>
        </w:rPr>
        <w:t xml:space="preserve">0.7650，并在</w:t>
      </w:r>
      <w:r>
        <w:t xml:space="preserve"> 50% </w:t>
      </w:r>
      <w:r>
        <w:rPr>
          <w:rFonts w:hint="eastAsia"/>
        </w:rPr>
        <w:t xml:space="preserve">适配比例下由负转正；以</w:t>
      </w:r>
      <w:r>
        <w:t xml:space="preserve"> CX2 </w:t>
      </w:r>
      <w:r>
        <w:rPr>
          <w:rFonts w:hint="eastAsia"/>
        </w:rPr>
        <w:t xml:space="preserve">为源域时，MAE</w:t>
      </w:r>
      <w:r>
        <w:t xml:space="preserve"> </w:t>
      </w:r>
      <w:r>
        <w:rPr>
          <w:rFonts w:hint="eastAsia"/>
        </w:rPr>
        <w:t xml:space="preserve">由</w:t>
      </w:r>
      <w:r>
        <w:t xml:space="preserve"> 0.1095 </w:t>
      </w:r>
      <w:r>
        <w:rPr>
          <w:rFonts w:hint="eastAsia"/>
        </w:rPr>
        <w:t xml:space="preserve">降至</w:t>
      </w:r>
      <w:r>
        <w:t xml:space="preserve"> </w:t>
      </w:r>
      <w:r>
        <w:rPr>
          <w:rFonts w:hint="eastAsia"/>
        </w:rPr>
        <w:t xml:space="preserve">0.0559，</w:t>
      </w:r>
      <m:oMath>
        <m:sSup>
          <m:e>
            <m:r>
              <w:rPr>
                <w:rFonts w:ascii="Cambria Math" w:hAnsi="Cambria Math"/>
                <w:sz w:val="22"/>
              </w:rPr>
              <m:t>R</m:t>
            </m:r>
          </m:e>
          <m:sup>
            <m:r>
              <w:rPr>
                <w:rFonts w:ascii="Cambria Math" w:hAnsi="Cambria Math"/>
                <w:sz w:val="22"/>
              </w:rPr>
              <m:t>2</m:t>
            </m:r>
          </m:sup>
        </m:sSup>
      </m:oMath>
      <w:r>
        <w:t xml:space="preserve"> </w:t>
      </w:r>
      <w:r>
        <w:rPr>
          <w:rFonts w:hint="eastAsia"/>
        </w:rPr>
        <w:t xml:space="preserve">由</w:t>
      </w:r>
      <w:r>
        <w:t xml:space="preserve"> -3.2217 </w:t>
      </w:r>
      <w:r>
        <w:rPr>
          <w:rFonts w:hint="eastAsia"/>
        </w:rPr>
        <w:t xml:space="preserve">提高至</w:t>
      </w:r>
      <w:r>
        <w:t xml:space="preserve"> 70% </w:t>
      </w:r>
      <w:r>
        <w:rPr>
          <w:rFonts w:hint="eastAsia"/>
        </w:rPr>
        <w:t xml:space="preserve">适配比例下的</w:t>
      </w:r>
      <w:r>
        <w:t xml:space="preserve"> </w:t>
      </w:r>
      <w:r>
        <w:rPr>
          <w:rFonts w:hint="eastAsia"/>
        </w:rPr>
        <w:t xml:space="preserve">-0.1268。四种适配比例下，CS2</w:t>
      </w:r>
      <w:r>
        <w:t xml:space="preserve"> </w:t>
      </w:r>
      <w:r>
        <w:rPr>
          <w:rFonts w:hint="eastAsia"/>
        </w:rPr>
        <w:t xml:space="preserve">源域的</w:t>
      </w:r>
      <w:r>
        <w:t xml:space="preserve"> </w:t>
      </w:r>
      <m:oMath>
        <m:sSup>
          <m:e>
            <m:r>
              <w:rPr>
                <w:rFonts w:ascii="Cambria Math" w:hAnsi="Cambria Math"/>
                <w:sz w:val="22"/>
              </w:rPr>
              <m:t>R</m:t>
            </m:r>
          </m:e>
          <m:sup>
            <m:r>
              <w:rPr>
                <w:rFonts w:ascii="Cambria Math" w:hAnsi="Cambria Math"/>
                <w:sz w:val="22"/>
              </w:rPr>
              <m:t>2</m:t>
            </m:r>
          </m:sup>
        </m:sSup>
      </m:oMath>
      <w:r>
        <w:t xml:space="preserve"> </w:t>
      </w:r>
      <w:r>
        <w:rPr>
          <w:rFonts w:hint="eastAsia"/>
        </w:rPr>
        <w:t xml:space="preserve">均高于</w:t>
      </w:r>
      <w:r>
        <w:t xml:space="preserve"> CX2 </w:t>
      </w:r>
      <w:r>
        <w:rPr>
          <w:rFonts w:hint="eastAsia"/>
        </w:rPr>
        <w:t xml:space="preserve">源域的对应结果。</w:t>
      </w:r>
    </w:p>
    <w:p>
      <w:pPr>
        <w:pStyle w:val="BodyText"/>
      </w:pPr>
      <w:r>
        <w:rPr>
          <w:rFonts w:hint="eastAsia"/>
        </w:rPr>
        <w:t xml:space="preserve">进一步比较相邻适配比例，CS2</w:t>
      </w:r>
      <w:r>
        <w:t xml:space="preserve"> </w:t>
      </w:r>
      <w:r>
        <w:rPr>
          <w:rFonts w:hint="eastAsia"/>
        </w:rPr>
        <w:t xml:space="preserve">和</w:t>
      </w:r>
      <w:r>
        <w:t xml:space="preserve"> CX2 </w:t>
      </w:r>
      <w:r>
        <w:rPr>
          <w:rFonts w:hint="eastAsia"/>
        </w:rPr>
        <w:t xml:space="preserve">源域从</w:t>
      </w:r>
      <w:r>
        <w:t xml:space="preserve"> 30% </w:t>
      </w:r>
      <w:r>
        <w:rPr>
          <w:rFonts w:hint="eastAsia"/>
        </w:rPr>
        <w:t xml:space="preserve">增至</w:t>
      </w:r>
      <w:r>
        <w:t xml:space="preserve"> 50% </w:t>
      </w:r>
      <w:r>
        <w:rPr>
          <w:rFonts w:hint="eastAsia"/>
        </w:rPr>
        <w:t xml:space="preserve">时，MAE</w:t>
      </w:r>
      <w:r>
        <w:t xml:space="preserve"> </w:t>
      </w:r>
      <w:r>
        <w:rPr>
          <w:rFonts w:hint="eastAsia"/>
        </w:rPr>
        <w:t xml:space="preserve">分别降低</w:t>
      </w:r>
      <w:r>
        <w:t xml:space="preserve"> 0.0224 </w:t>
      </w:r>
      <w:r>
        <w:rPr>
          <w:rFonts w:hint="eastAsia"/>
        </w:rPr>
        <w:t xml:space="preserve">和</w:t>
      </w:r>
      <w:r>
        <w:t xml:space="preserve"> </w:t>
      </w:r>
      <w:r>
        <w:rPr>
          <w:rFonts w:hint="eastAsia"/>
        </w:rPr>
        <w:t xml:space="preserve">0.0221；从</w:t>
      </w:r>
      <w:r>
        <w:t xml:space="preserve"> 50% </w:t>
      </w:r>
      <w:r>
        <w:rPr>
          <w:rFonts w:hint="eastAsia"/>
        </w:rPr>
        <w:t xml:space="preserve">增至</w:t>
      </w:r>
      <w:r>
        <w:t xml:space="preserve"> 70% </w:t>
      </w:r>
      <w:r>
        <w:rPr>
          <w:rFonts w:hint="eastAsia"/>
        </w:rPr>
        <w:t xml:space="preserve">时，降幅分别缩小至</w:t>
      </w:r>
      <w:r>
        <w:t xml:space="preserve"> 0.0114 </w:t>
      </w:r>
      <w:r>
        <w:rPr>
          <w:rFonts w:hint="eastAsia"/>
        </w:rPr>
        <w:t xml:space="preserve">和</w:t>
      </w:r>
      <w:r>
        <w:t xml:space="preserve"> </w:t>
      </w:r>
      <w:r>
        <w:rPr>
          <w:rFonts w:hint="eastAsia"/>
        </w:rPr>
        <w:t xml:space="preserve">0.0055。结果表明，增加目标域观测能够持续改善模型在</w:t>
      </w:r>
      <w:r>
        <w:t xml:space="preserve"> Oxford </w:t>
      </w:r>
      <w:r>
        <w:rPr>
          <w:rFonts w:hint="eastAsia"/>
        </w:rPr>
        <w:t xml:space="preserve">数据域上的适配性能；在相同适配比例下，CS2</w:t>
      </w:r>
      <w:r>
        <w:t xml:space="preserve"> </w:t>
      </w:r>
      <w:r>
        <w:rPr>
          <w:rFonts w:hint="eastAsia"/>
        </w:rPr>
        <w:t xml:space="preserve">源域始终取得更低的估计误差和更高的</w:t>
      </w:r>
      <w:r>
        <w:t xml:space="preserve"> </w:t>
      </w:r>
      <m:oMath>
        <m:sSup>
          <m:e>
            <m:r>
              <w:rPr>
                <w:rFonts w:ascii="Cambria Math" w:hAnsi="Cambria Math"/>
                <w:sz w:val="22"/>
              </w:rPr>
              <m:t>R</m:t>
            </m:r>
          </m:e>
          <m:sup>
            <m:r>
              <w:rPr>
                <w:rFonts w:ascii="Cambria Math" w:hAnsi="Cambria Math"/>
                <w:sz w:val="22"/>
              </w:rPr>
              <m:t>2</m:t>
            </m:r>
          </m:sup>
        </m:sSup>
      </m:oMath>
      <w:r>
        <w:rPr>
          <w:rFonts w:hint="eastAsia"/>
        </w:rPr>
        <w:t xml:space="preserve">，进一步体现了源域选择对跨数据集适配性能的影响。</w:t>
      </w:r>
    </w:p>
    <w:p>
      <w:pPr>
        <w:pStyle w:val="BodyText"/>
        <w:keepLines/>
        <w:spacing w:before="100" w:after="80"/>
        <w:ind w:firstLine="0"/>
        <w:jc w:val="center"/>
      </w:pPr>
      <w:bookmarkStart w:id="1087" w:name="b_tab_4_9"/>
      <w:r>
        <w:drawing>
          <wp:inline>
            <wp:extent cx="6084000" cy="2029874"/>
            <wp:docPr id="24" name="Picture 24"/>
            <wp:cNvGraphicFramePr>
              <a:graphicFrameLocks noChangeAspect="1"/>
            </wp:cNvGraphicFramePr>
            <a:graphic>
              <a:graphicData uri="http://schemas.openxmlformats.org/drawingml/2006/picture">
                <pic:pic>
                  <pic:nvPicPr>
                    <pic:cNvPr id="0" name="table_15.png"/>
                    <pic:cNvPicPr/>
                  </pic:nvPicPr>
                  <pic:blipFill>
                    <a:blip r:embed="rId32"/>
                    <a:stretch>
                      <a:fillRect/>
                    </a:stretch>
                  </pic:blipFill>
                  <pic:spPr>
                    <a:xfrm>
                      <a:off x="0" y="0"/>
                      <a:ext cx="6084000" cy="2029874"/>
                    </a:xfrm>
                    <a:prstGeom prst="rect"/>
                  </pic:spPr>
                </pic:pic>
              </a:graphicData>
            </a:graphic>
          </wp:inline>
        </w:drawing>
      </w:r>
      <w:bookmarkEnd w:id="1087"/>
    </w:p>
    <w:bookmarkEnd w:id="42"/>
    <w:bookmarkEnd w:id="43"/>
    <w:bookmarkStart w:id="46" w:name="模块消融与模型复杂度分析"/>
    <w:p>
      <w:pPr>
        <w:pStyle w:val="Heading2"/>
      </w:pPr>
      <w:r>
        <w:rPr>
          <w:rStyle w:val="SectionNumber"/>
        </w:rPr>
        <w:t xml:space="preserve">4.6</w:t>
      </w:r>
      <w:r>
        <w:tab/>
      </w:r>
      <w:r>
        <w:rPr>
          <w:rFonts w:hint="eastAsia"/>
        </w:rPr>
        <w:t xml:space="preserve">模块消融与模型复杂度分析</w:t>
      </w:r>
    </w:p>
    <w:p>
      <w:pPr>
        <w:pStyle w:val="FirstParagraph"/>
      </w:pPr>
      <w:r>
        <w:rPr>
          <w:rFonts w:hint="eastAsia"/>
        </w:rPr>
        <w:t xml:space="preserve">为进一步验证</w:t>
      </w:r>
      <w:r>
        <w:t xml:space="preserve"> MS-AgentNet </w:t>
      </w:r>
      <w:r>
        <w:rPr>
          <w:rFonts w:hint="eastAsia"/>
        </w:rPr>
        <w:t xml:space="preserve">的有效性和效率，在主对比实验基础上开展消融研究与复杂度分析。消融研究通过移除或组合关键模块，考察各模块对预测性能的作用；复杂度分析则从计算量、参数量和存储占用等方面评估模型开销。</w:t>
      </w:r>
    </w:p>
    <w:bookmarkStart w:id="44" w:name="模块消融分析"/>
    <w:p>
      <w:pPr>
        <w:pStyle w:val="Heading3"/>
      </w:pPr>
      <w:r>
        <w:rPr>
          <w:rStyle w:val="SectionNumber"/>
        </w:rPr>
        <w:t xml:space="preserve">4.6.1</w:t>
      </w:r>
      <w:r>
        <w:tab/>
      </w:r>
      <w:r>
        <w:rPr>
          <w:rFonts w:hint="eastAsia"/>
        </w:rPr>
        <w:t xml:space="preserve">模块消融分析</w:t>
      </w:r>
    </w:p>
    <w:p>
      <w:pPr>
        <w:pStyle w:val="FirstParagraph"/>
      </w:pPr>
      <w:r>
        <w:rPr>
          <w:rFonts w:hint="eastAsia"/>
        </w:rPr>
        <w:t xml:space="preserve">高效注意力通过压缩信息交互降低标准注意力的计算开销[</w:t>
      </w:r>
      <w:hyperlink w:anchor="b_ref39">
        <w:r>
          <w:rPr>
            <w:rStyle w:val="Hyperlink"/>
          </w:rPr>
          <w:t xml:space="preserve">39</w:t>
        </w:r>
      </w:hyperlink>
      <w:r>
        <w:t xml:space="preserve">,</w:t>
      </w:r>
      <w:hyperlink w:anchor="b_ref40">
        <w:r>
          <w:rPr>
            <w:rStyle w:val="Hyperlink"/>
          </w:rPr>
          <w:t xml:space="preserve">40</w:t>
        </w:r>
      </w:hyperlink>
      <w:r>
        <w:t xml:space="preserve">,</w:t>
      </w:r>
      <w:hyperlink w:anchor="b_ref43">
        <w:r>
          <w:rPr>
            <w:rStyle w:val="Hyperlink"/>
          </w:rPr>
          <w:t xml:space="preserve">43</w:t>
        </w:r>
      </w:hyperlink>
      <w:r>
        <w:t xml:space="preserve">,</w:t>
      </w:r>
      <w:hyperlink w:anchor="b_ref44">
        <w:r>
          <w:rPr>
            <w:rStyle w:val="Hyperlink"/>
          </w:rPr>
          <w:t xml:space="preserve">44</w:t>
        </w:r>
      </w:hyperlink>
      <w:r>
        <w:rPr>
          <w:rFonts w:hint="eastAsia"/>
        </w:rPr>
        <w:t xml:space="preserve">]，但这一过程可能削弱局部细粒度退化信息的表达[</w:t>
      </w:r>
      <w:hyperlink w:anchor="b_ref31">
        <w:r>
          <w:rPr>
            <w:rStyle w:val="Hyperlink"/>
          </w:rPr>
          <w:t xml:space="preserve">31</w:t>
        </w:r>
      </w:hyperlink>
      <w:r>
        <w:rPr>
          <w:rFonts w:hint="eastAsia"/>
        </w:rPr>
        <w:t xml:space="preserve">]；直接叠加标准卷积虽然能够增强局部特征建模，却会增加参数量和计算负担[</w:t>
      </w:r>
      <w:hyperlink w:anchor="b_ref31">
        <w:r>
          <w:rPr>
            <w:rStyle w:val="Hyperlink"/>
          </w:rPr>
          <w:t xml:space="preserve">31</w:t>
        </w:r>
      </w:hyperlink>
      <w:r>
        <w:t xml:space="preserve">,</w:t>
      </w:r>
      <w:hyperlink w:anchor="b_ref71">
        <w:r>
          <w:rPr>
            <w:rStyle w:val="Hyperlink"/>
          </w:rPr>
          <w:t xml:space="preserve">71</w:t>
        </w:r>
      </w:hyperlink>
      <w:r>
        <w:rPr>
          <w:rFonts w:hint="eastAsia"/>
        </w:rPr>
        <w:t xml:space="preserve">]。为兼顾局部信息保留与计算效率，MS-AgentNet</w:t>
      </w:r>
      <w:r>
        <w:t xml:space="preserve"> </w:t>
      </w:r>
      <w:r>
        <w:rPr>
          <w:rFonts w:hint="eastAsia"/>
        </w:rPr>
        <w:t xml:space="preserve">结合多尺度</w:t>
      </w:r>
      <w:r>
        <w:t xml:space="preserve"> DSConv </w:t>
      </w:r>
      <w:r>
        <w:rPr>
          <w:rFonts w:hint="eastAsia"/>
        </w:rPr>
        <w:t xml:space="preserve">与</w:t>
      </w:r>
      <w:r>
        <w:t xml:space="preserve"> </w:t>
      </w:r>
      <w:r>
        <w:rPr>
          <w:rFonts w:hint="eastAsia"/>
        </w:rPr>
        <w:t xml:space="preserve">RAA，分别完成局部特征提取和跨位置信息交互。为考察两类模块的单独作用及组合效果，消融实验设置</w:t>
      </w:r>
      <w:r>
        <w:t xml:space="preserve"> M1–M4 </w:t>
      </w:r>
      <w:r>
        <w:rPr>
          <w:rFonts w:hint="eastAsia"/>
        </w:rPr>
        <w:t xml:space="preserve">四种变体。其中，M1</w:t>
      </w:r>
      <w:r>
        <w:t xml:space="preserve"> </w:t>
      </w:r>
      <w:r>
        <w:rPr>
          <w:rFonts w:hint="eastAsia"/>
        </w:rPr>
        <w:t xml:space="preserve">仅保留基础骨干网络，M2</w:t>
      </w:r>
      <w:r>
        <w:t xml:space="preserve"> </w:t>
      </w:r>
      <w:r>
        <w:rPr>
          <w:rFonts w:hint="eastAsia"/>
        </w:rPr>
        <w:t xml:space="preserve">在</w:t>
      </w:r>
      <w:r>
        <w:t xml:space="preserve"> M1 </w:t>
      </w:r>
      <w:r>
        <w:rPr>
          <w:rFonts w:hint="eastAsia"/>
        </w:rPr>
        <w:t xml:space="preserve">基础上加入多尺度</w:t>
      </w:r>
      <w:r>
        <w:t xml:space="preserve"> </w:t>
      </w:r>
      <w:r>
        <w:rPr>
          <w:rFonts w:hint="eastAsia"/>
        </w:rPr>
        <w:t xml:space="preserve">DSConv，M3</w:t>
      </w:r>
      <w:r>
        <w:t xml:space="preserve"> </w:t>
      </w:r>
      <w:r>
        <w:rPr>
          <w:rFonts w:hint="eastAsia"/>
        </w:rPr>
        <w:t xml:space="preserve">在</w:t>
      </w:r>
      <w:r>
        <w:t xml:space="preserve"> M1 </w:t>
      </w:r>
      <w:r>
        <w:rPr>
          <w:rFonts w:hint="eastAsia"/>
        </w:rPr>
        <w:t xml:space="preserve">基础上加入</w:t>
      </w:r>
      <w:r>
        <w:t xml:space="preserve"> </w:t>
      </w:r>
      <w:r>
        <w:rPr>
          <w:rFonts w:hint="eastAsia"/>
        </w:rPr>
        <w:t xml:space="preserve">RAA，M4</w:t>
      </w:r>
      <w:r>
        <w:t xml:space="preserve"> </w:t>
      </w:r>
      <w:r>
        <w:rPr>
          <w:rFonts w:hint="eastAsia"/>
        </w:rPr>
        <w:t xml:space="preserve">则同时集成多尺度</w:t>
      </w:r>
      <w:r>
        <w:t xml:space="preserve"> DSConv </w:t>
      </w:r>
      <w:r>
        <w:rPr>
          <w:rFonts w:hint="eastAsia"/>
        </w:rPr>
        <w:t xml:space="preserve">与</w:t>
      </w:r>
      <w:r>
        <w:t xml:space="preserve"> RAA。</w:t>
      </w:r>
    </w:p>
    <w:p>
      <w:pPr>
        <w:pStyle w:val="BodyText"/>
      </w:pPr>
      <w:r>
        <w:rPr>
          <w:rFonts w:hint="eastAsia"/>
        </w:rPr>
        <w:t xml:space="preserve">如</w:t>
      </w:r>
      <w:hyperlink w:anchor="b_tab_4_10">
        <w:r>
          <w:rPr>
            <w:rStyle w:val="Hyperlink"/>
          </w:rPr>
          <w:t xml:space="preserve">Table 16</w:t>
        </w:r>
      </w:hyperlink>
      <w:r>
        <w:rPr>
          <w:rFonts w:hint="eastAsia"/>
        </w:rPr>
        <w:t xml:space="preserve">所示，与基础模型</w:t>
      </w:r>
      <w:r>
        <w:t xml:space="preserve"> M1 </w:t>
      </w:r>
      <w:r>
        <w:rPr>
          <w:rFonts w:hint="eastAsia"/>
        </w:rPr>
        <w:t xml:space="preserve">相比，加入多尺度</w:t>
      </w:r>
      <w:r>
        <w:t xml:space="preserve"> DSConv </w:t>
      </w:r>
      <w:r>
        <w:rPr>
          <w:rFonts w:hint="eastAsia"/>
        </w:rPr>
        <w:t xml:space="preserve">后，M2</w:t>
      </w:r>
      <w:r>
        <w:t xml:space="preserve"> </w:t>
      </w:r>
      <w:r>
        <w:rPr>
          <w:rFonts w:hint="eastAsia"/>
        </w:rPr>
        <w:t xml:space="preserve">在</w:t>
      </w:r>
      <w:r>
        <w:t xml:space="preserve"> CX2 </w:t>
      </w:r>
      <w:r>
        <w:rPr>
          <w:rFonts w:hint="eastAsia"/>
        </w:rPr>
        <w:t xml:space="preserve">和</w:t>
      </w:r>
      <w:r>
        <w:t xml:space="preserve"> Oxford </w:t>
      </w:r>
      <w:r>
        <w:rPr>
          <w:rFonts w:hint="eastAsia"/>
        </w:rPr>
        <w:t xml:space="preserve">数据集上的综合平均误差分别降低约</w:t>
      </w:r>
      <w:r>
        <w:t xml:space="preserve"> 1.20% </w:t>
      </w:r>
      <w:r>
        <w:rPr>
          <w:rFonts w:hint="eastAsia"/>
        </w:rPr>
        <w:t xml:space="preserve">和</w:t>
      </w:r>
      <w:r>
        <w:t xml:space="preserve"> </w:t>
      </w:r>
      <w:r>
        <w:rPr>
          <w:rFonts w:hint="eastAsia"/>
        </w:rPr>
        <w:t xml:space="preserve">8.45%；加入</w:t>
      </w:r>
      <w:r>
        <w:t xml:space="preserve"> RAA </w:t>
      </w:r>
      <w:r>
        <w:rPr>
          <w:rFonts w:hint="eastAsia"/>
        </w:rPr>
        <w:t xml:space="preserve">后，M3</w:t>
      </w:r>
      <w:r>
        <w:t xml:space="preserve"> </w:t>
      </w:r>
      <w:r>
        <w:rPr>
          <w:rFonts w:hint="eastAsia"/>
        </w:rPr>
        <w:t xml:space="preserve">在</w:t>
      </w:r>
      <w:r>
        <w:t xml:space="preserve"> CS2、CX2 </w:t>
      </w:r>
      <w:r>
        <w:rPr>
          <w:rFonts w:hint="eastAsia"/>
        </w:rPr>
        <w:t xml:space="preserve">和</w:t>
      </w:r>
      <w:r>
        <w:t xml:space="preserve"> Oxford </w:t>
      </w:r>
      <w:r>
        <w:rPr>
          <w:rFonts w:hint="eastAsia"/>
        </w:rPr>
        <w:t xml:space="preserve">数据集上的综合平均误差分别降低约</w:t>
      </w:r>
      <w:r>
        <w:t xml:space="preserve"> 3.18%、11.60% </w:t>
      </w:r>
      <w:r>
        <w:rPr>
          <w:rFonts w:hint="eastAsia"/>
        </w:rPr>
        <w:t xml:space="preserve">和</w:t>
      </w:r>
      <w:r>
        <w:t xml:space="preserve"> </w:t>
      </w:r>
      <w:r>
        <w:rPr>
          <w:rFonts w:hint="eastAsia"/>
        </w:rPr>
        <w:t xml:space="preserve">15.49%。两种模块单独使用时均改善了部分数据集上的估计结果，但未在四个数据集上同时取得更低误差。</w:t>
      </w:r>
    </w:p>
    <w:p>
      <w:pPr>
        <w:pStyle w:val="BodyText"/>
      </w:pPr>
      <w:r>
        <w:rPr>
          <w:rFonts w:hint="eastAsia"/>
        </w:rPr>
        <w:t xml:space="preserve">当多尺度</w:t>
      </w:r>
      <w:r>
        <w:t xml:space="preserve"> DSConv </w:t>
      </w:r>
      <w:r>
        <w:rPr>
          <w:rFonts w:hint="eastAsia"/>
        </w:rPr>
        <w:t xml:space="preserve">与</w:t>
      </w:r>
      <w:r>
        <w:t xml:space="preserve"> RAA </w:t>
      </w:r>
      <w:r>
        <w:rPr>
          <w:rFonts w:hint="eastAsia"/>
        </w:rPr>
        <w:t xml:space="preserve">共同集成后，完整模型</w:t>
      </w:r>
      <w:r>
        <w:t xml:space="preserve"> M4 </w:t>
      </w:r>
      <w:r>
        <w:rPr>
          <w:rFonts w:hint="eastAsia"/>
        </w:rPr>
        <w:t xml:space="preserve">在四个数据集上均取得最低或并列最低的综合平均误差。以</w:t>
      </w:r>
      <w:r>
        <w:t xml:space="preserve"> CX2 </w:t>
      </w:r>
      <w:r>
        <w:rPr>
          <w:rFonts w:hint="eastAsia"/>
        </w:rPr>
        <w:t xml:space="preserve">和</w:t>
      </w:r>
      <w:r>
        <w:t xml:space="preserve"> Oxford </w:t>
      </w:r>
      <w:r>
        <w:rPr>
          <w:rFonts w:hint="eastAsia"/>
        </w:rPr>
        <w:t xml:space="preserve">数据集为例，其综合平均误差分别由</w:t>
      </w:r>
      <w:r>
        <w:t xml:space="preserve"> M1 </w:t>
      </w:r>
      <w:r>
        <w:rPr>
          <w:rFonts w:hint="eastAsia"/>
        </w:rPr>
        <w:t xml:space="preserve">的</w:t>
      </w:r>
      <w:r>
        <w:t xml:space="preserve"> 0.0500 </w:t>
      </w:r>
      <w:r>
        <w:rPr>
          <w:rFonts w:hint="eastAsia"/>
        </w:rPr>
        <w:t xml:space="preserve">和</w:t>
      </w:r>
      <w:r>
        <w:t xml:space="preserve"> 0.0071 </w:t>
      </w:r>
      <w:r>
        <w:rPr>
          <w:rFonts w:hint="eastAsia"/>
        </w:rPr>
        <w:t xml:space="preserve">降低至</w:t>
      </w:r>
      <w:r>
        <w:t xml:space="preserve"> 0.0225 </w:t>
      </w:r>
      <w:r>
        <w:rPr>
          <w:rFonts w:hint="eastAsia"/>
        </w:rPr>
        <w:t xml:space="preserve">和</w:t>
      </w:r>
      <w:r>
        <w:t xml:space="preserve"> </w:t>
      </w:r>
      <w:r>
        <w:rPr>
          <w:rFonts w:hint="eastAsia"/>
        </w:rPr>
        <w:t xml:space="preserve">0.0059，相对降低</w:t>
      </w:r>
      <w:r>
        <w:t xml:space="preserve"> 54.94% </w:t>
      </w:r>
      <w:r>
        <w:rPr>
          <w:rFonts w:hint="eastAsia"/>
        </w:rPr>
        <w:t xml:space="preserve">和</w:t>
      </w:r>
      <w:r>
        <w:t xml:space="preserve"> </w:t>
      </w:r>
      <w:r>
        <w:rPr>
          <w:rFonts w:hint="eastAsia"/>
        </w:rPr>
        <w:t xml:space="preserve">16.52%。在</w:t>
      </w:r>
      <w:r>
        <w:t xml:space="preserve"> CS2 </w:t>
      </w:r>
      <w:r>
        <w:rPr>
          <w:rFonts w:hint="eastAsia"/>
        </w:rPr>
        <w:t xml:space="preserve">数据集上，M3</w:t>
      </w:r>
      <w:r>
        <w:t xml:space="preserve"> </w:t>
      </w:r>
      <w:r>
        <w:rPr>
          <w:rFonts w:hint="eastAsia"/>
        </w:rPr>
        <w:t xml:space="preserve">的</w:t>
      </w:r>
      <w:r>
        <w:t xml:space="preserve"> MAE </w:t>
      </w:r>
      <w:r>
        <w:rPr>
          <w:rFonts w:hint="eastAsia"/>
        </w:rPr>
        <w:t xml:space="preserve">略低于</w:t>
      </w:r>
      <w:r>
        <w:t xml:space="preserve"> </w:t>
      </w:r>
      <w:r>
        <w:rPr>
          <w:rFonts w:hint="eastAsia"/>
        </w:rPr>
        <w:t xml:space="preserve">M4，而</w:t>
      </w:r>
      <w:r>
        <w:t xml:space="preserve"> M4 </w:t>
      </w:r>
      <w:r>
        <w:rPr>
          <w:rFonts w:hint="eastAsia"/>
        </w:rPr>
        <w:t xml:space="preserve">在</w:t>
      </w:r>
      <w:r>
        <w:t xml:space="preserve"> RMSE、MAPE </w:t>
      </w:r>
      <w:r>
        <w:rPr>
          <w:rFonts w:hint="eastAsia"/>
        </w:rPr>
        <w:t xml:space="preserve">和综合平均误差上表现更优。总体结果表明，完整模型获得了比单模块变体更稳定的综合表现，体现了多尺度局部特征提取与跨位置信息交互的互补作用。</w:t>
      </w:r>
    </w:p>
    <w:p>
      <w:pPr>
        <w:pStyle w:val="BodyText"/>
      </w:pPr>
      <w:r>
        <w:rPr>
          <w:rFonts w:hint="eastAsia"/>
        </w:rPr>
        <w:t xml:space="preserve">为进一步区分多尺度</w:t>
      </w:r>
      <w:r>
        <w:t xml:space="preserve"> DSConv </w:t>
      </w:r>
      <w:r>
        <w:rPr>
          <w:rFonts w:hint="eastAsia"/>
        </w:rPr>
        <w:t xml:space="preserve">中两个卷积尺度的作用，固定</w:t>
      </w:r>
      <w:r>
        <w:t xml:space="preserve"> RAA </w:t>
      </w:r>
      <w:r>
        <w:rPr>
          <w:rFonts w:hint="eastAsia"/>
        </w:rPr>
        <w:t xml:space="preserve">模块并仅调整卷积尺度，设置</w:t>
      </w:r>
      <w:r>
        <w:t xml:space="preserve"> </w:t>
      </w:r>
      <w:r>
        <w:rPr>
          <w:rFonts w:hint="eastAsia"/>
        </w:rPr>
        <w:t xml:space="preserve">S0（仅保留</w:t>
      </w:r>
      <w:r>
        <w:t xml:space="preserve"> </w:t>
      </w:r>
      <w:r>
        <w:rPr>
          <w:rFonts w:hint="eastAsia"/>
        </w:rPr>
        <w:t xml:space="preserve">RAA）、S5（RAA</w:t>
      </w:r>
      <w:r>
        <w:t xml:space="preserve"> </w:t>
      </w:r>
      <w:r>
        <w:rPr>
          <w:rFonts w:hint="eastAsia"/>
        </w:rPr>
        <w:t xml:space="preserve">与核长度为</w:t>
      </w:r>
      <w:r>
        <w:t xml:space="preserve"> 5 </w:t>
      </w:r>
      <w:r>
        <w:rPr>
          <w:rFonts w:hint="eastAsia"/>
        </w:rPr>
        <w:t xml:space="preserve">的</w:t>
      </w:r>
      <w:r>
        <w:t xml:space="preserve"> </w:t>
      </w:r>
      <w:r>
        <w:rPr>
          <w:rFonts w:hint="eastAsia"/>
        </w:rPr>
        <w:t xml:space="preserve">DSConv-S）、S31（RAA</w:t>
      </w:r>
      <w:r>
        <w:t xml:space="preserve"> </w:t>
      </w:r>
      <w:r>
        <w:rPr>
          <w:rFonts w:hint="eastAsia"/>
        </w:rPr>
        <w:t xml:space="preserve">与核长度为</w:t>
      </w:r>
      <w:r>
        <w:t xml:space="preserve"> 31 </w:t>
      </w:r>
      <w:r>
        <w:rPr>
          <w:rFonts w:hint="eastAsia"/>
        </w:rPr>
        <w:t xml:space="preserve">的</w:t>
      </w:r>
      <w:r>
        <w:t xml:space="preserve"> </w:t>
      </w:r>
      <w:r>
        <w:rPr>
          <w:rFonts w:hint="eastAsia"/>
        </w:rPr>
        <w:t xml:space="preserve">DSConv-L）和</w:t>
      </w:r>
      <w:r>
        <w:t xml:space="preserve"> </w:t>
      </w:r>
      <w:r>
        <w:rPr>
          <w:rFonts w:hint="eastAsia"/>
        </w:rPr>
        <w:t xml:space="preserve">SFull（RAA、DSConv-S</w:t>
      </w:r>
      <w:r>
        <w:t xml:space="preserve"> </w:t>
      </w:r>
      <w:r>
        <w:rPr>
          <w:rFonts w:hint="eastAsia"/>
        </w:rPr>
        <w:t xml:space="preserve">与</w:t>
      </w:r>
      <w:r>
        <w:t xml:space="preserve"> </w:t>
      </w:r>
      <w:r>
        <w:rPr>
          <w:rFonts w:hint="eastAsia"/>
        </w:rPr>
        <w:t xml:space="preserve">DSConv-L）四种尺度变体。其中，S0</w:t>
      </w:r>
      <w:r>
        <w:t xml:space="preserve"> </w:t>
      </w:r>
      <w:r>
        <w:rPr>
          <w:rFonts w:hint="eastAsia"/>
        </w:rPr>
        <w:t xml:space="preserve">和</w:t>
      </w:r>
      <w:r>
        <w:t xml:space="preserve"> SFull </w:t>
      </w:r>
      <w:r>
        <w:rPr>
          <w:rFonts w:hint="eastAsia"/>
        </w:rPr>
        <w:t xml:space="preserve">分别与</w:t>
      </w:r>
      <w:hyperlink w:anchor="b_tab_4_10">
        <w:r>
          <w:rPr>
            <w:rStyle w:val="Hyperlink"/>
          </w:rPr>
          <w:t xml:space="preserve">Table 16</w:t>
        </w:r>
      </w:hyperlink>
      <w:r>
        <w:rPr>
          <w:rFonts w:hint="eastAsia"/>
        </w:rPr>
        <w:t xml:space="preserve">中的</w:t>
      </w:r>
      <w:r>
        <w:t xml:space="preserve"> M3 </w:t>
      </w:r>
      <w:r>
        <w:rPr>
          <w:rFonts w:hint="eastAsia"/>
        </w:rPr>
        <w:t xml:space="preserve">和</w:t>
      </w:r>
      <w:r>
        <w:t xml:space="preserve"> M4 </w:t>
      </w:r>
      <w:r>
        <w:rPr>
          <w:rFonts w:hint="eastAsia"/>
        </w:rPr>
        <w:t xml:space="preserve">对应。</w:t>
      </w:r>
    </w:p>
    <w:p>
      <w:pPr>
        <w:pStyle w:val="BodyText"/>
      </w:pPr>
      <w:hyperlink w:anchor="b_tab_4_11">
        <w:r>
          <w:rPr>
            <w:rStyle w:val="Hyperlink"/>
          </w:rPr>
          <w:t xml:space="preserve">Table 17</w:t>
        </w:r>
      </w:hyperlink>
      <w:r>
        <w:rPr>
          <w:rFonts w:hint="eastAsia"/>
        </w:rPr>
        <w:t xml:space="preserve">的结果显示，单一卷积尺度的收益随数据集而变化。在具有阶段性转折和非线性衰减尾部的</w:t>
      </w:r>
      <w:r>
        <w:t xml:space="preserve"> CX2 </w:t>
      </w:r>
      <w:r>
        <w:rPr>
          <w:rFonts w:hint="eastAsia"/>
        </w:rPr>
        <w:t xml:space="preserve">数据集上，S31</w:t>
      </w:r>
      <w:r>
        <w:t xml:space="preserve"> </w:t>
      </w:r>
      <w:r>
        <w:rPr>
          <w:rFonts w:hint="eastAsia"/>
        </w:rPr>
        <w:t xml:space="preserve">将综合平均误差由</w:t>
      </w:r>
      <w:r>
        <w:t xml:space="preserve"> S0 </w:t>
      </w:r>
      <w:r>
        <w:rPr>
          <w:rFonts w:hint="eastAsia"/>
        </w:rPr>
        <w:t xml:space="preserve">的</w:t>
      </w:r>
      <w:r>
        <w:t xml:space="preserve"> 0.0442 </w:t>
      </w:r>
      <w:r>
        <w:rPr>
          <w:rFonts w:hint="eastAsia"/>
        </w:rPr>
        <w:t xml:space="preserve">降至</w:t>
      </w:r>
      <w:r>
        <w:t xml:space="preserve"> </w:t>
      </w:r>
      <w:r>
        <w:rPr>
          <w:rFonts w:hint="eastAsia"/>
        </w:rPr>
        <w:t xml:space="preserve">0.0348，相对降低</w:t>
      </w:r>
      <w:r>
        <w:t xml:space="preserve"> </w:t>
      </w:r>
      <w:r>
        <w:rPr>
          <w:rFonts w:hint="eastAsia"/>
        </w:rPr>
        <w:t xml:space="preserve">21.27%，这一结果与</w:t>
      </w:r>
      <w:r>
        <w:t xml:space="preserve"> DSConv-L </w:t>
      </w:r>
      <w:r>
        <w:rPr>
          <w:rFonts w:hint="eastAsia"/>
        </w:rPr>
        <w:t xml:space="preserve">进行长尺度特征细化的设计目标一致。在</w:t>
      </w:r>
      <w:r>
        <w:t xml:space="preserve"> MIT </w:t>
      </w:r>
      <w:r>
        <w:rPr>
          <w:rFonts w:hint="eastAsia"/>
        </w:rPr>
        <w:t xml:space="preserve">数据集上，S5</w:t>
      </w:r>
      <w:r>
        <w:t xml:space="preserve"> </w:t>
      </w:r>
      <w:r>
        <w:rPr>
          <w:rFonts w:hint="eastAsia"/>
        </w:rPr>
        <w:t xml:space="preserve">相对</w:t>
      </w:r>
      <w:r>
        <w:t xml:space="preserve"> S0 </w:t>
      </w:r>
      <w:r>
        <w:rPr>
          <w:rFonts w:hint="eastAsia"/>
        </w:rPr>
        <w:t xml:space="preserve">降低约</w:t>
      </w:r>
      <w:r>
        <w:t xml:space="preserve"> </w:t>
      </w:r>
      <w:r>
        <w:rPr>
          <w:rFonts w:hint="eastAsia"/>
        </w:rPr>
        <w:t xml:space="preserve">3.85%；在</w:t>
      </w:r>
      <w:r>
        <w:t xml:space="preserve"> CS2 </w:t>
      </w:r>
      <w:r>
        <w:rPr>
          <w:rFonts w:hint="eastAsia"/>
        </w:rPr>
        <w:t xml:space="preserve">和</w:t>
      </w:r>
      <w:r>
        <w:t xml:space="preserve"> Oxford </w:t>
      </w:r>
      <w:r>
        <w:rPr>
          <w:rFonts w:hint="eastAsia"/>
        </w:rPr>
        <w:t xml:space="preserve">数据集上，S0</w:t>
      </w:r>
      <w:r>
        <w:t xml:space="preserve"> </w:t>
      </w:r>
      <w:r>
        <w:rPr>
          <w:rFonts w:hint="eastAsia"/>
        </w:rPr>
        <w:t xml:space="preserve">的综合平均误差仍低于两个单尺度变体。当两个卷积尺度共同使用时，SFull</w:t>
      </w:r>
      <w:r>
        <w:t xml:space="preserve"> </w:t>
      </w:r>
      <w:r>
        <w:rPr>
          <w:rFonts w:hint="eastAsia"/>
        </w:rPr>
        <w:t xml:space="preserve">在四个数据集上均取得最低的综合平均误差。与最佳单尺度变体相比，SFull</w:t>
      </w:r>
      <w:r>
        <w:t xml:space="preserve"> </w:t>
      </w:r>
      <w:r>
        <w:rPr>
          <w:rFonts w:hint="eastAsia"/>
        </w:rPr>
        <w:t xml:space="preserve">在</w:t>
      </w:r>
      <w:r>
        <w:t xml:space="preserve"> CX2 </w:t>
      </w:r>
      <w:r>
        <w:rPr>
          <w:rFonts w:hint="eastAsia"/>
        </w:rPr>
        <w:t xml:space="preserve">和</w:t>
      </w:r>
      <w:r>
        <w:t xml:space="preserve"> MIT </w:t>
      </w:r>
      <w:r>
        <w:rPr>
          <w:rFonts w:hint="eastAsia"/>
        </w:rPr>
        <w:t xml:space="preserve">数据集上的误差分别降低</w:t>
      </w:r>
      <w:r>
        <w:t xml:space="preserve"> 35.34% </w:t>
      </w:r>
      <w:r>
        <w:rPr>
          <w:rFonts w:hint="eastAsia"/>
        </w:rPr>
        <w:t xml:space="preserve">和</w:t>
      </w:r>
      <w:r>
        <w:t xml:space="preserve"> </w:t>
      </w:r>
      <w:r>
        <w:rPr>
          <w:rFonts w:hint="eastAsia"/>
        </w:rPr>
        <w:t xml:space="preserve">20.00%。因此，同时保留短核与长核能够取得比单一尺度更一致的综合结果，支持多尺度</w:t>
      </w:r>
      <w:r>
        <w:t xml:space="preserve"> DSConv </w:t>
      </w:r>
      <w:r>
        <w:rPr>
          <w:rFonts w:hint="eastAsia"/>
        </w:rPr>
        <w:t xml:space="preserve">的结构设计。</w:t>
      </w:r>
    </w:p>
    <w:p>
      <w:pPr>
        <w:pStyle w:val="BodyText"/>
        <w:keepLines/>
        <w:spacing w:before="100" w:after="80"/>
        <w:ind w:firstLine="0"/>
        <w:jc w:val="center"/>
      </w:pPr>
      <w:bookmarkStart w:id="1088" w:name="b_tab_4_10"/>
      <w:r>
        <w:drawing>
          <wp:inline>
            <wp:extent cx="6084000" cy="4017577"/>
            <wp:docPr id="25" name="Picture 25"/>
            <wp:cNvGraphicFramePr>
              <a:graphicFrameLocks noChangeAspect="1"/>
            </wp:cNvGraphicFramePr>
            <a:graphic>
              <a:graphicData uri="http://schemas.openxmlformats.org/drawingml/2006/picture">
                <pic:pic>
                  <pic:nvPicPr>
                    <pic:cNvPr id="0" name="table_16.png"/>
                    <pic:cNvPicPr/>
                  </pic:nvPicPr>
                  <pic:blipFill>
                    <a:blip r:embed="rId33"/>
                    <a:stretch>
                      <a:fillRect/>
                    </a:stretch>
                  </pic:blipFill>
                  <pic:spPr>
                    <a:xfrm>
                      <a:off x="0" y="0"/>
                      <a:ext cx="6084000" cy="4017577"/>
                    </a:xfrm>
                    <a:prstGeom prst="rect"/>
                  </pic:spPr>
                </pic:pic>
              </a:graphicData>
            </a:graphic>
          </wp:inline>
        </w:drawing>
      </w:r>
      <w:bookmarkEnd w:id="1088"/>
    </w:p>
    <w:p>
      <w:pPr>
        <w:pStyle w:val="BodyText"/>
        <w:keepLines/>
        <w:spacing w:before="100" w:after="80"/>
        <w:ind w:firstLine="0"/>
        <w:jc w:val="center"/>
      </w:pPr>
      <w:bookmarkStart w:id="1089" w:name="b_tab_4_11"/>
      <w:r>
        <w:drawing>
          <wp:inline>
            <wp:extent cx="6084000" cy="3387810"/>
            <wp:docPr id="26" name="Picture 26"/>
            <wp:cNvGraphicFramePr>
              <a:graphicFrameLocks noChangeAspect="1"/>
            </wp:cNvGraphicFramePr>
            <a:graphic>
              <a:graphicData uri="http://schemas.openxmlformats.org/drawingml/2006/picture">
                <pic:pic>
                  <pic:nvPicPr>
                    <pic:cNvPr id="0" name="table_17.png"/>
                    <pic:cNvPicPr/>
                  </pic:nvPicPr>
                  <pic:blipFill>
                    <a:blip r:embed="rId34"/>
                    <a:stretch>
                      <a:fillRect/>
                    </a:stretch>
                  </pic:blipFill>
                  <pic:spPr>
                    <a:xfrm>
                      <a:off x="0" y="0"/>
                      <a:ext cx="6084000" cy="3387810"/>
                    </a:xfrm>
                    <a:prstGeom prst="rect"/>
                  </pic:spPr>
                </pic:pic>
              </a:graphicData>
            </a:graphic>
          </wp:inline>
        </w:drawing>
      </w:r>
      <w:bookmarkEnd w:id="1089"/>
    </w:p>
    <w:bookmarkEnd w:id="44"/>
    <w:bookmarkStart w:id="45" w:name="模型复杂度分析"/>
    <w:p>
      <w:pPr>
        <w:pStyle w:val="Heading3"/>
      </w:pPr>
      <w:r>
        <w:rPr>
          <w:rStyle w:val="SectionNumber"/>
        </w:rPr>
        <w:t xml:space="preserve">4.6.2</w:t>
      </w:r>
      <w:r>
        <w:tab/>
      </w:r>
      <w:r>
        <w:rPr>
          <w:rFonts w:hint="eastAsia"/>
        </w:rPr>
        <w:t xml:space="preserve">模型复杂度分析</w:t>
      </w:r>
    </w:p>
    <w:p>
      <w:pPr>
        <w:pStyle w:val="FirstParagraph"/>
      </w:pPr>
      <w:r>
        <w:rPr>
          <w:rFonts w:hint="eastAsia"/>
        </w:rPr>
        <w:t xml:space="preserve">预测精度用于衡量</w:t>
      </w:r>
      <w:r>
        <w:t xml:space="preserve"> SOH </w:t>
      </w:r>
      <w:r>
        <w:rPr>
          <w:rFonts w:hint="eastAsia"/>
        </w:rPr>
        <w:t xml:space="preserve">估计结果的可靠性，计算与存储开销则反映模型运行所需的资源条件[</w:t>
      </w:r>
      <w:hyperlink w:anchor="b_ref77">
        <w:r>
          <w:rPr>
            <w:rStyle w:val="Hyperlink"/>
          </w:rPr>
          <w:t xml:space="preserve">77</w:t>
        </w:r>
      </w:hyperlink>
      <w:r>
        <w:rPr>
          <w:rFonts w:hint="eastAsia"/>
        </w:rPr>
        <w:t xml:space="preserve">]。本文选取</w:t>
      </w:r>
      <w:r>
        <w:t xml:space="preserve"> MS-AgentNet、CNN-Transformer、CNN-LSTM、Transformer </w:t>
      </w:r>
      <w:r>
        <w:rPr>
          <w:rFonts w:hint="eastAsia"/>
        </w:rPr>
        <w:t xml:space="preserve">和</w:t>
      </w:r>
      <w:r>
        <w:t xml:space="preserve"> LSTM </w:t>
      </w:r>
      <w:r>
        <w:rPr>
          <w:rFonts w:hint="eastAsia"/>
        </w:rPr>
        <w:t xml:space="preserve">五类模型，从</w:t>
      </w:r>
      <w:r>
        <w:t xml:space="preserve"> </w:t>
      </w:r>
      <w:r>
        <w:rPr>
          <w:rFonts w:hint="eastAsia"/>
        </w:rPr>
        <w:t xml:space="preserve">FLOPs、训练时间、可训练参数量和权重存储占用四个方面比较模型的资源开销。其中，FLOPs</w:t>
      </w:r>
      <w:r>
        <w:t xml:space="preserve"> </w:t>
      </w:r>
      <w:r>
        <w:rPr>
          <w:rFonts w:hint="eastAsia"/>
        </w:rPr>
        <w:t xml:space="preserve">通过</w:t>
      </w:r>
      <w:r>
        <w:t xml:space="preserve"> THOP </w:t>
      </w:r>
      <w:r>
        <w:rPr>
          <w:rFonts w:hint="eastAsia"/>
        </w:rPr>
        <w:t xml:space="preserve">库的</w:t>
      </w:r>
      <w:r>
        <w:t xml:space="preserve"> </w:t>
      </w:r>
      <w:r>
        <w:rPr>
          <w:rStyle w:val="VerbatimChar"/>
        </w:rPr>
        <w:t xml:space="preserve">profile</w:t>
      </w:r>
      <w:r>
        <w:t xml:space="preserve"> </w:t>
      </w:r>
      <w:r>
        <w:rPr>
          <w:rFonts w:hint="eastAsia"/>
        </w:rPr>
        <w:t xml:space="preserve">函数统计，用于量化单次前向传播的计算量；训练时间采用</w:t>
      </w:r>
      <w:r>
        <w:t xml:space="preserve"> Python </w:t>
      </w:r>
      <w:r>
        <w:rPr>
          <w:rFonts w:hint="eastAsia"/>
        </w:rPr>
        <w:t xml:space="preserve">的</w:t>
      </w:r>
      <w:r>
        <w:t xml:space="preserve"> </w:t>
      </w:r>
      <w:r>
        <w:rPr>
          <w:rStyle w:val="VerbatimChar"/>
        </w:rPr>
        <w:t xml:space="preserve">time</w:t>
      </w:r>
      <w:r>
        <w:t xml:space="preserve"> </w:t>
      </w:r>
      <w:r>
        <w:rPr>
          <w:rFonts w:hint="eastAsia"/>
        </w:rPr>
        <w:t xml:space="preserve">模块记录；参数量和权重文件大小分别通过</w:t>
      </w:r>
      <w:r>
        <w:t xml:space="preserve"> </w:t>
      </w:r>
      <w:r>
        <w:rPr>
          <w:rStyle w:val="VerbatimChar"/>
        </w:rPr>
        <w:t xml:space="preserve">torchsummary</w:t>
      </w:r>
      <w:r>
        <w:t xml:space="preserve"> </w:t>
      </w:r>
      <w:r>
        <w:rPr>
          <w:rFonts w:hint="eastAsia"/>
        </w:rPr>
        <w:t xml:space="preserve">库的</w:t>
      </w:r>
      <w:r>
        <w:t xml:space="preserve"> </w:t>
      </w:r>
      <w:r>
        <w:rPr>
          <w:rStyle w:val="VerbatimChar"/>
        </w:rPr>
        <w:t xml:space="preserve">summary</w:t>
      </w:r>
      <w:r>
        <w:t xml:space="preserve"> </w:t>
      </w:r>
      <w:r>
        <w:rPr>
          <w:rFonts w:hint="eastAsia"/>
        </w:rPr>
        <w:t xml:space="preserve">函数和</w:t>
      </w:r>
      <w:r>
        <w:t xml:space="preserve"> </w:t>
      </w:r>
      <w:r>
        <w:rPr>
          <w:rStyle w:val="VerbatimChar"/>
        </w:rPr>
        <w:t xml:space="preserve">os.path.getsize</w:t>
      </w:r>
      <w:r>
        <w:t xml:space="preserve"> </w:t>
      </w:r>
      <w:r>
        <w:rPr>
          <w:rFonts w:hint="eastAsia"/>
        </w:rPr>
        <w:t xml:space="preserve">函数获得。所有指标均在相同实验环境下测量。</w:t>
      </w:r>
    </w:p>
    <w:p>
      <w:pPr>
        <w:pStyle w:val="BodyText"/>
      </w:pPr>
      <w:r>
        <w:rPr>
          <w:rFonts w:hint="eastAsia"/>
        </w:rPr>
        <w:t xml:space="preserve">复杂度比较采用相同的输入数据和训练设置。训练轮次、学习率、批次大小和丢弃率分别设置为</w:t>
      </w:r>
      <w:r>
        <w:t xml:space="preserve"> 1000、0.01、128 </w:t>
      </w:r>
      <w:r>
        <w:rPr>
          <w:rFonts w:hint="eastAsia"/>
        </w:rPr>
        <w:t xml:space="preserve">和</w:t>
      </w:r>
      <w:r>
        <w:t xml:space="preserve"> </w:t>
      </w:r>
      <w:r>
        <w:rPr>
          <w:rFonts w:hint="eastAsia"/>
        </w:rPr>
        <w:t xml:space="preserve">0.1；五类模型均使用</w:t>
      </w:r>
      <w:r>
        <w:t xml:space="preserve"> CS2_36 </w:t>
      </w:r>
      <w:r>
        <w:rPr>
          <w:rFonts w:hint="eastAsia"/>
        </w:rPr>
        <w:t xml:space="preserve">中的</w:t>
      </w:r>
      <w:r>
        <w:t xml:space="preserve"> </w:t>
      </w:r>
      <w:r>
        <w:rPr>
          <w:rFonts w:hint="eastAsia"/>
        </w:rPr>
        <w:t xml:space="preserve">HI1（3.80–4.00</w:t>
      </w:r>
      <w:r>
        <w:t xml:space="preserve"> V </w:t>
      </w:r>
      <w:r>
        <w:rPr>
          <w:rFonts w:hint="eastAsia"/>
        </w:rPr>
        <w:t xml:space="preserve">CCCT）与</w:t>
      </w:r>
      <w:r>
        <w:t xml:space="preserve"> </w:t>
      </w:r>
      <w:r>
        <w:rPr>
          <w:rFonts w:hint="eastAsia"/>
        </w:rPr>
        <w:t xml:space="preserve">HI2（IC</w:t>
      </w:r>
      <w:r>
        <w:t xml:space="preserve"> </w:t>
      </w:r>
      <w:r>
        <w:rPr>
          <w:rFonts w:hint="eastAsia"/>
        </w:rPr>
        <w:t xml:space="preserve">峰值），输入序列长度为</w:t>
      </w:r>
      <w:r>
        <w:t xml:space="preserve"> </w:t>
      </w:r>
      <w:r>
        <w:rPr>
          <w:rFonts w:hint="eastAsia"/>
        </w:rPr>
        <w:t xml:space="preserve">5，单样本输入形状为</w:t>
      </w:r>
      <w:r>
        <w:t xml:space="preserve"> </w:t>
      </w:r>
      <m:oMath>
        <m:r>
          <w:rPr>
            <w:rFonts w:ascii="Cambria Math" w:hAnsi="Cambria Math"/>
            <w:sz w:val="22"/>
          </w:rPr>
          <m:rPr>
            <m:sty m:val="p"/>
          </m:rPr>
          <m:t>(</m:t>
        </m:r>
        <m:r>
          <w:rPr>
            <w:rFonts w:ascii="Cambria Math" w:hAnsi="Cambria Math"/>
            <w:sz w:val="22"/>
          </w:rPr>
          <m:t>1</m:t>
        </m:r>
        <m:r>
          <w:rPr>
            <w:rFonts w:ascii="Cambria Math" w:hAnsi="Cambria Math"/>
            <w:sz w:val="22"/>
          </w:rPr>
          <m:rPr>
            <m:sty m:val="p"/>
          </m:rPr>
          <m:t>,</m:t>
        </m:r>
        <m:r>
          <w:rPr>
            <w:rFonts w:ascii="Cambria Math" w:hAnsi="Cambria Math"/>
            <w:sz w:val="22"/>
          </w:rPr>
          <m:t>5</m:t>
        </m:r>
        <m:r>
          <w:rPr>
            <w:rFonts w:ascii="Cambria Math" w:hAnsi="Cambria Math"/>
            <w:sz w:val="22"/>
          </w:rPr>
          <m:rPr>
            <m:sty m:val="p"/>
          </m:rPr>
          <m:t>,</m:t>
        </m:r>
        <m:r>
          <w:rPr>
            <w:rFonts w:ascii="Cambria Math" w:hAnsi="Cambria Math"/>
            <w:sz w:val="22"/>
          </w:rPr>
          <m:t>2</m:t>
        </m:r>
        <m:r>
          <w:rPr>
            <w:rFonts w:ascii="Cambria Math" w:hAnsi="Cambria Math"/>
            <w:sz w:val="22"/>
          </w:rPr>
          <m:rPr>
            <m:sty m:val="p"/>
          </m:rPr>
          <m:t>)</m:t>
        </m:r>
      </m:oMath>
      <w:r>
        <w:rPr>
          <w:rFonts w:hint="eastAsia"/>
        </w:rPr>
        <w:t xml:space="preserve">。基于</w:t>
      </w:r>
      <w:r>
        <w:t xml:space="preserve"> Transformer </w:t>
      </w:r>
      <w:r>
        <w:rPr>
          <w:rFonts w:hint="eastAsia"/>
        </w:rPr>
        <w:t xml:space="preserve">的模型采用</w:t>
      </w:r>
      <w:r>
        <w:t xml:space="preserve"> 16 </w:t>
      </w:r>
      <w:r>
        <w:rPr>
          <w:rFonts w:hint="eastAsia"/>
        </w:rPr>
        <w:t xml:space="preserve">维嵌入、16</w:t>
      </w:r>
      <w:r>
        <w:t xml:space="preserve"> </w:t>
      </w:r>
      <w:r>
        <w:rPr>
          <w:rFonts w:hint="eastAsia"/>
        </w:rPr>
        <w:t xml:space="preserve">维前馈层、4</w:t>
      </w:r>
      <w:r>
        <w:t xml:space="preserve"> </w:t>
      </w:r>
      <w:r>
        <w:rPr>
          <w:rFonts w:hint="eastAsia"/>
        </w:rPr>
        <w:t xml:space="preserve">个注意力头和单层编码器，基于</w:t>
      </w:r>
      <w:r>
        <w:t xml:space="preserve"> LSTM </w:t>
      </w:r>
      <w:r>
        <w:rPr>
          <w:rFonts w:hint="eastAsia"/>
        </w:rPr>
        <w:t xml:space="preserve">的模型采用</w:t>
      </w:r>
      <w:r>
        <w:t xml:space="preserve"> 16 </w:t>
      </w:r>
      <w:r>
        <w:rPr>
          <w:rFonts w:hint="eastAsia"/>
        </w:rPr>
        <w:t xml:space="preserve">维隐藏状态和四层网络。CNN-Transformer</w:t>
      </w:r>
      <w:r>
        <w:t xml:space="preserve"> </w:t>
      </w:r>
      <w:r>
        <w:rPr>
          <w:rFonts w:hint="eastAsia"/>
        </w:rPr>
        <w:t xml:space="preserve">的卷积模块位于多头自注意力模块之后，由两个一维卷积层和一个最大池化层组成，其核大小依次为</w:t>
      </w:r>
      <w:r>
        <w:t xml:space="preserve"> 3、2 </w:t>
      </w:r>
      <w:r>
        <w:rPr>
          <w:rFonts w:hint="eastAsia"/>
        </w:rPr>
        <w:t xml:space="preserve">和</w:t>
      </w:r>
      <w:r>
        <w:t xml:space="preserve"> </w:t>
      </w:r>
      <w:r>
        <w:rPr>
          <w:rFonts w:hint="eastAsia"/>
        </w:rPr>
        <w:t xml:space="preserve">3，步长依次为</w:t>
      </w:r>
      <w:r>
        <w:t xml:space="preserve"> 1、2 </w:t>
      </w:r>
      <w:r>
        <w:rPr>
          <w:rFonts w:hint="eastAsia"/>
        </w:rPr>
        <w:t xml:space="preserve">和</w:t>
      </w:r>
      <w:r>
        <w:t xml:space="preserve"> </w:t>
      </w:r>
      <w:r>
        <w:rPr>
          <w:rFonts w:hint="eastAsia"/>
        </w:rPr>
        <w:t xml:space="preserve">1，并采用</w:t>
      </w:r>
      <w:r>
        <w:t xml:space="preserve"> ReLU </w:t>
      </w:r>
      <w:r>
        <w:rPr>
          <w:rFonts w:hint="eastAsia"/>
        </w:rPr>
        <w:t xml:space="preserve">激活函数[</w:t>
      </w:r>
      <w:hyperlink w:anchor="b_ref31">
        <w:r>
          <w:rPr>
            <w:rStyle w:val="Hyperlink"/>
          </w:rPr>
          <w:t xml:space="preserve">31</w:t>
        </w:r>
      </w:hyperlink>
      <w:r>
        <w:rPr>
          <w:rFonts w:hint="eastAsia"/>
        </w:rPr>
        <w:t xml:space="preserve">]；MS-AgentNet</w:t>
      </w:r>
      <w:r>
        <w:t xml:space="preserve"> </w:t>
      </w:r>
      <w:r>
        <w:rPr>
          <w:rFonts w:hint="eastAsia"/>
        </w:rPr>
        <w:t xml:space="preserve">采用本文提出的多尺度深度可分离卷积。各模型的复杂度结果见</w:t>
      </w:r>
      <w:hyperlink w:anchor="b_tab_4_12">
        <w:r>
          <w:rPr>
            <w:rStyle w:val="Hyperlink"/>
          </w:rPr>
          <w:t xml:space="preserve">Table 18</w:t>
        </w:r>
      </w:hyperlink>
      <w:r>
        <w:t xml:space="preserve">。</w:t>
      </w:r>
    </w:p>
    <w:p>
      <w:pPr>
        <w:pStyle w:val="BodyText"/>
      </w:pPr>
      <w:r>
        <w:rPr>
          <w:rFonts w:hint="eastAsia"/>
        </w:rPr>
        <w:t xml:space="preserve">如</w:t>
      </w:r>
      <w:hyperlink w:anchor="b_tab_4_12">
        <w:r>
          <w:rPr>
            <w:rStyle w:val="Hyperlink"/>
          </w:rPr>
          <w:t xml:space="preserve">Table 18</w:t>
        </w:r>
      </w:hyperlink>
      <w:r>
        <w:rPr>
          <w:rFonts w:hint="eastAsia"/>
        </w:rPr>
        <w:t xml:space="preserve">所示，MS-AgentNet</w:t>
      </w:r>
      <w:r>
        <w:t xml:space="preserve"> </w:t>
      </w:r>
      <w:r>
        <w:rPr>
          <w:rFonts w:hint="eastAsia"/>
        </w:rPr>
        <w:t xml:space="preserve">的</w:t>
      </w:r>
      <w:r>
        <w:t xml:space="preserve"> </w:t>
      </w:r>
      <w:r>
        <w:rPr>
          <w:rFonts w:hint="eastAsia"/>
        </w:rPr>
        <w:t xml:space="preserve">FLOPs、参数量和存储占用均为五种模型中的最低值，分别为</w:t>
      </w:r>
      <w:r>
        <w:t xml:space="preserve"> 0.045760 M、4,643 </w:t>
      </w:r>
      <w:r>
        <w:rPr>
          <w:rFonts w:hint="eastAsia"/>
        </w:rPr>
        <w:t xml:space="preserve">和</w:t>
      </w:r>
      <w:r>
        <w:t xml:space="preserve"> 26.18 </w:t>
      </w:r>
      <w:r>
        <w:rPr>
          <w:rFonts w:hint="eastAsia"/>
        </w:rPr>
        <w:t xml:space="preserve">KB。训练时间方面，LSTM</w:t>
      </w:r>
      <w:r>
        <w:t xml:space="preserve"> </w:t>
      </w:r>
      <w:r>
        <w:rPr>
          <w:rFonts w:hint="eastAsia"/>
        </w:rPr>
        <w:t xml:space="preserve">用时最短，为</w:t>
      </w:r>
      <w:r>
        <w:t xml:space="preserve"> 64.327 </w:t>
      </w:r>
      <w:r>
        <w:rPr>
          <w:rFonts w:hint="eastAsia"/>
        </w:rPr>
        <w:t xml:space="preserve">s；MS-AgentNet</w:t>
      </w:r>
      <w:r>
        <w:t xml:space="preserve"> </w:t>
      </w:r>
      <w:r>
        <w:rPr>
          <w:rFonts w:hint="eastAsia"/>
        </w:rPr>
        <w:t xml:space="preserve">用时</w:t>
      </w:r>
      <w:r>
        <w:t xml:space="preserve"> 122.979 </w:t>
      </w:r>
      <w:r>
        <w:rPr>
          <w:rFonts w:hint="eastAsia"/>
        </w:rPr>
        <w:t xml:space="preserve">s，与</w:t>
      </w:r>
      <w:r>
        <w:t xml:space="preserve"> CNN-Transformer </w:t>
      </w:r>
      <w:r>
        <w:rPr>
          <w:rFonts w:hint="eastAsia"/>
        </w:rPr>
        <w:t xml:space="preserve">的</w:t>
      </w:r>
      <w:r>
        <w:t xml:space="preserve"> 123.487 s </w:t>
      </w:r>
      <w:r>
        <w:rPr>
          <w:rFonts w:hint="eastAsia"/>
        </w:rPr>
        <w:t xml:space="preserve">接近。与</w:t>
      </w:r>
      <w:r>
        <w:t xml:space="preserve"> CNN-Transformer </w:t>
      </w:r>
      <w:r>
        <w:rPr>
          <w:rFonts w:hint="eastAsia"/>
        </w:rPr>
        <w:t xml:space="preserve">相比，MS-AgentNet</w:t>
      </w:r>
      <w:r>
        <w:t xml:space="preserve"> </w:t>
      </w:r>
      <w:r>
        <w:rPr>
          <w:rFonts w:hint="eastAsia"/>
        </w:rPr>
        <w:t xml:space="preserve">的</w:t>
      </w:r>
      <w:r>
        <w:t xml:space="preserve"> </w:t>
      </w:r>
      <w:r>
        <w:rPr>
          <w:rFonts w:hint="eastAsia"/>
        </w:rPr>
        <w:t xml:space="preserve">FLOPs、参数量和存储占用分别降低</w:t>
      </w:r>
      <w:r>
        <w:t xml:space="preserve"> 13.7%、25.6% </w:t>
      </w:r>
      <w:r>
        <w:rPr>
          <w:rFonts w:hint="eastAsia"/>
        </w:rPr>
        <w:t xml:space="preserve">和</w:t>
      </w:r>
      <w:r>
        <w:t xml:space="preserve"> </w:t>
      </w:r>
      <w:r>
        <w:rPr>
          <w:rFonts w:hint="eastAsia"/>
        </w:rPr>
        <w:t xml:space="preserve">25.1%。因此，MS-AgentNet</w:t>
      </w:r>
      <w:r>
        <w:t xml:space="preserve"> </w:t>
      </w:r>
      <w:r>
        <w:rPr>
          <w:rFonts w:hint="eastAsia"/>
        </w:rPr>
        <w:t xml:space="preserve">的轻量化优势主要体现在前向计算量、参数量和存储占用，而非训练速度。</w:t>
      </w:r>
    </w:p>
    <w:p>
      <w:pPr>
        <w:pStyle w:val="BodyText"/>
      </w:pPr>
      <w:r>
        <w:rPr>
          <w:rFonts w:hint="eastAsia"/>
        </w:rPr>
        <w:t xml:space="preserve">为考察模型宽度变化下的存储开销，将五种模型的表示维度或隐藏维度分别设置为</w:t>
      </w:r>
      <w:r>
        <w:t xml:space="preserve"> 16、32、64 </w:t>
      </w:r>
      <w:r>
        <w:rPr>
          <w:rFonts w:hint="eastAsia"/>
        </w:rPr>
        <w:t xml:space="preserve">和</w:t>
      </w:r>
      <w:r>
        <w:t xml:space="preserve"> </w:t>
      </w:r>
      <w:r>
        <w:rPr>
          <w:rFonts w:hint="eastAsia"/>
        </w:rPr>
        <w:t xml:space="preserve">128，其余设置保持不变。如</w:t>
      </w:r>
      <w:hyperlink w:anchor="b_fig_4_4">
        <w:r>
          <w:rPr>
            <w:rStyle w:val="Hyperlink"/>
          </w:rPr>
          <w:t xml:space="preserve">Fig. 10</w:t>
        </w:r>
      </w:hyperlink>
      <w:r>
        <w:rPr>
          <w:rFonts w:hint="eastAsia"/>
        </w:rPr>
        <w:t xml:space="preserve">所示，五种模型的存储占用均随模型宽度增加而上升，MS-AgentNet</w:t>
      </w:r>
      <w:r>
        <w:t xml:space="preserve"> </w:t>
      </w:r>
      <w:r>
        <w:rPr>
          <w:rFonts w:hint="eastAsia"/>
        </w:rPr>
        <w:t xml:space="preserve">在四种测试宽度下始终保持最低值。当维度增至</w:t>
      </w:r>
      <w:r>
        <w:t xml:space="preserve"> 128 </w:t>
      </w:r>
      <w:r>
        <w:rPr>
          <w:rFonts w:hint="eastAsia"/>
        </w:rPr>
        <w:t xml:space="preserve">时，其存储占用为</w:t>
      </w:r>
      <w:r>
        <w:t xml:space="preserve"> 713.12 </w:t>
      </w:r>
      <w:r>
        <w:rPr>
          <w:rFonts w:hint="eastAsia"/>
        </w:rPr>
        <w:t xml:space="preserve">KB，较该维度下最接近的</w:t>
      </w:r>
      <w:r>
        <w:t xml:space="preserve"> Transformer </w:t>
      </w:r>
      <w:r>
        <w:rPr>
          <w:rFonts w:hint="eastAsia"/>
        </w:rPr>
        <w:t xml:space="preserve">降低</w:t>
      </w:r>
      <w:r>
        <w:t xml:space="preserve"> </w:t>
      </w:r>
      <w:r>
        <w:rPr>
          <w:rFonts w:hint="eastAsia"/>
        </w:rPr>
        <w:t xml:space="preserve">32.2%，表明其存储优势在所测试的模型宽度范围内保持稳定。结合前述</w:t>
      </w:r>
      <w:r>
        <w:t xml:space="preserve"> SOH </w:t>
      </w:r>
      <w:r>
        <w:rPr>
          <w:rFonts w:hint="eastAsia"/>
        </w:rPr>
        <w:t xml:space="preserve">估计结果，MS-AgentNet</w:t>
      </w:r>
      <w:r>
        <w:t xml:space="preserve"> </w:t>
      </w:r>
      <w:r>
        <w:rPr>
          <w:rFonts w:hint="eastAsia"/>
        </w:rPr>
        <w:t xml:space="preserve">在预测精度与资源开销之间取得了较好的平衡，体现出面向资源受限</w:t>
      </w:r>
      <w:r>
        <w:t xml:space="preserve"> BMS </w:t>
      </w:r>
      <w:r>
        <w:rPr>
          <w:rFonts w:hint="eastAsia"/>
        </w:rPr>
        <w:t xml:space="preserve">的轻量化应用潜力。</w:t>
      </w:r>
    </w:p>
    <w:p>
      <w:pPr>
        <w:pStyle w:val="BodyText"/>
        <w:keepLines/>
        <w:spacing w:before="100" w:after="80"/>
        <w:ind w:firstLine="0"/>
        <w:jc w:val="center"/>
      </w:pPr>
      <w:bookmarkStart w:id="1090" w:name="b_tab_4_12"/>
      <w:r>
        <w:drawing>
          <wp:inline>
            <wp:extent cx="6084000" cy="1737482"/>
            <wp:docPr id="27" name="Picture 27"/>
            <wp:cNvGraphicFramePr>
              <a:graphicFrameLocks noChangeAspect="1"/>
            </wp:cNvGraphicFramePr>
            <a:graphic>
              <a:graphicData uri="http://schemas.openxmlformats.org/drawingml/2006/picture">
                <pic:pic>
                  <pic:nvPicPr>
                    <pic:cNvPr id="0" name="table_18.png"/>
                    <pic:cNvPicPr/>
                  </pic:nvPicPr>
                  <pic:blipFill>
                    <a:blip r:embed="rId35"/>
                    <a:stretch>
                      <a:fillRect/>
                    </a:stretch>
                  </pic:blipFill>
                  <pic:spPr>
                    <a:xfrm>
                      <a:off x="0" y="0"/>
                      <a:ext cx="6084000" cy="1737482"/>
                    </a:xfrm>
                    <a:prstGeom prst="rect"/>
                  </pic:spPr>
                </pic:pic>
              </a:graphicData>
            </a:graphic>
          </wp:inline>
        </w:drawing>
      </w:r>
      <w:bookmarkEnd w:id="1090"/>
    </w:p>
    <w:p>
      <w:pPr>
        <w:pStyle w:val="BodyText"/>
        <w:keepNext/>
        <w:keepLines/>
        <w:spacing w:before="100" w:after="80"/>
        <w:ind w:firstLine="0"/>
        <w:jc w:val="center"/>
      </w:pPr>
      <w:bookmarkStart w:id="1091" w:name="b_fig_4_4"/>
      <w:r>
        <w:drawing>
          <wp:inline>
            <wp:extent cx="5580000" cy="3776364"/>
            <wp:docPr id="28" name="Picture 28"/>
            <wp:cNvGraphicFramePr>
              <a:graphicFrameLocks noChangeAspect="1"/>
            </wp:cNvGraphicFramePr>
            <a:graphic>
              <a:graphicData uri="http://schemas.openxmlformats.org/drawingml/2006/picture">
                <pic:pic>
                  <pic:nvPicPr>
                    <pic:cNvPr id="0" name="figure_10.png"/>
                    <pic:cNvPicPr/>
                  </pic:nvPicPr>
                  <pic:blipFill>
                    <a:blip r:embed="rId36"/>
                    <a:stretch>
                      <a:fillRect/>
                    </a:stretch>
                  </pic:blipFill>
                  <pic:spPr>
                    <a:xfrm>
                      <a:off x="0" y="0"/>
                      <a:ext cx="5580000" cy="3776364"/>
                    </a:xfrm>
                    <a:prstGeom prst="rect"/>
                  </pic:spPr>
                </pic:pic>
              </a:graphicData>
            </a:graphic>
          </wp:inline>
        </w:drawing>
      </w:r>
      <w:bookmarkEnd w:id="1091"/>
    </w:p>
    <w:p>
      <w:pPr>
        <w:ind w:firstLine="0"/>
        <w:jc w:val="center"/>
      </w:pPr>
      <w:r>
        <w:rPr>
          <w:sz w:val="18"/>
        </w:rPr>
        <w:t>Fig. 10. Storage sizes of five models at different model widths: (a) storage size at each width; (b) overall distribution across the tested widths.</w:t>
      </w:r>
    </w:p>
    <w:bookmarkEnd w:id="45"/>
    <w:bookmarkEnd w:id="46"/>
    <w:bookmarkEnd w:id="47"/>
    <w:bookmarkStart w:id="48" w:name="结论"/>
    <w:p>
      <w:pPr>
        <w:pStyle w:val="Heading1"/>
      </w:pPr>
      <w:r>
        <w:rPr>
          <w:rStyle w:val="SectionNumber"/>
        </w:rPr>
        <w:t xml:space="preserve">5</w:t>
      </w:r>
      <w:r>
        <w:tab/>
      </w:r>
      <w:r>
        <w:rPr>
          <w:rFonts w:hint="eastAsia"/>
        </w:rPr>
        <w:t xml:space="preserve">结论</w:t>
      </w:r>
    </w:p>
    <w:p>
      <w:pPr>
        <w:pStyle w:val="FirstParagraph"/>
      </w:pPr>
      <w:r>
        <w:rPr>
          <w:rFonts w:hint="eastAsia"/>
        </w:rPr>
        <w:t xml:space="preserve">本文提出了一种面向资源受限电池管理系统的轻量化锂离子电池SOH估计框架，以缓解健康指标跨电池稳定性不足以及预测精度与计算效率难以兼顾的问题。研究从系统性健康指标构建和轻量化网络设计两个方面展开。所提出的组级健康指标选择算法基于特征开发电池集合的相关性结果，利用</w:t>
      </w:r>
      <w:r>
        <w:t xml:space="preserve"> MS-CCCT </w:t>
      </w:r>
      <w:r>
        <w:rPr>
          <w:rFonts w:hint="eastAsia"/>
        </w:rPr>
        <w:t xml:space="preserve">对恒流充电电压窗口进行多尺度自适应标定，并通过</w:t>
      </w:r>
      <w:r>
        <w:t xml:space="preserve"> PCC/SCC </w:t>
      </w:r>
      <w:r>
        <w:rPr>
          <w:rFonts w:hint="eastAsia"/>
        </w:rPr>
        <w:t xml:space="preserve">双阈值准入与冗余剔除确定模型输入。在保持特征定义与参数不变的条件下，最终入选指标在同一数据集的其他电池上仍与SOH保持较强的线性和单调关联。在序列建模方面，MS-AgentNet将ReLU²智能体注意力与小核和大核深度可分离卷积相结合，以协同表征局部退化变化、跨位置全局信息和长尺度退化趋势。在智能体数量固定时，RAA利用少量可学习静态智能体完成信息聚合与广播，将注意力相关性交互的理论复杂度由</w:t>
      </w:r>
      <m:oMath>
        <m:r>
          <w:rPr>
            <w:rFonts w:ascii="Cambria Math" w:hAnsi="Cambria Math"/>
            <w:sz w:val="22"/>
          </w:rPr>
          <m:t>O</m:t>
        </m:r>
        <m:r>
          <w:rPr>
            <w:rFonts w:ascii="Cambria Math" w:hAnsi="Cambria Math"/>
            <w:sz w:val="22"/>
          </w:rPr>
          <m:rPr>
            <m:sty m:val="p"/>
          </m:rPr>
          <m:t>(</m:t>
        </m:r>
        <m:sSup>
          <m:e>
            <m:r>
              <w:rPr>
                <w:rFonts w:ascii="Cambria Math" w:hAnsi="Cambria Math"/>
                <w:sz w:val="22"/>
              </w:rPr>
              <m:t>N</m:t>
            </m:r>
          </m:e>
          <m:sup>
            <m:r>
              <w:rPr>
                <w:rFonts w:ascii="Cambria Math" w:hAnsi="Cambria Math"/>
                <w:sz w:val="22"/>
              </w:rPr>
              <m:t>2</m:t>
            </m:r>
          </m:sup>
        </m:sSup>
        <m:r>
          <w:rPr>
            <w:rFonts w:ascii="Cambria Math" w:hAnsi="Cambria Math"/>
            <w:sz w:val="22"/>
          </w:rPr>
          <m:t>d</m:t>
        </m:r>
        <m:r>
          <w:rPr>
            <w:rFonts w:ascii="Cambria Math" w:hAnsi="Cambria Math"/>
            <w:sz w:val="22"/>
          </w:rPr>
          <m:rPr>
            <m:sty m:val="p"/>
          </m:rPr>
          <m:t>)</m:t>
        </m:r>
      </m:oMath>
      <w:r>
        <w:rPr>
          <w:rFonts w:hint="eastAsia"/>
        </w:rPr>
        <w:t xml:space="preserve">降低至</w:t>
      </w:r>
      <m:oMath>
        <m:r>
          <w:rPr>
            <w:rFonts w:ascii="Cambria Math" w:hAnsi="Cambria Math"/>
            <w:sz w:val="22"/>
          </w:rPr>
          <m:t>O</m:t>
        </m:r>
        <m:r>
          <w:rPr>
            <w:rFonts w:ascii="Cambria Math" w:hAnsi="Cambria Math"/>
            <w:sz w:val="22"/>
          </w:rPr>
          <m:rPr>
            <m:sty m:val="p"/>
          </m:rPr>
          <m:t>(</m:t>
        </m:r>
        <m:r>
          <w:rPr>
            <w:rFonts w:ascii="Cambria Math" w:hAnsi="Cambria Math"/>
            <w:sz w:val="22"/>
          </w:rPr>
          <m:t>N</m:t>
        </m:r>
        <m:sSub>
          <m:e>
            <m:r>
              <w:rPr>
                <w:rFonts w:ascii="Cambria Math" w:hAnsi="Cambria Math"/>
                <w:sz w:val="22"/>
              </w:rPr>
              <m:t>n</m:t>
            </m:r>
          </m:e>
          <m:sub>
            <m:r>
              <w:rPr>
                <w:rFonts w:ascii="Cambria Math" w:hAnsi="Cambria Math"/>
                <w:sz w:val="22"/>
              </w:rPr>
              <m:t>a</m:t>
            </m:r>
          </m:sub>
        </m:sSub>
        <m:r>
          <w:rPr>
            <w:rFonts w:ascii="Cambria Math" w:hAnsi="Cambria Math"/>
            <w:sz w:val="22"/>
          </w:rPr>
          <m:t>d</m:t>
        </m:r>
        <m:r>
          <w:rPr>
            <w:rFonts w:ascii="Cambria Math" w:hAnsi="Cambria Math"/>
            <w:sz w:val="22"/>
          </w:rPr>
          <m:rPr>
            <m:sty m:val="p"/>
          </m:rPr>
          <m:t>)</m:t>
        </m:r>
      </m:oMath>
      <w:r>
        <w:t xml:space="preserve">。</w:t>
      </w:r>
    </w:p>
    <w:p>
      <w:pPr>
        <w:pStyle w:val="BodyText"/>
      </w:pPr>
      <w:r>
        <w:rPr>
          <w:rFonts w:hint="eastAsia"/>
        </w:rPr>
        <w:t xml:space="preserve">在Oxford、CALCE</w:t>
      </w:r>
      <w:r>
        <w:t xml:space="preserve"> CS2、CALCE </w:t>
      </w:r>
      <w:r>
        <w:rPr>
          <w:rFonts w:hint="eastAsia"/>
        </w:rPr>
        <w:t xml:space="preserve">CX2和MIT/Severson四个公开电池数据集上的实验结果表明，与CNN-Transformer、CNN-LSTM、Transformer和LSTM四种基线模型相比，MS-AgentNet总体上取得了更优的综合表现。具体而言，在CALCE</w:t>
      </w:r>
      <w:r>
        <w:t xml:space="preserve"> </w:t>
      </w:r>
      <w:r>
        <w:rPr>
          <w:rFonts w:hint="eastAsia"/>
        </w:rPr>
        <w:t xml:space="preserve">CX2数据集的两节电池平均结果中，MS-AgentNet的MAPE相比CNN-Transformer降低了52.69%。此外，MS-AgentNet具有较低的参数量和存储开销，体现了其轻量化优势。消融实验与卷积尺度补充实验显示，多尺度深度可分离卷积与RAA的互补融合能够提升模型在不同退化场景下的综合表现。总体来看，所提框架在SOH估计精度与资源开销之间取得了良好平衡；模型在同一数据集的其他电池上仍保持了较好的估计性能，体现出一定的域内跨电池泛化能力，并具备应用于资源受限电池管理系统的潜力。</w:t>
      </w:r>
    </w:p>
    <w:p>
      <w:pPr>
        <w:pStyle w:val="BodyText"/>
      </w:pPr>
      <w:r>
        <w:rPr>
          <w:rFonts w:hint="eastAsia"/>
        </w:rPr>
        <w:t xml:space="preserve">尽管取得了上述结果，所提框架仍依赖可辨识的充放电数据片段，且其跨数据集适应能力会受到数据域差异、源域选择和目标域数据量的影响。未来将重点研究面向不完整充电和动态运行片段的健康指标构建方法及轻量化域适应策略，并在更多电池体系、实际车辆运行数据和嵌入式硬件平台上开展验证，以进一步提升该框架的工程适用性与部署可靠性。</w:t>
      </w:r>
    </w:p>
    <w:bookmarkEnd w:id="48"/>
    <w:bookmarkStart w:id="126" w:name="参考文献"/>
    <w:p>
      <w:pPr>
        <w:pStyle w:val="Heading1"/>
      </w:pPr>
      <w:r>
        <w:rPr>
          <w:rFonts w:hint="eastAsia"/>
        </w:rPr>
        <w:t xml:space="preserve">参考文献</w:t>
      </w:r>
    </w:p>
    <w:p>
      <w:pPr>
        <w:pStyle w:val="BodyText"/>
        <w:spacing w:after="40"/>
        <w:ind w:hanging="360" w:left="360"/>
      </w:pPr>
      <w:bookmarkStart w:id="1092" w:name="b_ref1"/>
      <w:r>
        <w:t xml:space="preserve">[1] Scrosati B, Garche J. Lithium batteries: Status, prospects and future. Journal of Power Sources 2010;195(9):2419–2430.</w:t>
      </w:r>
      <w:r>
        <w:t xml:space="preserve"> </w:t>
      </w:r>
      <w:hyperlink r:id="rId49">
        <w:r>
          <w:rPr>
            <w:rStyle w:val="Hyperlink"/>
          </w:rPr>
          <w:t xml:space="preserve">https://doi.org/10.1016/j.jpowsour.2009.11.048</w:t>
        </w:r>
      </w:hyperlink>
      <w:r>
        <w:t xml:space="preserve">.</w:t>
      </w:r>
      <w:bookmarkEnd w:id="1092"/>
    </w:p>
    <w:p>
      <w:pPr>
        <w:pStyle w:val="BodyText"/>
        <w:spacing w:after="40"/>
        <w:ind w:hanging="360" w:left="360"/>
      </w:pPr>
      <w:bookmarkStart w:id="1093" w:name="b_ref2"/>
      <w:r>
        <w:t xml:space="preserve">[2] Kim T, Song W, Son D-Y, Ono LK, Qi Y. Lithium-ion batteries: Outlook on present, future, and hybridized technologies. Journal of Materials Chemistry A 2019;7(7):2942–2964.</w:t>
      </w:r>
      <w:r>
        <w:t xml:space="preserve"> </w:t>
      </w:r>
      <w:hyperlink r:id="rId50">
        <w:r>
          <w:rPr>
            <w:rStyle w:val="Hyperlink"/>
          </w:rPr>
          <w:t xml:space="preserve">https://doi.org/10.1039/C8TA10513H</w:t>
        </w:r>
      </w:hyperlink>
      <w:r>
        <w:t xml:space="preserve">.</w:t>
      </w:r>
      <w:bookmarkEnd w:id="1093"/>
    </w:p>
    <w:p>
      <w:pPr>
        <w:pStyle w:val="BodyText"/>
        <w:spacing w:after="40"/>
        <w:ind w:hanging="360" w:left="360"/>
      </w:pPr>
      <w:bookmarkStart w:id="1094" w:name="b_ref3"/>
      <w:r>
        <w:t xml:space="preserve">[3] Krause FC, Ruiz JP, Jones SC, Brandon EJ, Darcy EC, Iannello CJ, Bugga RV. Performance of commercial Li-ion cells for future NASA missions and aerospace applications. Journal of The Electrochemical Society 2021;168(4):040504.</w:t>
      </w:r>
      <w:r>
        <w:t xml:space="preserve"> </w:t>
      </w:r>
      <w:hyperlink r:id="rId51">
        <w:r>
          <w:rPr>
            <w:rStyle w:val="Hyperlink"/>
          </w:rPr>
          <w:t xml:space="preserve">https://doi.org/10.1149/1945-7111/abf05f</w:t>
        </w:r>
      </w:hyperlink>
      <w:r>
        <w:t xml:space="preserve">.</w:t>
      </w:r>
      <w:bookmarkEnd w:id="1094"/>
    </w:p>
    <w:p>
      <w:pPr>
        <w:pStyle w:val="BodyText"/>
        <w:spacing w:after="40"/>
        <w:ind w:hanging="360" w:left="360"/>
      </w:pPr>
      <w:bookmarkStart w:id="1095" w:name="b_ref4"/>
      <w:r>
        <w:t xml:space="preserve">[4] Xiong R, Kim J, Shen W, et al. Key technologies for electric vehicles. Green Energy and Intelligent Transportation 2022;1(2):100041.</w:t>
      </w:r>
      <w:r>
        <w:t xml:space="preserve"> </w:t>
      </w:r>
      <w:hyperlink r:id="rId52">
        <w:r>
          <w:rPr>
            <w:rStyle w:val="Hyperlink"/>
          </w:rPr>
          <w:t xml:space="preserve">https://doi.org/10.1016/j.geits.2022.100041</w:t>
        </w:r>
      </w:hyperlink>
      <w:r>
        <w:t xml:space="preserve">.</w:t>
      </w:r>
      <w:bookmarkEnd w:id="1095"/>
    </w:p>
    <w:p>
      <w:pPr>
        <w:pStyle w:val="BodyText"/>
        <w:spacing w:after="40"/>
        <w:ind w:hanging="360" w:left="360"/>
      </w:pPr>
      <w:bookmarkStart w:id="1096" w:name="b_ref5"/>
      <w:r>
        <w:t xml:space="preserve">[5] Barré A, Deguilhem B, Grolleau S, Gérard M, Suard F, Riu D. A review on lithium-ion battery ageing mechanisms and estimations for automotive applications. Journal of Power Sources 2013;241:680–689.</w:t>
      </w:r>
      <w:r>
        <w:t xml:space="preserve"> </w:t>
      </w:r>
      <w:hyperlink r:id="rId53">
        <w:r>
          <w:rPr>
            <w:rStyle w:val="Hyperlink"/>
          </w:rPr>
          <w:t xml:space="preserve">https://doi.org/10.1016/j.jpowsour.2013.05.040</w:t>
        </w:r>
      </w:hyperlink>
      <w:r>
        <w:t xml:space="preserve">.</w:t>
      </w:r>
      <w:bookmarkEnd w:id="1096"/>
    </w:p>
    <w:p>
      <w:pPr>
        <w:pStyle w:val="BodyText"/>
        <w:spacing w:after="40"/>
        <w:ind w:hanging="360" w:left="360"/>
      </w:pPr>
      <w:bookmarkStart w:id="1097" w:name="b_ref6"/>
      <w:r>
        <w:t xml:space="preserve">[6] Ma S, Jiang M, Tao P, Song C, Wu J, Wang J, Deng T, Shang W. Temperature effect and thermal impact in lithium-ion batteries: A review. Progress in Natural Science: Materials International 2018;28(6):653–666.</w:t>
      </w:r>
      <w:r>
        <w:t xml:space="preserve"> </w:t>
      </w:r>
      <w:hyperlink r:id="rId54">
        <w:r>
          <w:rPr>
            <w:rStyle w:val="Hyperlink"/>
          </w:rPr>
          <w:t xml:space="preserve">https://doi.org/10.1016/j.pnsc.2018.11.002</w:t>
        </w:r>
      </w:hyperlink>
      <w:r>
        <w:t xml:space="preserve">.</w:t>
      </w:r>
      <w:bookmarkEnd w:id="1097"/>
    </w:p>
    <w:p>
      <w:pPr>
        <w:pStyle w:val="BodyText"/>
        <w:spacing w:after="40"/>
        <w:ind w:hanging="360" w:left="360"/>
      </w:pPr>
      <w:bookmarkStart w:id="1098" w:name="b_ref7"/>
      <w:r>
        <w:t xml:space="preserve">[7] Wang C-J, Zhu Y-L, Gao F, Bu X-Y, Chen H-S, Quan T, Xu Y-B, Jiao Q-J. Internal short circuit and thermal runaway evolution mechanism of fresh and retired Li-ion batteries with LiFePO4 cathode during overcharge. Applied Energy 2022;328:120224.</w:t>
      </w:r>
      <w:r>
        <w:t xml:space="preserve"> </w:t>
      </w:r>
      <w:hyperlink r:id="rId55">
        <w:r>
          <w:rPr>
            <w:rStyle w:val="Hyperlink"/>
          </w:rPr>
          <w:t xml:space="preserve">https://doi.org/10.1016/j.apenergy.2022.120224</w:t>
        </w:r>
      </w:hyperlink>
      <w:r>
        <w:t xml:space="preserve">.</w:t>
      </w:r>
      <w:bookmarkEnd w:id="1098"/>
    </w:p>
    <w:p>
      <w:pPr>
        <w:pStyle w:val="BodyText"/>
        <w:spacing w:after="40"/>
        <w:ind w:hanging="360" w:left="360"/>
      </w:pPr>
      <w:bookmarkStart w:id="1099" w:name="b_ref8"/>
      <w:r>
        <w:t xml:space="preserve">[8] Feng L, Jiang L, Liu J, Wang Z, Wei Z, Wang Q. Dynamic overcharge investigations of lithium ion batteries with different state of health. Journal of Power Sources 2021;507:230262.</w:t>
      </w:r>
      <w:r>
        <w:t xml:space="preserve"> </w:t>
      </w:r>
      <w:hyperlink r:id="rId56">
        <w:r>
          <w:rPr>
            <w:rStyle w:val="Hyperlink"/>
          </w:rPr>
          <w:t xml:space="preserve">https://doi.org/10.1016/j.jpowsour.2021.230262</w:t>
        </w:r>
      </w:hyperlink>
      <w:r>
        <w:t xml:space="preserve">.</w:t>
      </w:r>
      <w:bookmarkEnd w:id="1099"/>
    </w:p>
    <w:p>
      <w:pPr>
        <w:pStyle w:val="BodyText"/>
        <w:spacing w:after="40"/>
        <w:ind w:hanging="360" w:left="360"/>
      </w:pPr>
      <w:bookmarkStart w:id="1100" w:name="b_ref9"/>
      <w:r>
        <w:t xml:space="preserve">[9] Xia Y, Chen G, Zhou Q, Shi X, Shi F. Failure behaviours of 100% SOC lithium-ion battery modules under different impact loading conditions. Engineering Failure Analysis 2017;82:149–160.</w:t>
      </w:r>
      <w:r>
        <w:t xml:space="preserve"> </w:t>
      </w:r>
      <w:hyperlink r:id="rId57">
        <w:r>
          <w:rPr>
            <w:rStyle w:val="Hyperlink"/>
          </w:rPr>
          <w:t xml:space="preserve">https://doi.org/10.1016/j.engfailanal.2017.09.003</w:t>
        </w:r>
      </w:hyperlink>
      <w:r>
        <w:t xml:space="preserve">.</w:t>
      </w:r>
      <w:bookmarkEnd w:id="1100"/>
    </w:p>
    <w:p>
      <w:pPr>
        <w:pStyle w:val="BodyText"/>
        <w:spacing w:after="40"/>
        <w:ind w:hanging="360" w:left="360"/>
      </w:pPr>
      <w:bookmarkStart w:id="1101" w:name="b_ref10"/>
      <w:r>
        <w:t xml:space="preserve">[10] Che Y, Hu X, Lin X, Guo J, Teodorescu R. Health prognostics for lithium-ion batteries: Mechanisms, methods, and prospects. Energy &amp; Environmental Science 2023;16:338–371.</w:t>
      </w:r>
      <w:r>
        <w:t xml:space="preserve"> </w:t>
      </w:r>
      <w:hyperlink r:id="rId58">
        <w:r>
          <w:rPr>
            <w:rStyle w:val="Hyperlink"/>
          </w:rPr>
          <w:t xml:space="preserve">https://doi.org/10.1039/D2EE03019E</w:t>
        </w:r>
      </w:hyperlink>
      <w:r>
        <w:t xml:space="preserve">.</w:t>
      </w:r>
      <w:bookmarkEnd w:id="1101"/>
    </w:p>
    <w:p>
      <w:pPr>
        <w:pStyle w:val="BodyText"/>
        <w:spacing w:after="40"/>
        <w:ind w:hanging="360" w:left="360"/>
      </w:pPr>
      <w:bookmarkStart w:id="1102" w:name="b_ref11"/>
      <w:r>
        <w:t xml:space="preserve">[11] Ge M-F, Liu Y, Jiang X, Liu J. A review on state of health estimations and remaining useful life prognostics of lithium-ion batteries. Measurement 2021;174:109057.</w:t>
      </w:r>
      <w:r>
        <w:t xml:space="preserve"> </w:t>
      </w:r>
      <w:hyperlink r:id="rId59">
        <w:r>
          <w:rPr>
            <w:rStyle w:val="Hyperlink"/>
          </w:rPr>
          <w:t xml:space="preserve">https://doi.org/10.1016/j.measurement.2021.109057</w:t>
        </w:r>
      </w:hyperlink>
      <w:r>
        <w:t xml:space="preserve">.</w:t>
      </w:r>
      <w:bookmarkEnd w:id="1102"/>
    </w:p>
    <w:p>
      <w:pPr>
        <w:pStyle w:val="BodyText"/>
        <w:spacing w:after="40"/>
        <w:ind w:hanging="360" w:left="360"/>
      </w:pPr>
      <w:bookmarkStart w:id="1103" w:name="b_ref12"/>
      <w:r>
        <w:t xml:space="preserve">[12] Tian H, Qin P, Li K, Zhao Z. A review of the state of health for lithium-ion batteries: Research status and suggestions. Journal of Cleaner Production 2020;261:120813.</w:t>
      </w:r>
      <w:r>
        <w:t xml:space="preserve"> </w:t>
      </w:r>
      <w:hyperlink r:id="rId60">
        <w:r>
          <w:rPr>
            <w:rStyle w:val="Hyperlink"/>
          </w:rPr>
          <w:t xml:space="preserve">https://doi.org/10.1016/j.jclepro.2020.120813</w:t>
        </w:r>
      </w:hyperlink>
      <w:r>
        <w:t xml:space="preserve">.</w:t>
      </w:r>
      <w:bookmarkEnd w:id="1103"/>
    </w:p>
    <w:p>
      <w:pPr>
        <w:pStyle w:val="BodyText"/>
        <w:spacing w:after="40"/>
        <w:ind w:hanging="360" w:left="360"/>
      </w:pPr>
      <w:bookmarkStart w:id="1104" w:name="b_ref13"/>
      <w:r>
        <w:t xml:space="preserve">[13] Lu J, Xiong R, Tian J, et al. Deep learning to estimate lithium-ion battery state of health without additional degradation experiments. Nature Communications 2023;14:2760.</w:t>
      </w:r>
      <w:r>
        <w:t xml:space="preserve"> </w:t>
      </w:r>
      <w:hyperlink r:id="rId61">
        <w:r>
          <w:rPr>
            <w:rStyle w:val="Hyperlink"/>
          </w:rPr>
          <w:t xml:space="preserve">https://doi.org/10.1038/s41467-023-38458-w</w:t>
        </w:r>
      </w:hyperlink>
      <w:r>
        <w:t xml:space="preserve">.</w:t>
      </w:r>
      <w:bookmarkEnd w:id="1104"/>
    </w:p>
    <w:p>
      <w:pPr>
        <w:pStyle w:val="BodyText"/>
        <w:spacing w:after="40"/>
        <w:ind w:hanging="360" w:left="360"/>
      </w:pPr>
      <w:bookmarkStart w:id="1105" w:name="b_ref14"/>
      <w:r>
        <w:t xml:space="preserve">[14] Luo K, Chen X, Zheng H, Shi Z. A review of deep learning approach to predicting the state of health and state of charge of lithium-ion batteries. Journal of Energy Chemistry 2022;74:159–173.</w:t>
      </w:r>
      <w:r>
        <w:t xml:space="preserve"> </w:t>
      </w:r>
      <w:hyperlink r:id="rId62">
        <w:r>
          <w:rPr>
            <w:rStyle w:val="Hyperlink"/>
          </w:rPr>
          <w:t xml:space="preserve">https://doi.org/10.1016/j.jechem.2022.06.049</w:t>
        </w:r>
      </w:hyperlink>
      <w:r>
        <w:t xml:space="preserve">.</w:t>
      </w:r>
      <w:bookmarkEnd w:id="1105"/>
    </w:p>
    <w:p>
      <w:pPr>
        <w:pStyle w:val="BodyText"/>
        <w:spacing w:after="40"/>
        <w:ind w:hanging="360" w:left="360"/>
      </w:pPr>
      <w:bookmarkStart w:id="1106" w:name="b_ref15"/>
      <w:r>
        <w:t xml:space="preserve">[15] Song K, Hu D, Tong Y, Yue X. Remaining life prediction of lithium-ion batteries based on health management: A review. Journal of Energy Storage 2023;57:106193.</w:t>
      </w:r>
      <w:r>
        <w:t xml:space="preserve"> </w:t>
      </w:r>
      <w:hyperlink r:id="rId63">
        <w:r>
          <w:rPr>
            <w:rStyle w:val="Hyperlink"/>
          </w:rPr>
          <w:t xml:space="preserve">https://doi.org/10.1016/j.est.2022.106193</w:t>
        </w:r>
      </w:hyperlink>
      <w:r>
        <w:t xml:space="preserve">.</w:t>
      </w:r>
      <w:bookmarkEnd w:id="1106"/>
    </w:p>
    <w:p>
      <w:pPr>
        <w:pStyle w:val="BodyText"/>
        <w:spacing w:after="40"/>
        <w:ind w:hanging="360" w:left="360"/>
      </w:pPr>
      <w:bookmarkStart w:id="1107" w:name="b_ref16"/>
      <w:r>
        <w:t xml:space="preserve">[16] Khaleghi S, Hosen M, Karimi D, et al. Developing an online data-driven approach for prognostics and health management of lithium-ion batteries. Applied Energy 2022;308:118348.</w:t>
      </w:r>
      <w:r>
        <w:t xml:space="preserve"> </w:t>
      </w:r>
      <w:hyperlink r:id="rId64">
        <w:r>
          <w:rPr>
            <w:rStyle w:val="Hyperlink"/>
          </w:rPr>
          <w:t xml:space="preserve">https://doi.org/10.1016/j.apenergy.2021.118348</w:t>
        </w:r>
      </w:hyperlink>
      <w:r>
        <w:t xml:space="preserve">.</w:t>
      </w:r>
      <w:bookmarkEnd w:id="1107"/>
    </w:p>
    <w:p>
      <w:pPr>
        <w:pStyle w:val="BodyText"/>
        <w:spacing w:after="40"/>
        <w:ind w:hanging="360" w:left="360"/>
      </w:pPr>
      <w:bookmarkStart w:id="1108" w:name="b_ref17"/>
      <w:r>
        <w:t xml:space="preserve">[17] Hu X, Xu L, Lin X, Pecht M. Battery lifetime prognostics. Joule 2020;4:310–346.</w:t>
      </w:r>
      <w:r>
        <w:t xml:space="preserve"> </w:t>
      </w:r>
      <w:hyperlink r:id="rId65">
        <w:r>
          <w:rPr>
            <w:rStyle w:val="Hyperlink"/>
          </w:rPr>
          <w:t xml:space="preserve">https://doi.org/10.1016/j.joule.2019.11.018</w:t>
        </w:r>
      </w:hyperlink>
      <w:r>
        <w:t xml:space="preserve">.</w:t>
      </w:r>
      <w:bookmarkEnd w:id="1108"/>
    </w:p>
    <w:p>
      <w:pPr>
        <w:pStyle w:val="BodyText"/>
        <w:spacing w:after="40"/>
        <w:ind w:hanging="360" w:left="360"/>
      </w:pPr>
      <w:bookmarkStart w:id="1109" w:name="b_ref18"/>
      <w:r>
        <w:t xml:space="preserve">[18] He W, Williard N, Osterman M, Pecht M. Prognostics of lithium-ion batteries based on Dempster–Shafer theory and the Bayesian Monte Carlo method. Journal of Power Sources 2011;196(23):10314–10321.</w:t>
      </w:r>
      <w:r>
        <w:t xml:space="preserve"> </w:t>
      </w:r>
      <w:hyperlink r:id="rId66">
        <w:r>
          <w:rPr>
            <w:rStyle w:val="Hyperlink"/>
          </w:rPr>
          <w:t xml:space="preserve">https://doi.org/10.1016/j.jpowsour.2011.08.040</w:t>
        </w:r>
      </w:hyperlink>
      <w:r>
        <w:t xml:space="preserve">.</w:t>
      </w:r>
      <w:bookmarkEnd w:id="1109"/>
    </w:p>
    <w:p>
      <w:pPr>
        <w:pStyle w:val="BodyText"/>
        <w:spacing w:after="40"/>
        <w:ind w:hanging="360" w:left="360"/>
      </w:pPr>
      <w:bookmarkStart w:id="1110" w:name="b_ref19"/>
      <w:r>
        <w:t xml:space="preserve">[19] Wang Y, Tian J, Sun Z, Wang L, Xu R, Li M, Chen Z. A comprehensive review of battery modeling and state estimation approaches for advanced battery management systems. Renewable and Sustainable Energy Reviews 2020;131:110015.</w:t>
      </w:r>
      <w:r>
        <w:t xml:space="preserve"> </w:t>
      </w:r>
      <w:hyperlink r:id="rId67">
        <w:r>
          <w:rPr>
            <w:rStyle w:val="Hyperlink"/>
          </w:rPr>
          <w:t xml:space="preserve">https://doi.org/10.1016/j.rser.2020.110015</w:t>
        </w:r>
      </w:hyperlink>
      <w:r>
        <w:t xml:space="preserve">.</w:t>
      </w:r>
      <w:bookmarkEnd w:id="1110"/>
    </w:p>
    <w:p>
      <w:pPr>
        <w:pStyle w:val="BodyText"/>
        <w:spacing w:after="40"/>
        <w:ind w:hanging="360" w:left="360"/>
      </w:pPr>
      <w:bookmarkStart w:id="1111" w:name="b_ref20"/>
      <w:r>
        <w:t xml:space="preserve">[20] Deng Z, Yang L, Deng H, Cai Y, Li D. Polynomial approximation pseudo-two-dimensional battery model for online application in embedded battery management system. Energy 2018;142:838–850.</w:t>
      </w:r>
      <w:r>
        <w:t xml:space="preserve"> </w:t>
      </w:r>
      <w:hyperlink r:id="rId68">
        <w:r>
          <w:rPr>
            <w:rStyle w:val="Hyperlink"/>
          </w:rPr>
          <w:t xml:space="preserve">https://doi.org/10.1016/j.energy.2017.10.097</w:t>
        </w:r>
      </w:hyperlink>
      <w:r>
        <w:t xml:space="preserve">.</w:t>
      </w:r>
      <w:bookmarkEnd w:id="1111"/>
    </w:p>
    <w:p>
      <w:pPr>
        <w:pStyle w:val="BodyText"/>
        <w:spacing w:after="40"/>
        <w:ind w:hanging="360" w:left="360"/>
      </w:pPr>
      <w:bookmarkStart w:id="1112" w:name="b_ref21"/>
      <w:r>
        <w:t xml:space="preserve">[21] Li J, Adewuyi K, Lotfi N, Landers RG, Park J. A single particle model with chemical/mechanical degradation physics for lithium ion battery state of health (SOH) estimation. Applied Energy 2018;212:1178–1190.</w:t>
      </w:r>
      <w:r>
        <w:t xml:space="preserve"> </w:t>
      </w:r>
      <w:hyperlink r:id="rId69">
        <w:r>
          <w:rPr>
            <w:rStyle w:val="Hyperlink"/>
          </w:rPr>
          <w:t xml:space="preserve">https://doi.org/10.1016/j.apenergy.2018.01.011</w:t>
        </w:r>
      </w:hyperlink>
      <w:r>
        <w:t xml:space="preserve">.</w:t>
      </w:r>
      <w:bookmarkEnd w:id="1112"/>
    </w:p>
    <w:p>
      <w:pPr>
        <w:pStyle w:val="BodyText"/>
        <w:spacing w:after="40"/>
        <w:ind w:hanging="360" w:left="360"/>
      </w:pPr>
      <w:bookmarkStart w:id="1113" w:name="b_ref22"/>
      <w:r>
        <w:t xml:space="preserve">[22] Wang D, Zhang Q, Huang H, Yang B, Dong H, Zhang J. An electrochemical–thermal model of lithium-ion battery and state of health estimation. Journal of Energy Storage 2022;47:103528.</w:t>
      </w:r>
      <w:r>
        <w:t xml:space="preserve"> </w:t>
      </w:r>
      <w:hyperlink r:id="rId70">
        <w:r>
          <w:rPr>
            <w:rStyle w:val="Hyperlink"/>
          </w:rPr>
          <w:t xml:space="preserve">https://doi.org/10.1016/j.est.2021.103528</w:t>
        </w:r>
      </w:hyperlink>
      <w:r>
        <w:t xml:space="preserve">.</w:t>
      </w:r>
      <w:bookmarkEnd w:id="1113"/>
    </w:p>
    <w:p>
      <w:pPr>
        <w:pStyle w:val="BodyText"/>
        <w:spacing w:after="40"/>
        <w:ind w:hanging="360" w:left="360"/>
      </w:pPr>
      <w:bookmarkStart w:id="1114" w:name="b_ref23"/>
      <w:r>
        <w:t xml:space="preserve">[23] Rechkemmer SK, Zang X, Zhang W, Sawodny O. Empirical Li-ion aging model derived from single particle model. Journal of Energy Storage 2019;21:773–786.</w:t>
      </w:r>
      <w:r>
        <w:t xml:space="preserve"> </w:t>
      </w:r>
      <w:hyperlink r:id="rId71">
        <w:r>
          <w:rPr>
            <w:rStyle w:val="Hyperlink"/>
          </w:rPr>
          <w:t xml:space="preserve">https://doi.org/10.1016/j.est.2019.01.005</w:t>
        </w:r>
      </w:hyperlink>
      <w:r>
        <w:t xml:space="preserve">.</w:t>
      </w:r>
      <w:bookmarkEnd w:id="1114"/>
    </w:p>
    <w:p>
      <w:pPr>
        <w:pStyle w:val="BodyText"/>
        <w:spacing w:after="40"/>
        <w:ind w:hanging="360" w:left="360"/>
      </w:pPr>
      <w:bookmarkStart w:id="1115" w:name="b_ref24"/>
      <w:r>
        <w:t xml:space="preserve">[24] Chen L, Lü Z, Lin W, Li J, Pan H. A new state-of-health estimation method for lithium-ion batteries through the intrinsic relationship between ohmic internal resistance and capacity. Measurement 2018;116:586–595.</w:t>
      </w:r>
      <w:r>
        <w:t xml:space="preserve"> </w:t>
      </w:r>
      <w:hyperlink r:id="rId72">
        <w:r>
          <w:rPr>
            <w:rStyle w:val="Hyperlink"/>
          </w:rPr>
          <w:t xml:space="preserve">https://doi.org/10.1016/j.measurement.2017.11.016</w:t>
        </w:r>
      </w:hyperlink>
      <w:r>
        <w:t xml:space="preserve">.</w:t>
      </w:r>
      <w:bookmarkEnd w:id="1115"/>
    </w:p>
    <w:p>
      <w:pPr>
        <w:pStyle w:val="BodyText"/>
        <w:spacing w:after="40"/>
        <w:ind w:hanging="360" w:left="360"/>
      </w:pPr>
      <w:bookmarkStart w:id="1116" w:name="b_ref25"/>
      <w:r>
        <w:t xml:space="preserve">[25] Roman D, Saxena S, Robu V, Flynn D, Pecht M. Machine learning pipeline for battery state of health estimation. arXiv 2021.</w:t>
      </w:r>
      <w:r>
        <w:t xml:space="preserve"> </w:t>
      </w:r>
      <w:hyperlink r:id="rId73">
        <w:r>
          <w:rPr>
            <w:rStyle w:val="Hyperlink"/>
          </w:rPr>
          <w:t xml:space="preserve">https://doi.org/10.48550/arXiv.2102.00837</w:t>
        </w:r>
      </w:hyperlink>
      <w:r>
        <w:t xml:space="preserve">.</w:t>
      </w:r>
      <w:bookmarkEnd w:id="1116"/>
    </w:p>
    <w:p>
      <w:pPr>
        <w:pStyle w:val="BodyText"/>
        <w:spacing w:after="40"/>
        <w:ind w:hanging="360" w:left="360"/>
      </w:pPr>
      <w:bookmarkStart w:id="1117" w:name="b_ref26"/>
      <w:r>
        <w:t xml:space="preserve">[26] Fei Z, Yang F, Tsui K-L, Li L, Zhang Z. Early prediction of battery lifetime via a machine learning based framework. Energy 2021;225:120205.</w:t>
      </w:r>
      <w:r>
        <w:t xml:space="preserve"> </w:t>
      </w:r>
      <w:hyperlink r:id="rId74">
        <w:r>
          <w:rPr>
            <w:rStyle w:val="Hyperlink"/>
          </w:rPr>
          <w:t xml:space="preserve">https://doi.org/10.1016/j.energy.2021.120205</w:t>
        </w:r>
      </w:hyperlink>
      <w:r>
        <w:t xml:space="preserve">.</w:t>
      </w:r>
      <w:bookmarkEnd w:id="1117"/>
    </w:p>
    <w:p>
      <w:pPr>
        <w:pStyle w:val="BodyText"/>
        <w:spacing w:after="40"/>
        <w:ind w:hanging="360" w:left="360"/>
      </w:pPr>
      <w:bookmarkStart w:id="1118" w:name="b_ref27"/>
      <w:r>
        <w:t xml:space="preserve">[27] Li Y, Zou C, Berecibar M, Nanini-Maury E, Chan JC-W, van den Bossche P, Van Mierlo J, Omar N. Random forest regression for online capacity estimation of lithium-ion batteries. Applied Energy 2018;232:197–210.</w:t>
      </w:r>
      <w:r>
        <w:t xml:space="preserve"> </w:t>
      </w:r>
      <w:hyperlink r:id="rId75">
        <w:r>
          <w:rPr>
            <w:rStyle w:val="Hyperlink"/>
          </w:rPr>
          <w:t xml:space="preserve">https://doi.org/10.1016/j.apenergy.2018.09.182</w:t>
        </w:r>
      </w:hyperlink>
      <w:r>
        <w:t xml:space="preserve">.</w:t>
      </w:r>
      <w:bookmarkEnd w:id="1118"/>
    </w:p>
    <w:p>
      <w:pPr>
        <w:pStyle w:val="BodyText"/>
        <w:spacing w:after="40"/>
        <w:ind w:hanging="360" w:left="360"/>
      </w:pPr>
      <w:bookmarkStart w:id="1119" w:name="b_ref28"/>
      <w:r>
        <w:t xml:space="preserve">[28] Richardson RR, Birkl CR, Osborne MA, Howey DA. Gaussian process regression for in situ capacity estimation of lithium-ion batteries. IEEE Transactions on Industrial Informatics 2018;15:127–138.</w:t>
      </w:r>
      <w:r>
        <w:t xml:space="preserve"> </w:t>
      </w:r>
      <w:hyperlink r:id="rId76">
        <w:r>
          <w:rPr>
            <w:rStyle w:val="Hyperlink"/>
          </w:rPr>
          <w:t xml:space="preserve">https://doi.org/10.1109/TII.2018.2794997</w:t>
        </w:r>
      </w:hyperlink>
      <w:r>
        <w:t xml:space="preserve">.</w:t>
      </w:r>
      <w:bookmarkEnd w:id="1119"/>
    </w:p>
    <w:p>
      <w:pPr>
        <w:pStyle w:val="BodyText"/>
        <w:spacing w:after="40"/>
        <w:ind w:hanging="360" w:left="360"/>
      </w:pPr>
      <w:bookmarkStart w:id="1120" w:name="b_ref29"/>
      <w:r>
        <w:t xml:space="preserve">[29] Qian C, Xu B, Chang L, Sun B, Feng Q, Yang D, Ren Y, Wang Z. Convolutional neural network based capacity estimation using random segments of the charging curves for lithium-ion batteries. Energy 2021;227:120333.</w:t>
      </w:r>
      <w:r>
        <w:t xml:space="preserve"> </w:t>
      </w:r>
      <w:hyperlink r:id="rId77">
        <w:r>
          <w:rPr>
            <w:rStyle w:val="Hyperlink"/>
          </w:rPr>
          <w:t xml:space="preserve">https://doi.org/10.1016/j.energy.2021.120333</w:t>
        </w:r>
      </w:hyperlink>
      <w:r>
        <w:t xml:space="preserve">.</w:t>
      </w:r>
      <w:bookmarkEnd w:id="1120"/>
    </w:p>
    <w:p>
      <w:pPr>
        <w:pStyle w:val="BodyText"/>
        <w:spacing w:after="40"/>
        <w:ind w:hanging="360" w:left="360"/>
      </w:pPr>
      <w:bookmarkStart w:id="1121" w:name="b_ref30"/>
      <w:r>
        <w:t xml:space="preserve">[30] Lee G, Kwon D, Lee C. A convolutional neural network model for SOH estimation of Li-ion batteries with physical interpretability. Mechanical Systems and Signal Processing 2023;188:110004.</w:t>
      </w:r>
      <w:r>
        <w:t xml:space="preserve"> </w:t>
      </w:r>
      <w:hyperlink r:id="rId78">
        <w:r>
          <w:rPr>
            <w:rStyle w:val="Hyperlink"/>
          </w:rPr>
          <w:t xml:space="preserve">https://doi.org/10.1016/j.ymssp.2022.110004</w:t>
        </w:r>
      </w:hyperlink>
      <w:r>
        <w:t xml:space="preserve">.</w:t>
      </w:r>
      <w:bookmarkEnd w:id="1121"/>
    </w:p>
    <w:p>
      <w:pPr>
        <w:pStyle w:val="BodyText"/>
        <w:spacing w:after="40"/>
        <w:ind w:hanging="360" w:left="360"/>
      </w:pPr>
      <w:bookmarkStart w:id="1122" w:name="b_ref31"/>
      <w:r>
        <w:t xml:space="preserve">[31] Li X, Zhao M, Zhong S, Li J, Fu S, Yan Z. BMSFormer: An efficient deep learning model for online state-of-health estimation of lithium-ion batteries under high-frequency early SOC data with strong correlated single health indicator. Energy 2024;313:134030.</w:t>
      </w:r>
      <w:r>
        <w:t xml:space="preserve"> </w:t>
      </w:r>
      <w:hyperlink r:id="rId79">
        <w:r>
          <w:rPr>
            <w:rStyle w:val="Hyperlink"/>
          </w:rPr>
          <w:t xml:space="preserve">https://doi.org/10.1016/j.energy.2024.134030</w:t>
        </w:r>
      </w:hyperlink>
      <w:r>
        <w:t xml:space="preserve">.</w:t>
      </w:r>
      <w:bookmarkEnd w:id="1122"/>
    </w:p>
    <w:p>
      <w:pPr>
        <w:pStyle w:val="BodyText"/>
        <w:spacing w:after="40"/>
        <w:ind w:hanging="360" w:left="360"/>
      </w:pPr>
      <w:bookmarkStart w:id="1123" w:name="b_ref32"/>
      <w:r>
        <w:t xml:space="preserve">[32] Jia C, Tian Y, Shi Y, Jia J, Wen J, Zeng J. State of health prediction of lithium-ion batteries based on bidirectional gated recurrent unit and transformer. Energy 2023;285:129401.</w:t>
      </w:r>
      <w:r>
        <w:t xml:space="preserve"> </w:t>
      </w:r>
      <w:hyperlink r:id="rId80">
        <w:r>
          <w:rPr>
            <w:rStyle w:val="Hyperlink"/>
          </w:rPr>
          <w:t xml:space="preserve">https://doi.org/10.1016/j.energy.2023.129401</w:t>
        </w:r>
      </w:hyperlink>
      <w:r>
        <w:t xml:space="preserve">.</w:t>
      </w:r>
      <w:bookmarkEnd w:id="1123"/>
    </w:p>
    <w:p>
      <w:pPr>
        <w:pStyle w:val="BodyText"/>
        <w:spacing w:after="40"/>
        <w:ind w:hanging="360" w:left="360"/>
      </w:pPr>
      <w:bookmarkStart w:id="1124" w:name="b_ref33"/>
      <w:r>
        <w:t xml:space="preserve">[33] Zheng Y, Hu J, Chen J, Deng H, Hu W. State of health estimation for lithium battery random charging process based on CNN-GRU method. Energy Reports 2023;9:1–10.</w:t>
      </w:r>
      <w:r>
        <w:t xml:space="preserve"> </w:t>
      </w:r>
      <w:hyperlink r:id="rId81">
        <w:r>
          <w:rPr>
            <w:rStyle w:val="Hyperlink"/>
          </w:rPr>
          <w:t xml:space="preserve">https://doi.org/10.1016/j.egyr.2022.12.093</w:t>
        </w:r>
      </w:hyperlink>
      <w:r>
        <w:t xml:space="preserve">.</w:t>
      </w:r>
      <w:bookmarkEnd w:id="1124"/>
    </w:p>
    <w:p>
      <w:pPr>
        <w:pStyle w:val="BodyText"/>
        <w:spacing w:after="40"/>
        <w:ind w:hanging="360" w:left="360"/>
      </w:pPr>
      <w:bookmarkStart w:id="1125" w:name="b_ref34"/>
      <w:r>
        <w:t xml:space="preserve">[34] Vaswani A, Shazeer N, Parmar N, Uszkoreit J, Jones L, Gomez AN, Kaiser L, Polosukhin I. Attention Is All You Need. In: Advances in Neural Information Processing Systems, vol. 30; 2017.</w:t>
      </w:r>
      <w:r>
        <w:t xml:space="preserve"> </w:t>
      </w:r>
      <w:hyperlink r:id="rId82">
        <w:r>
          <w:rPr>
            <w:rStyle w:val="Hyperlink"/>
          </w:rPr>
          <w:t xml:space="preserve">https://doi.org/10.48550/arXiv.1706.03762</w:t>
        </w:r>
      </w:hyperlink>
      <w:r>
        <w:t xml:space="preserve">.</w:t>
      </w:r>
      <w:bookmarkEnd w:id="1125"/>
    </w:p>
    <w:p>
      <w:pPr>
        <w:pStyle w:val="BodyText"/>
        <w:spacing w:after="40"/>
        <w:ind w:hanging="360" w:left="360"/>
      </w:pPr>
      <w:bookmarkStart w:id="1126" w:name="b_ref35"/>
      <w:r>
        <w:t xml:space="preserve">[35] Gu X, See KW, Li P, Shan K, Wang Y, Zhao L, Lim KC, Zhang N. A novel state-of-health estimation for the lithium-ion battery using a convolutional neural network and transformer model. Energy 2023;262:125501.</w:t>
      </w:r>
      <w:r>
        <w:t xml:space="preserve"> </w:t>
      </w:r>
      <w:hyperlink r:id="rId83">
        <w:r>
          <w:rPr>
            <w:rStyle w:val="Hyperlink"/>
          </w:rPr>
          <w:t xml:space="preserve">https://doi.org/10.1016/j.energy.2022.125501</w:t>
        </w:r>
      </w:hyperlink>
      <w:r>
        <w:t xml:space="preserve">.</w:t>
      </w:r>
      <w:bookmarkEnd w:id="1126"/>
    </w:p>
    <w:p>
      <w:pPr>
        <w:pStyle w:val="BodyText"/>
        <w:spacing w:after="40"/>
        <w:ind w:hanging="360" w:left="360"/>
      </w:pPr>
      <w:bookmarkStart w:id="1127" w:name="b_ref36"/>
      <w:r>
        <w:t xml:space="preserve">[36] Bai T, Wang H. Convolutional transformer-based multiview information perception framework for lithium-ion battery state-of-health estimation. IEEE Transactions on Instrumentation and Measurement 2023;72:1–12.</w:t>
      </w:r>
      <w:r>
        <w:t xml:space="preserve"> </w:t>
      </w:r>
      <w:hyperlink r:id="rId84">
        <w:r>
          <w:rPr>
            <w:rStyle w:val="Hyperlink"/>
          </w:rPr>
          <w:t xml:space="preserve">https://doi.org/10.1109/TIM.2023.3300451</w:t>
        </w:r>
      </w:hyperlink>
      <w:r>
        <w:t xml:space="preserve">.</w:t>
      </w:r>
      <w:bookmarkEnd w:id="1127"/>
    </w:p>
    <w:p>
      <w:pPr>
        <w:pStyle w:val="BodyText"/>
        <w:spacing w:after="40"/>
        <w:ind w:hanging="360" w:left="360"/>
      </w:pPr>
      <w:bookmarkStart w:id="1128" w:name="b_ref37"/>
      <w:r>
        <w:t xml:space="preserve">[37] Chen L, Xie S, Lopes AM, Bao X. A vision transformer-based deep neural network for state of health estimation of lithium-ion batteries. International Journal of Electrical Power &amp; Energy Systems 2023;152:109233.</w:t>
      </w:r>
      <w:r>
        <w:t xml:space="preserve"> </w:t>
      </w:r>
      <w:hyperlink r:id="rId85">
        <w:r>
          <w:rPr>
            <w:rStyle w:val="Hyperlink"/>
          </w:rPr>
          <w:t xml:space="preserve">https://doi.org/10.1016/j.ijepes.2023.109233</w:t>
        </w:r>
      </w:hyperlink>
      <w:r>
        <w:t xml:space="preserve">.</w:t>
      </w:r>
      <w:bookmarkEnd w:id="1128"/>
    </w:p>
    <w:p>
      <w:pPr>
        <w:pStyle w:val="BodyText"/>
        <w:spacing w:after="40"/>
        <w:ind w:hanging="360" w:left="360"/>
      </w:pPr>
      <w:bookmarkStart w:id="1129" w:name="b_ref38"/>
      <w:r>
        <w:t xml:space="preserve">[38] Park SH, Kim SH. Physics-Informed Transformer Using Degradation-Sensitive Indicators for Long-Term State-of-Health Estimation of Lithium-Ion Batteries. Batteries 2026;12(2):48.</w:t>
      </w:r>
      <w:bookmarkEnd w:id="1129"/>
    </w:p>
    <w:p>
      <w:pPr>
        <w:pStyle w:val="BodyText"/>
        <w:spacing w:after="40"/>
        <w:ind w:hanging="360" w:left="360"/>
      </w:pPr>
      <w:bookmarkStart w:id="1130" w:name="b_ref39"/>
      <w:r>
        <w:t xml:space="preserve">[39] Tay Y, Dehghani M, Bahri D, Metzler D. Efficient Transformers: A survey. ACM Computing Surveys 2022;55(6).</w:t>
      </w:r>
      <w:r>
        <w:t xml:space="preserve"> </w:t>
      </w:r>
      <w:hyperlink r:id="rId86">
        <w:r>
          <w:rPr>
            <w:rStyle w:val="Hyperlink"/>
          </w:rPr>
          <w:t xml:space="preserve">https://doi.org/10.1145/3530811</w:t>
        </w:r>
      </w:hyperlink>
      <w:r>
        <w:t xml:space="preserve">.</w:t>
      </w:r>
      <w:bookmarkEnd w:id="1130"/>
    </w:p>
    <w:p>
      <w:pPr>
        <w:pStyle w:val="BodyText"/>
        <w:spacing w:after="40"/>
        <w:ind w:hanging="360" w:left="360"/>
      </w:pPr>
      <w:bookmarkStart w:id="1131" w:name="b_ref40"/>
      <w:r>
        <w:t xml:space="preserve">[40] Katharopoulos A, Vyas A, Pappas N, Fleuret F. Transformers are RNNs: Fast autoregressive Transformers with linear attention. In: Proceedings of the 37th International Conference on Machine Learning, PMLR 119; 2020. p. 5156–5165.</w:t>
      </w:r>
      <w:r>
        <w:t xml:space="preserve"> </w:t>
      </w:r>
      <w:hyperlink r:id="rId87">
        <w:r>
          <w:rPr>
            <w:rStyle w:val="Hyperlink"/>
          </w:rPr>
          <w:t xml:space="preserve">https://doi.org/10.48550/arXiv.2006.16236</w:t>
        </w:r>
      </w:hyperlink>
      <w:r>
        <w:t xml:space="preserve">.</w:t>
      </w:r>
      <w:bookmarkEnd w:id="1131"/>
    </w:p>
    <w:p>
      <w:pPr>
        <w:pStyle w:val="BodyText"/>
        <w:spacing w:after="40"/>
        <w:ind w:hanging="360" w:left="360"/>
      </w:pPr>
      <w:bookmarkStart w:id="1132" w:name="b_ref41"/>
      <w:r>
        <w:t xml:space="preserve">[41] Xu H, Wu L, Xiong S, Li W, Garg A, Gao L. An improved CNN-LSTM model-based state-of-health estimation approach for lithium-ion batteries. Energy 2023;276:127585.</w:t>
      </w:r>
      <w:r>
        <w:t xml:space="preserve"> </w:t>
      </w:r>
      <w:hyperlink r:id="rId88">
        <w:r>
          <w:rPr>
            <w:rStyle w:val="Hyperlink"/>
          </w:rPr>
          <w:t xml:space="preserve">https://doi.org/10.1016/j.energy.2023.127585</w:t>
        </w:r>
      </w:hyperlink>
      <w:r>
        <w:t xml:space="preserve">.</w:t>
      </w:r>
      <w:bookmarkEnd w:id="1132"/>
    </w:p>
    <w:p>
      <w:pPr>
        <w:pStyle w:val="BodyText"/>
        <w:spacing w:after="40"/>
        <w:ind w:hanging="360" w:left="360"/>
      </w:pPr>
      <w:bookmarkStart w:id="1133" w:name="b_ref42"/>
      <w:r>
        <w:t xml:space="preserve">[42] Tian Y, Wen J, Yang Y, Shi Y, Zeng J. State-of-Health Prediction of Lithium-Ion Batteries Based on CNN-BiLSTM-AM. Batteries 2022;8(10):155.</w:t>
      </w:r>
      <w:r>
        <w:t xml:space="preserve"> </w:t>
      </w:r>
      <w:hyperlink r:id="rId89">
        <w:r>
          <w:rPr>
            <w:rStyle w:val="Hyperlink"/>
          </w:rPr>
          <w:t xml:space="preserve">https://doi.org/10.3390/batteries8100155</w:t>
        </w:r>
      </w:hyperlink>
      <w:r>
        <w:t xml:space="preserve">.</w:t>
      </w:r>
      <w:bookmarkEnd w:id="1133"/>
    </w:p>
    <w:p>
      <w:pPr>
        <w:pStyle w:val="BodyText"/>
        <w:spacing w:after="40"/>
        <w:ind w:hanging="360" w:left="360"/>
      </w:pPr>
      <w:bookmarkStart w:id="1134" w:name="b_ref43"/>
      <w:r>
        <w:t xml:space="preserve">[43] Liu S, Yu H, Liao C, Li J, Lin W, Liu AX, Dustdar S. Pyraformer: Low-complexity pyramidal attention for long-range time series modeling and forecasting. In: Proceedings of the International Conference on Learning Representations; 2022.</w:t>
      </w:r>
      <w:bookmarkEnd w:id="1134"/>
    </w:p>
    <w:p>
      <w:pPr>
        <w:pStyle w:val="BodyText"/>
        <w:spacing w:after="40"/>
        <w:ind w:hanging="360" w:left="360"/>
      </w:pPr>
      <w:bookmarkStart w:id="1135" w:name="b_ref44"/>
      <w:r>
        <w:t xml:space="preserve">[44] Zheng L, Wang C, Kong L. Linear complexity randomized self-attention mechanism. In: Proceedings of the 39th International Conference on Machine Learning, PMLR 162; 2022. p. 27011–27041.</w:t>
      </w:r>
      <w:bookmarkEnd w:id="1135"/>
    </w:p>
    <w:p>
      <w:pPr>
        <w:pStyle w:val="BodyText"/>
        <w:spacing w:after="40"/>
        <w:ind w:hanging="360" w:left="360"/>
      </w:pPr>
      <w:bookmarkStart w:id="1136" w:name="b_ref45"/>
      <w:r>
        <w:t xml:space="preserve">[45] Wang H, Li H, He Z, Chen X, Liu H, Chen C. A linear-complexity deep learning framework for efficient battery state of health estimation in resource-constrained systems. Engineering Applications of Artificial Intelligence 2026;181:115420.</w:t>
      </w:r>
      <w:r>
        <w:t xml:space="preserve"> </w:t>
      </w:r>
      <w:hyperlink r:id="rId90">
        <w:r>
          <w:rPr>
            <w:rStyle w:val="Hyperlink"/>
          </w:rPr>
          <w:t xml:space="preserve">https://doi.org/10.1016/j.engappai.2026.115420</w:t>
        </w:r>
      </w:hyperlink>
      <w:r>
        <w:t xml:space="preserve">.</w:t>
      </w:r>
      <w:bookmarkEnd w:id="1136"/>
    </w:p>
    <w:p>
      <w:pPr>
        <w:pStyle w:val="BodyText"/>
        <w:spacing w:after="40"/>
        <w:ind w:hanging="360" w:left="360"/>
      </w:pPr>
      <w:bookmarkStart w:id="1137" w:name="b_ref46"/>
      <w:r>
        <w:t xml:space="preserve">[46] Han D, Ye T, Han Y, Xia Z, Pan S, Wan P, Song S, Huang G. Agent Attention: On the integration of Softmax and linear attention. In: Computer Vision—ECCV 2024, Lecture Notes in Computer Science, vol. 15108, Springer, Cham; 2025. p. 124–140.</w:t>
      </w:r>
      <w:r>
        <w:t xml:space="preserve"> </w:t>
      </w:r>
      <w:hyperlink r:id="rId91">
        <w:r>
          <w:rPr>
            <w:rStyle w:val="Hyperlink"/>
          </w:rPr>
          <w:t xml:space="preserve">https://doi.org/10.1007/978-3-031-72973-7_8</w:t>
        </w:r>
      </w:hyperlink>
      <w:r>
        <w:t xml:space="preserve">.</w:t>
      </w:r>
      <w:bookmarkEnd w:id="1137"/>
    </w:p>
    <w:p>
      <w:pPr>
        <w:pStyle w:val="BodyText"/>
        <w:spacing w:after="40"/>
        <w:ind w:hanging="360" w:left="360"/>
      </w:pPr>
      <w:bookmarkStart w:id="1138" w:name="b_ref47"/>
      <w:r>
        <w:t xml:space="preserve">[47] Lin C, Xu J, Hou J, et al. A fast data-driven battery capacity estimation method under non-constant current charging and variable temperature. Energy Storage Materials 2023;63:102967.</w:t>
      </w:r>
      <w:r>
        <w:t xml:space="preserve"> </w:t>
      </w:r>
      <w:hyperlink r:id="rId92">
        <w:r>
          <w:rPr>
            <w:rStyle w:val="Hyperlink"/>
          </w:rPr>
          <w:t xml:space="preserve">https://doi.org/10.1016/j.ensm.2023.102967</w:t>
        </w:r>
      </w:hyperlink>
      <w:r>
        <w:t xml:space="preserve">.</w:t>
      </w:r>
      <w:bookmarkEnd w:id="1138"/>
    </w:p>
    <w:p>
      <w:pPr>
        <w:pStyle w:val="BodyText"/>
        <w:spacing w:after="40"/>
        <w:ind w:hanging="360" w:left="360"/>
      </w:pPr>
      <w:bookmarkStart w:id="1139" w:name="b_ref48"/>
      <w:r>
        <w:t xml:space="preserve">[48] Dai H, Wang J, Huang Y, Lai Y, Zhu L. Lightweight state-of-health estimation of lithium-ion batteries based on statistical feature optimization. Renewable Energy 2024;222:119907.</w:t>
      </w:r>
      <w:r>
        <w:t xml:space="preserve"> </w:t>
      </w:r>
      <w:hyperlink r:id="rId93">
        <w:r>
          <w:rPr>
            <w:rStyle w:val="Hyperlink"/>
          </w:rPr>
          <w:t xml:space="preserve">https://doi.org/10.1016/j.renene.2023.119907</w:t>
        </w:r>
      </w:hyperlink>
      <w:r>
        <w:t xml:space="preserve">.</w:t>
      </w:r>
      <w:bookmarkEnd w:id="1139"/>
    </w:p>
    <w:p>
      <w:pPr>
        <w:pStyle w:val="BodyText"/>
        <w:spacing w:after="40"/>
        <w:ind w:hanging="360" w:left="360"/>
      </w:pPr>
      <w:bookmarkStart w:id="1140" w:name="b_ref49"/>
      <w:r>
        <w:t xml:space="preserve">[49] Wu J, Liu Z, Zhang Y, Lei D, Zhang B, Cao W. Data-driven state of health estimation for lithium-ion battery based on voltage variation curves. Journal of Energy Storage 2023;73:109191.</w:t>
      </w:r>
      <w:r>
        <w:t xml:space="preserve"> </w:t>
      </w:r>
      <w:hyperlink r:id="rId94">
        <w:r>
          <w:rPr>
            <w:rStyle w:val="Hyperlink"/>
          </w:rPr>
          <w:t xml:space="preserve">https://doi.org/10.1016/j.est.2023.109191</w:t>
        </w:r>
      </w:hyperlink>
      <w:r>
        <w:t xml:space="preserve">.</w:t>
      </w:r>
      <w:bookmarkEnd w:id="1140"/>
    </w:p>
    <w:p>
      <w:pPr>
        <w:pStyle w:val="BodyText"/>
        <w:spacing w:after="40"/>
        <w:ind w:hanging="360" w:left="360"/>
      </w:pPr>
      <w:bookmarkStart w:id="1141" w:name="b_ref50"/>
      <w:r>
        <w:t xml:space="preserve">[50] Wen J, Chen X, Li X, Li Y. SOH prediction of lithium battery based on IC curve feature and BP neural network. Energy 2022;261:125234.</w:t>
      </w:r>
      <w:r>
        <w:t xml:space="preserve"> </w:t>
      </w:r>
      <w:hyperlink r:id="rId95">
        <w:r>
          <w:rPr>
            <w:rStyle w:val="Hyperlink"/>
          </w:rPr>
          <w:t xml:space="preserve">https://doi.org/10.1016/j.energy.2022.125234</w:t>
        </w:r>
      </w:hyperlink>
      <w:r>
        <w:t xml:space="preserve">.</w:t>
      </w:r>
      <w:bookmarkEnd w:id="1141"/>
    </w:p>
    <w:p>
      <w:pPr>
        <w:pStyle w:val="BodyText"/>
        <w:spacing w:after="40"/>
        <w:ind w:hanging="360" w:left="360"/>
      </w:pPr>
      <w:bookmarkStart w:id="1142" w:name="b_ref51"/>
      <w:r>
        <w:t xml:space="preserve">[51] Tian Y, Dong Q, Tian J, Li X, Li G, Mehran K. Capacity estimation of lithium-ion batteries based on optimized charging voltage section and virtual sample generation. Applied Energy 2023;332:120516.</w:t>
      </w:r>
      <w:r>
        <w:t xml:space="preserve"> </w:t>
      </w:r>
      <w:hyperlink r:id="rId96">
        <w:r>
          <w:rPr>
            <w:rStyle w:val="Hyperlink"/>
          </w:rPr>
          <w:t xml:space="preserve">https://doi.org/10.1016/j.apenergy.2022.120516</w:t>
        </w:r>
      </w:hyperlink>
      <w:r>
        <w:t xml:space="preserve">.</w:t>
      </w:r>
      <w:bookmarkEnd w:id="1142"/>
    </w:p>
    <w:p>
      <w:pPr>
        <w:pStyle w:val="BodyText"/>
        <w:spacing w:after="40"/>
        <w:ind w:hanging="360" w:left="360"/>
      </w:pPr>
      <w:bookmarkStart w:id="1143" w:name="b_ref52"/>
      <w:r>
        <w:t xml:space="preserve">[52] Li X, Zhao M, Zhong S, Li J, Cui Z, Fu S, Yan Z. Deep transfer learning enabled online state-of-health estimation of lithium-ion batteries under small samples across different cathode materials, ambient temperature and charge-discharge protocols. Journal of Power Sources 2025;650:237503.</w:t>
      </w:r>
      <w:r>
        <w:t xml:space="preserve"> </w:t>
      </w:r>
      <w:hyperlink r:id="rId97">
        <w:r>
          <w:rPr>
            <w:rStyle w:val="Hyperlink"/>
          </w:rPr>
          <w:t xml:space="preserve">https://doi.org/10.1016/j.jpowsour.2025.237503</w:t>
        </w:r>
      </w:hyperlink>
      <w:r>
        <w:t xml:space="preserve">.</w:t>
      </w:r>
      <w:bookmarkEnd w:id="1143"/>
    </w:p>
    <w:p>
      <w:pPr>
        <w:pStyle w:val="BodyText"/>
        <w:spacing w:after="40"/>
        <w:ind w:hanging="360" w:left="360"/>
      </w:pPr>
      <w:bookmarkStart w:id="1144" w:name="b_ref53"/>
      <w:r>
        <w:t xml:space="preserve">[53] Tang Q, He T, Huang J, Zhu W. A novel state of health estimation method for lithium-ion battery based on multi-feature extraction and fusion model with bidirectional feature extraction. Journal of Energy Storage 2026;141:119415.</w:t>
      </w:r>
      <w:bookmarkEnd w:id="1144"/>
    </w:p>
    <w:p>
      <w:pPr>
        <w:pStyle w:val="BodyText"/>
        <w:spacing w:after="40"/>
        <w:ind w:hanging="360" w:left="360"/>
      </w:pPr>
      <w:bookmarkStart w:id="1145" w:name="b_ref54"/>
      <w:r>
        <w:t xml:space="preserve">[54] Gong Y, Lu X, Su Z, Huang Z, Quan Y, Zhang Z, Ouyang T. Correlation-aware fusion model for robust SOH estimation in lithium-ion batteries. Journal of Energy Storage 2026;149:120018.</w:t>
      </w:r>
      <w:bookmarkEnd w:id="1145"/>
    </w:p>
    <w:p>
      <w:pPr>
        <w:pStyle w:val="BodyText"/>
        <w:spacing w:after="40"/>
        <w:ind w:hanging="360" w:left="360"/>
      </w:pPr>
      <w:bookmarkStart w:id="1146" w:name="b_ref55"/>
      <w:r>
        <w:t xml:space="preserve">[55] Lin M, Ke L, Wang W, Meng J, Guan Y, Wu J. Health prognosis via feature optimization and convolutional neural network for lithium-ion batteries. Engineering Applications of Artificial Intelligence 2024;133:108666.</w:t>
      </w:r>
      <w:r>
        <w:t xml:space="preserve"> </w:t>
      </w:r>
      <w:hyperlink r:id="rId98">
        <w:r>
          <w:rPr>
            <w:rStyle w:val="Hyperlink"/>
          </w:rPr>
          <w:t xml:space="preserve">https://doi.org/10.1016/j.engappai.2024.108666</w:t>
        </w:r>
      </w:hyperlink>
      <w:r>
        <w:t xml:space="preserve">.</w:t>
      </w:r>
      <w:bookmarkEnd w:id="1146"/>
    </w:p>
    <w:p>
      <w:pPr>
        <w:pStyle w:val="BodyText"/>
        <w:spacing w:after="40"/>
        <w:ind w:hanging="360" w:left="360"/>
      </w:pPr>
      <w:bookmarkStart w:id="1147" w:name="b_ref56"/>
      <w:r>
        <w:t xml:space="preserve">[56] Ambroise C, McLachlan GJ. Selection bias in gene extraction on the basis of microarray gene-expression data. Proceedings of the National Academy of Sciences of the United States of America 2002;99(10):6562–6566.</w:t>
      </w:r>
      <w:r>
        <w:t xml:space="preserve"> </w:t>
      </w:r>
      <w:hyperlink r:id="rId99">
        <w:r>
          <w:rPr>
            <w:rStyle w:val="Hyperlink"/>
          </w:rPr>
          <w:t xml:space="preserve">https://doi.org/10.1073/pnas.102102699</w:t>
        </w:r>
      </w:hyperlink>
      <w:r>
        <w:t xml:space="preserve">.</w:t>
      </w:r>
      <w:bookmarkEnd w:id="1147"/>
    </w:p>
    <w:p>
      <w:pPr>
        <w:pStyle w:val="BodyText"/>
        <w:spacing w:after="40"/>
        <w:ind w:hanging="360" w:left="360"/>
      </w:pPr>
      <w:bookmarkStart w:id="1148" w:name="b_ref57"/>
      <w:r>
        <w:t xml:space="preserve">[57] Kaufman S, Rosset S, Perlich C, Stitelman O. Leakage in data mining: Formulation, detection, and avoidance. ACM Transactions on Knowledge Discovery from Data 2012;6(4):15.</w:t>
      </w:r>
      <w:r>
        <w:t xml:space="preserve"> </w:t>
      </w:r>
      <w:hyperlink r:id="rId100">
        <w:r>
          <w:rPr>
            <w:rStyle w:val="Hyperlink"/>
          </w:rPr>
          <w:t xml:space="preserve">https://doi.org/10.1145/2382577.2382579</w:t>
        </w:r>
      </w:hyperlink>
      <w:r>
        <w:t xml:space="preserve">.</w:t>
      </w:r>
      <w:bookmarkEnd w:id="1148"/>
    </w:p>
    <w:p>
      <w:pPr>
        <w:pStyle w:val="BodyText"/>
        <w:spacing w:after="40"/>
        <w:ind w:hanging="360" w:left="360"/>
      </w:pPr>
      <w:bookmarkStart w:id="1149" w:name="b_ref58"/>
      <w:r>
        <w:t xml:space="preserve">[58] Huang K, Yao K, Guo Y, Lv Z. State of health estimation of lithium-ion batteries based on fine-tuning or rebuilding transfer learning strategies combined with new features mining. Energy 2023;282:128739.</w:t>
      </w:r>
      <w:r>
        <w:t xml:space="preserve"> </w:t>
      </w:r>
      <w:hyperlink r:id="rId101">
        <w:r>
          <w:rPr>
            <w:rStyle w:val="Hyperlink"/>
          </w:rPr>
          <w:t xml:space="preserve">https://doi.org/10.1016/j.energy.2023.128739</w:t>
        </w:r>
      </w:hyperlink>
      <w:r>
        <w:t xml:space="preserve">.</w:t>
      </w:r>
      <w:bookmarkEnd w:id="1149"/>
    </w:p>
    <w:p>
      <w:pPr>
        <w:pStyle w:val="BodyText"/>
        <w:spacing w:after="40"/>
        <w:ind w:hanging="360" w:left="360"/>
      </w:pPr>
      <w:bookmarkStart w:id="1150" w:name="b_ref59"/>
      <w:r>
        <w:t xml:space="preserve">[59] Wang R, Song C, Gao M, Zhao J, Xu Z. Model-data fusion domain adaptation for battery state of health estimation with fewer data and simplified feature extractor. Journal of Energy Storage 2023;60:106686.</w:t>
      </w:r>
      <w:r>
        <w:t xml:space="preserve"> </w:t>
      </w:r>
      <w:hyperlink r:id="rId102">
        <w:r>
          <w:rPr>
            <w:rStyle w:val="Hyperlink"/>
          </w:rPr>
          <w:t xml:space="preserve">https://doi.org/10.1016/j.est.2023.106686</w:t>
        </w:r>
      </w:hyperlink>
      <w:r>
        <w:t xml:space="preserve">.</w:t>
      </w:r>
      <w:bookmarkEnd w:id="1150"/>
    </w:p>
    <w:p>
      <w:pPr>
        <w:pStyle w:val="BodyText"/>
        <w:spacing w:after="40"/>
        <w:ind w:hanging="360" w:left="360"/>
      </w:pPr>
      <w:bookmarkStart w:id="1151" w:name="b_ref60"/>
      <w:r>
        <w:t xml:space="preserve">[60] Birkl CR, Roberts MR, McTurk E, Bruce PG, Howey DA. Degradation diagnostics for lithium-ion cells. Journal of Power Sources 2017;341:373–386.</w:t>
      </w:r>
      <w:r>
        <w:t xml:space="preserve"> </w:t>
      </w:r>
      <w:hyperlink r:id="rId103">
        <w:r>
          <w:rPr>
            <w:rStyle w:val="Hyperlink"/>
          </w:rPr>
          <w:t xml:space="preserve">https://doi.org/10.1016/j.jpowsour.2016.12.011</w:t>
        </w:r>
      </w:hyperlink>
      <w:r>
        <w:t xml:space="preserve">.</w:t>
      </w:r>
      <w:bookmarkEnd w:id="1151"/>
    </w:p>
    <w:p>
      <w:pPr>
        <w:pStyle w:val="BodyText"/>
        <w:spacing w:after="40"/>
        <w:ind w:hanging="360" w:left="360"/>
      </w:pPr>
      <w:bookmarkStart w:id="1152" w:name="b_ref61"/>
      <w:r>
        <w:t xml:space="preserve">[61] dos Reis G, Strange C, Yadav M, Li S. Lithium-ion battery data and where to find it. Energy and AI 2021;5:100081.</w:t>
      </w:r>
      <w:r>
        <w:t xml:space="preserve"> </w:t>
      </w:r>
      <w:hyperlink r:id="rId104">
        <w:r>
          <w:rPr>
            <w:rStyle w:val="Hyperlink"/>
          </w:rPr>
          <w:t xml:space="preserve">https://doi.org/10.1016/j.egyai.2021.100081</w:t>
        </w:r>
      </w:hyperlink>
      <w:r>
        <w:t xml:space="preserve">.</w:t>
      </w:r>
      <w:bookmarkEnd w:id="1152"/>
    </w:p>
    <w:p>
      <w:pPr>
        <w:pStyle w:val="BodyText"/>
        <w:spacing w:after="40"/>
        <w:ind w:hanging="360" w:left="360"/>
      </w:pPr>
      <w:bookmarkStart w:id="1153" w:name="b_ref62"/>
      <w:r>
        <w:t xml:space="preserve">[62] Severson KA, Attia PM, Jin N, et al. Data-driven prediction of battery cycle life before capacity degradation. Nature Energy 2019;4(5):383–391.</w:t>
      </w:r>
      <w:r>
        <w:t xml:space="preserve"> </w:t>
      </w:r>
      <w:hyperlink r:id="rId105">
        <w:r>
          <w:rPr>
            <w:rStyle w:val="Hyperlink"/>
          </w:rPr>
          <w:t xml:space="preserve">https://doi.org/10.1038/s41560-019-0356-8</w:t>
        </w:r>
      </w:hyperlink>
      <w:r>
        <w:t xml:space="preserve">.</w:t>
      </w:r>
      <w:bookmarkEnd w:id="1153"/>
    </w:p>
    <w:p>
      <w:pPr>
        <w:pStyle w:val="BodyText"/>
        <w:spacing w:after="40"/>
        <w:ind w:hanging="360" w:left="360"/>
      </w:pPr>
      <w:bookmarkStart w:id="1154" w:name="b_ref63"/>
      <w:r>
        <w:t xml:space="preserve">[63] Lin C, Xu J, Shi M, Mei X. Constant current charging time based fast state-of-health estimation for lithium-ion batteries. Energy 2022;247:123556.</w:t>
      </w:r>
      <w:r>
        <w:t xml:space="preserve"> </w:t>
      </w:r>
      <w:hyperlink r:id="rId106">
        <w:r>
          <w:rPr>
            <w:rStyle w:val="Hyperlink"/>
          </w:rPr>
          <w:t xml:space="preserve">https://doi.org/10.1016/j.energy.2022.123556</w:t>
        </w:r>
      </w:hyperlink>
      <w:r>
        <w:t xml:space="preserve">.</w:t>
      </w:r>
      <w:bookmarkEnd w:id="1154"/>
    </w:p>
    <w:p>
      <w:pPr>
        <w:pStyle w:val="BodyText"/>
        <w:spacing w:after="40"/>
        <w:ind w:hanging="360" w:left="360"/>
      </w:pPr>
      <w:bookmarkStart w:id="1155" w:name="b_ref64"/>
      <w:r>
        <w:t xml:space="preserve">[64] Li D, Xing Y, Li X. Joint state of health and remaining useful life assessment of lithium-ion batteries using a novel attention mechanism-based deep learning model and multi-source optimized health indicators. Journal of Energy Storage 2026;161:121823.</w:t>
      </w:r>
      <w:bookmarkEnd w:id="1155"/>
    </w:p>
    <w:p>
      <w:pPr>
        <w:pStyle w:val="BodyText"/>
        <w:spacing w:after="40"/>
        <w:ind w:hanging="360" w:left="360"/>
      </w:pPr>
      <w:bookmarkStart w:id="1156" w:name="b_ref65"/>
      <w:r>
        <w:t xml:space="preserve">[65] Wu B, Yufit V, Merla Y, Martinez-Botas RF, Brandon NP, Offer GJ. Differential thermal voltammetry for tracking of degradation in lithium-ion batteries. Journal of Power Sources 2015;273:495–501.</w:t>
      </w:r>
      <w:r>
        <w:t xml:space="preserve"> </w:t>
      </w:r>
      <w:hyperlink r:id="rId107">
        <w:r>
          <w:rPr>
            <w:rStyle w:val="Hyperlink"/>
          </w:rPr>
          <w:t xml:space="preserve">https://doi.org/10.1016/j.jpowsour.2014.09.127</w:t>
        </w:r>
      </w:hyperlink>
      <w:r>
        <w:t xml:space="preserve">.</w:t>
      </w:r>
      <w:bookmarkEnd w:id="1156"/>
    </w:p>
    <w:p>
      <w:pPr>
        <w:pStyle w:val="BodyText"/>
        <w:spacing w:after="40"/>
        <w:ind w:hanging="360" w:left="360"/>
      </w:pPr>
      <w:bookmarkStart w:id="1157" w:name="b_ref66"/>
      <w:r>
        <w:t xml:space="preserve">[66] Lin Z, Li D, Zou Y. Energy efficiency of lithium-ion batteries: Influential factors and long-term degradation. Journal of Energy Storage 2023;74:109386.</w:t>
      </w:r>
      <w:r>
        <w:t xml:space="preserve"> </w:t>
      </w:r>
      <w:hyperlink r:id="rId108">
        <w:r>
          <w:rPr>
            <w:rStyle w:val="Hyperlink"/>
          </w:rPr>
          <w:t xml:space="preserve">https://doi.org/10.1016/j.est.2023.109386</w:t>
        </w:r>
      </w:hyperlink>
      <w:r>
        <w:t xml:space="preserve">.</w:t>
      </w:r>
      <w:bookmarkEnd w:id="1157"/>
    </w:p>
    <w:p>
      <w:pPr>
        <w:pStyle w:val="BodyText"/>
        <w:spacing w:after="40"/>
        <w:ind w:hanging="360" w:left="360"/>
      </w:pPr>
      <w:bookmarkStart w:id="1158" w:name="b_ref67"/>
      <w:r>
        <w:t xml:space="preserve">[67] Bai J, Huang J, Luo K, Yang F, Xian Y. A feature reuse based multi-model fusion method for state of health estimation of lithium-ion batteries. Journal of Energy Storage 2023;70:107965.</w:t>
      </w:r>
      <w:r>
        <w:t xml:space="preserve"> </w:t>
      </w:r>
      <w:hyperlink r:id="rId109">
        <w:r>
          <w:rPr>
            <w:rStyle w:val="Hyperlink"/>
          </w:rPr>
          <w:t xml:space="preserve">https://doi.org/10.1016/j.est.2023.107965</w:t>
        </w:r>
      </w:hyperlink>
      <w:r>
        <w:t xml:space="preserve">.</w:t>
      </w:r>
      <w:bookmarkEnd w:id="1158"/>
    </w:p>
    <w:p>
      <w:pPr>
        <w:pStyle w:val="BodyText"/>
        <w:spacing w:after="40"/>
        <w:ind w:hanging="360" w:left="360"/>
      </w:pPr>
      <w:bookmarkStart w:id="1159" w:name="b_ref68"/>
      <w:r>
        <w:t xml:space="preserve">[68] Zhang Y, Zhang D, Wu T. Method for estimating the state of health of lithium-ion batteries based on differential thermal voltammetry and sparrow search algorithm-Elman neural network. Energy Engineering 2025;122(1):203–220.</w:t>
      </w:r>
      <w:r>
        <w:t xml:space="preserve"> </w:t>
      </w:r>
      <w:hyperlink r:id="rId110">
        <w:r>
          <w:rPr>
            <w:rStyle w:val="Hyperlink"/>
          </w:rPr>
          <w:t xml:space="preserve">https://doi.org/10.32604/ee.2024.056244</w:t>
        </w:r>
      </w:hyperlink>
      <w:r>
        <w:t xml:space="preserve">.</w:t>
      </w:r>
      <w:bookmarkEnd w:id="1159"/>
    </w:p>
    <w:p>
      <w:pPr>
        <w:pStyle w:val="BodyText"/>
        <w:spacing w:after="40"/>
        <w:ind w:hanging="360" w:left="360"/>
      </w:pPr>
      <w:bookmarkStart w:id="1160" w:name="b_ref69"/>
      <w:r>
        <w:t xml:space="preserve">[69] Zou B, Wang H, Zhang T, et al. A deep learning approach for state-of-health estimation of lithium-ion batteries based on differential thermal voltammetry and attention mechanism. Frontiers in Energy Research 2023;11:1178151.</w:t>
      </w:r>
      <w:r>
        <w:t xml:space="preserve"> </w:t>
      </w:r>
      <w:hyperlink r:id="rId111">
        <w:r>
          <w:rPr>
            <w:rStyle w:val="Hyperlink"/>
          </w:rPr>
          <w:t xml:space="preserve">https://doi.org/10.3389/fenrg.2023.1178151</w:t>
        </w:r>
      </w:hyperlink>
      <w:r>
        <w:t xml:space="preserve">.</w:t>
      </w:r>
      <w:bookmarkEnd w:id="1160"/>
    </w:p>
    <w:p>
      <w:pPr>
        <w:pStyle w:val="BodyText"/>
        <w:spacing w:after="40"/>
        <w:ind w:hanging="360" w:left="360"/>
      </w:pPr>
      <w:bookmarkStart w:id="1161" w:name="b_ref70"/>
      <w:r>
        <w:t xml:space="preserve">[70] Feng H, Zhang L. A heterogeneous learner fusion method with supplementary feature for lithium-ion batteries state of health estimation. Journal of Energy Storage 2024;92:111896.</w:t>
      </w:r>
      <w:r>
        <w:t xml:space="preserve"> </w:t>
      </w:r>
      <w:hyperlink r:id="rId112">
        <w:r>
          <w:rPr>
            <w:rStyle w:val="Hyperlink"/>
          </w:rPr>
          <w:t xml:space="preserve">https://doi.org/10.1016/j.est.2024.111896</w:t>
        </w:r>
      </w:hyperlink>
      <w:r>
        <w:t xml:space="preserve">.</w:t>
      </w:r>
      <w:bookmarkEnd w:id="1161"/>
    </w:p>
    <w:p>
      <w:pPr>
        <w:pStyle w:val="BodyText"/>
        <w:spacing w:after="40"/>
        <w:ind w:hanging="360" w:left="360"/>
      </w:pPr>
      <w:bookmarkStart w:id="1162" w:name="b_ref71"/>
      <w:r>
        <w:t xml:space="preserve">[71] Chollet F. Xception: Deep learning with depthwise separable convolutions. In: Proceedings of the IEEE Conference on Computer Vision and Pattern Recognition; 2017. p. 1800–1807.</w:t>
      </w:r>
      <w:r>
        <w:t xml:space="preserve"> </w:t>
      </w:r>
      <w:hyperlink r:id="rId113">
        <w:r>
          <w:rPr>
            <w:rStyle w:val="Hyperlink"/>
          </w:rPr>
          <w:t xml:space="preserve">https://doi.org/10.1109/CVPR.2017.195</w:t>
        </w:r>
      </w:hyperlink>
      <w:r>
        <w:t xml:space="preserve">.</w:t>
      </w:r>
      <w:bookmarkEnd w:id="1162"/>
    </w:p>
    <w:p>
      <w:pPr>
        <w:pStyle w:val="BodyText"/>
        <w:spacing w:after="40"/>
        <w:ind w:hanging="360" w:left="360"/>
      </w:pPr>
      <w:bookmarkStart w:id="1163" w:name="b_ref72"/>
      <w:r>
        <w:t xml:space="preserve">[72] Sandler M, Howard A, Zhu M, Zhmoginov A, Chen L-C. MobileNetV2: Inverted residuals and linear bottlenecks. In: Proceedings of the IEEE/CVF Conference on Computer Vision and Pattern Recognition; 2018. p. 4510–4520.</w:t>
      </w:r>
      <w:r>
        <w:t xml:space="preserve"> </w:t>
      </w:r>
      <w:hyperlink r:id="rId114">
        <w:r>
          <w:rPr>
            <w:rStyle w:val="Hyperlink"/>
          </w:rPr>
          <w:t xml:space="preserve">https://doi.org/10.1109/CVPR.2018.00474</w:t>
        </w:r>
      </w:hyperlink>
      <w:r>
        <w:t xml:space="preserve">.</w:t>
      </w:r>
      <w:bookmarkEnd w:id="1163"/>
    </w:p>
    <w:p>
      <w:pPr>
        <w:pStyle w:val="BodyText"/>
        <w:spacing w:after="40"/>
        <w:ind w:hanging="360" w:left="360"/>
      </w:pPr>
      <w:bookmarkStart w:id="1164" w:name="b_ref73"/>
      <w:r>
        <w:t xml:space="preserve">[73] Zhang X, Zhou X, Lin M, Sun J. ShuffleNet: An extremely efficient convolutional neural network for mobile devices. arXiv 2017.</w:t>
      </w:r>
      <w:r>
        <w:t xml:space="preserve"> </w:t>
      </w:r>
      <w:hyperlink r:id="rId115">
        <w:r>
          <w:rPr>
            <w:rStyle w:val="Hyperlink"/>
          </w:rPr>
          <w:t xml:space="preserve">https://doi.org/10.48550/arXiv.1707.01083</w:t>
        </w:r>
      </w:hyperlink>
      <w:r>
        <w:t xml:space="preserve">.</w:t>
      </w:r>
      <w:bookmarkEnd w:id="1164"/>
    </w:p>
    <w:p>
      <w:pPr>
        <w:pStyle w:val="BodyText"/>
        <w:spacing w:after="40"/>
        <w:ind w:hanging="360" w:left="360"/>
      </w:pPr>
      <w:bookmarkStart w:id="1165" w:name="b_ref74"/>
      <w:r>
        <w:t xml:space="preserve">[74] Ma N, Zhang X, Zheng H-T, Sun J. ShuffleNet V2: Practical guidelines for efficient CNN architecture design. In: Computer Vision—ECCV 2018, Lecture Notes in Computer Science, vol. 11218, Springer, Cham; 2018. p. 116–131.</w:t>
      </w:r>
      <w:r>
        <w:t xml:space="preserve"> </w:t>
      </w:r>
      <w:hyperlink r:id="rId116">
        <w:r>
          <w:rPr>
            <w:rStyle w:val="Hyperlink"/>
          </w:rPr>
          <w:t xml:space="preserve">https://doi.org/10.1007/978-3-030-01264-9_8</w:t>
        </w:r>
      </w:hyperlink>
      <w:r>
        <w:t xml:space="preserve">.</w:t>
      </w:r>
      <w:bookmarkEnd w:id="1165"/>
    </w:p>
    <w:p>
      <w:pPr>
        <w:pStyle w:val="BodyText"/>
        <w:spacing w:after="40"/>
        <w:ind w:hanging="360" w:left="360"/>
      </w:pPr>
      <w:bookmarkStart w:id="1166" w:name="b_ref75"/>
      <w:r>
        <w:t xml:space="preserve">[75] Srivastava N, Hinton G, Krizhevsky A, Sutskever I, Salakhutdinov R. Dropout: A simple way to prevent neural networks from overfitting. Journal of Machine Learning Research 2014;15(56):1929–1958.</w:t>
      </w:r>
      <w:bookmarkEnd w:id="1166"/>
    </w:p>
    <w:p>
      <w:pPr>
        <w:pStyle w:val="BodyText"/>
        <w:spacing w:after="40"/>
        <w:ind w:hanging="360" w:left="360"/>
      </w:pPr>
      <w:bookmarkStart w:id="1167" w:name="b_ref76"/>
      <w:r>
        <w:t xml:space="preserve">[76] Chicco D, Warrens MJ, Jurman G. The coefficient of determination R-squared is more informative than SMAPE, MAE, MAPE, MSE and RMSE in regression analysis evaluation. PeerJ Computer Science 2021;7:e623.</w:t>
      </w:r>
      <w:r>
        <w:t xml:space="preserve"> </w:t>
      </w:r>
      <w:hyperlink r:id="rId117">
        <w:r>
          <w:rPr>
            <w:rStyle w:val="Hyperlink"/>
          </w:rPr>
          <w:t xml:space="preserve">https://doi.org/10.7717/peerj-cs.623</w:t>
        </w:r>
      </w:hyperlink>
      <w:r>
        <w:t xml:space="preserve">.</w:t>
      </w:r>
      <w:bookmarkEnd w:id="1167"/>
    </w:p>
    <w:p>
      <w:pPr>
        <w:pStyle w:val="BodyText"/>
        <w:spacing w:after="40"/>
        <w:ind w:hanging="360" w:left="360"/>
      </w:pPr>
      <w:bookmarkStart w:id="1168" w:name="b_ref77"/>
      <w:r>
        <w:t xml:space="preserve">[77] Li P, Zhang Z, Grosu R, Deng Z, Hou J, Rong Y, Wu R. An end-to-end neural network framework for state-of-health estimation and remaining useful life prediction of electric vehicle lithium batteries. Renewable and Sustainable Energy Reviews 2022;156:111843.</w:t>
      </w:r>
      <w:r>
        <w:t xml:space="preserve"> </w:t>
      </w:r>
      <w:hyperlink r:id="rId118">
        <w:r>
          <w:rPr>
            <w:rStyle w:val="Hyperlink"/>
          </w:rPr>
          <w:t xml:space="preserve">https://doi.org/10.1016/j.rser.2021.111843</w:t>
        </w:r>
      </w:hyperlink>
      <w:r>
        <w:t xml:space="preserve">.</w:t>
      </w:r>
      <w:bookmarkEnd w:id="1168"/>
    </w:p>
    <w:p>
      <w:pPr>
        <w:pStyle w:val="BodyText"/>
        <w:spacing w:after="40"/>
        <w:ind w:hanging="360" w:left="360"/>
      </w:pPr>
      <w:bookmarkStart w:id="1169" w:name="b_ref78"/>
      <w:r>
        <w:t xml:space="preserve">[78] Wang F, Zhai Z, Zhao Z, Di Y, Chen X. Physics-informed neural network for lithium-ion battery degradation stable modeling and prognosis. Nature Communications 2024;15:4332.</w:t>
      </w:r>
      <w:r>
        <w:t xml:space="preserve"> </w:t>
      </w:r>
      <w:hyperlink r:id="rId119">
        <w:r>
          <w:rPr>
            <w:rStyle w:val="Hyperlink"/>
          </w:rPr>
          <w:t xml:space="preserve">https://doi.org/10.1038/s41467-024-48779-z</w:t>
        </w:r>
      </w:hyperlink>
      <w:r>
        <w:t xml:space="preserve">.</w:t>
      </w:r>
      <w:bookmarkEnd w:id="1169"/>
    </w:p>
    <w:p>
      <w:pPr>
        <w:pStyle w:val="BodyText"/>
        <w:spacing w:after="40"/>
        <w:ind w:hanging="360" w:left="360"/>
      </w:pPr>
      <w:bookmarkStart w:id="1170" w:name="b_ref79"/>
      <w:r>
        <w:t xml:space="preserve">[79] Li Y, Abdel-Monem M, Gopalakrishnan R, Berecibar M, Nanini-Maury E, Omar N, van den Bossche P, Van Mierlo J. A quick on-line state of health estimation method for Li-ion battery with incremental capacity curves processed by Gaussian filter. Journal of Power Sources 2018;373:40–53.</w:t>
      </w:r>
      <w:r>
        <w:t xml:space="preserve"> </w:t>
      </w:r>
      <w:hyperlink r:id="rId120">
        <w:r>
          <w:rPr>
            <w:rStyle w:val="Hyperlink"/>
          </w:rPr>
          <w:t xml:space="preserve">https://doi.org/10.1016/j.jpowsour.2017.10.092</w:t>
        </w:r>
      </w:hyperlink>
      <w:r>
        <w:t xml:space="preserve">.</w:t>
      </w:r>
      <w:bookmarkEnd w:id="1170"/>
    </w:p>
    <w:p>
      <w:pPr>
        <w:pStyle w:val="BodyText"/>
        <w:spacing w:after="40"/>
        <w:ind w:hanging="360" w:left="360"/>
      </w:pPr>
      <w:bookmarkStart w:id="1171" w:name="b_ref80"/>
      <w:r>
        <w:t xml:space="preserve">[80] Li Z, Zhang X, Gao W. State of health estimation of lithium-ion battery during fast charging process based on BiLSTM-transformer. Energy 2024;311:133418.</w:t>
      </w:r>
      <w:r>
        <w:t xml:space="preserve"> </w:t>
      </w:r>
      <w:hyperlink r:id="rId121">
        <w:r>
          <w:rPr>
            <w:rStyle w:val="Hyperlink"/>
          </w:rPr>
          <w:t xml:space="preserve">https://doi.org/10.1016/j.energy.2024.133418</w:t>
        </w:r>
      </w:hyperlink>
      <w:r>
        <w:t xml:space="preserve">.</w:t>
      </w:r>
      <w:bookmarkEnd w:id="1171"/>
    </w:p>
    <w:p>
      <w:pPr>
        <w:pStyle w:val="BodyText"/>
        <w:spacing w:after="40"/>
        <w:ind w:hanging="360" w:left="360"/>
      </w:pPr>
      <w:bookmarkStart w:id="1172" w:name="b_ref81"/>
      <w:r>
        <w:t xml:space="preserve">[81] Peng S, Zhu J, Wu T, Tang A, Kan J, Pecht M. SOH early prediction of lithium-ion batteries based on voltage interval selection and features fusion. Energy 2024;308:132993.</w:t>
      </w:r>
      <w:r>
        <w:t xml:space="preserve"> </w:t>
      </w:r>
      <w:hyperlink r:id="rId122">
        <w:r>
          <w:rPr>
            <w:rStyle w:val="Hyperlink"/>
          </w:rPr>
          <w:t xml:space="preserve">https://doi.org/10.1016/j.energy.2024.132993</w:t>
        </w:r>
      </w:hyperlink>
      <w:r>
        <w:t xml:space="preserve">.</w:t>
      </w:r>
      <w:bookmarkEnd w:id="1172"/>
    </w:p>
    <w:p>
      <w:pPr>
        <w:pStyle w:val="BodyText"/>
        <w:spacing w:after="40"/>
        <w:ind w:hanging="360" w:left="360"/>
      </w:pPr>
      <w:bookmarkStart w:id="1173" w:name="b_ref82"/>
      <w:r>
        <w:t xml:space="preserve">[82] Li P, Zhang Z, Xiong Q, Ding B, Hou J, Luo D, Rong Y, Li S. State-of-health estimation and remaining useful life prediction for the lithium-ion battery based on a variant long short term memory neural network. Journal of Power Sources 2020;459:228069.</w:t>
      </w:r>
      <w:r>
        <w:t xml:space="preserve"> </w:t>
      </w:r>
      <w:hyperlink r:id="rId123">
        <w:r>
          <w:rPr>
            <w:rStyle w:val="Hyperlink"/>
          </w:rPr>
          <w:t xml:space="preserve">https://doi.org/10.1016/j.jpowsour.2020.228069</w:t>
        </w:r>
      </w:hyperlink>
      <w:r>
        <w:t xml:space="preserve">.</w:t>
      </w:r>
      <w:bookmarkEnd w:id="1173"/>
    </w:p>
    <w:p>
      <w:pPr>
        <w:pStyle w:val="BodyText"/>
        <w:spacing w:after="40"/>
        <w:ind w:hanging="360" w:left="360"/>
      </w:pPr>
      <w:bookmarkStart w:id="1174" w:name="b_ref83"/>
      <w:r>
        <w:t xml:space="preserve">[83] Lin M, Wu J, Meng J, Wang W, Wu J. State of health estimation with attentional long short-term memory network for lithium-ion batteries. Energy 2023;268:126706.</w:t>
      </w:r>
      <w:r>
        <w:t xml:space="preserve"> </w:t>
      </w:r>
      <w:hyperlink r:id="rId124">
        <w:r>
          <w:rPr>
            <w:rStyle w:val="Hyperlink"/>
          </w:rPr>
          <w:t xml:space="preserve">https://doi.org/10.1016/j.energy.2023.126706</w:t>
        </w:r>
      </w:hyperlink>
      <w:r>
        <w:t xml:space="preserve">.</w:t>
      </w:r>
      <w:bookmarkEnd w:id="1174"/>
    </w:p>
    <w:p>
      <w:pPr>
        <w:pStyle w:val="BodyText"/>
        <w:spacing w:after="40"/>
        <w:ind w:hanging="360" w:left="360"/>
      </w:pPr>
      <w:bookmarkStart w:id="1175" w:name="b_ref84"/>
      <w:r>
        <w:t xml:space="preserve">[84] Hou X, Guo X, Yuan Y, Zhao K, Tong L, Yuan C, Teng L. The state of health prediction of Li-ion batteries based on an improved extreme learning machine. Journal of Energy Storage 2023;70:108044.</w:t>
      </w:r>
      <w:r>
        <w:t xml:space="preserve"> </w:t>
      </w:r>
      <w:hyperlink r:id="rId125">
        <w:r>
          <w:rPr>
            <w:rStyle w:val="Hyperlink"/>
          </w:rPr>
          <w:t xml:space="preserve">https://doi.org/10.1016/j.est.2023.108044</w:t>
        </w:r>
      </w:hyperlink>
      <w:r>
        <w:t xml:space="preserve">.</w:t>
      </w:r>
      <w:bookmarkEnd w:id="1175"/>
    </w:p>
    <w:bookmarkEnd w:id="126"/>
    <w:sectPr>
      <w:footerReference w:type="default" r:id="rId37"/>
      <w:footnotePr>
        <w:numRestart w:val="eachSect"/>
      </w:footnotePr>
      <w:pgSz w:w="11906" w:h="16838"/>
      <w:pgMar w:left="1162" w:right="1162" w:top="1247" w:bottom="124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line="252" w:lineRule="auto"/>
      <w:ind w:firstLine="440"/>
      <w:jc w:val="both"/>
    </w:pPr>
    <w:rPr>
      <w:rFonts w:ascii="宋体" w:hAnsi="宋体" w:eastAsia="宋体"/>
      <w:color w:val="000000"/>
      <w:sz w:val="22"/>
    </w:rPr>
  </w:style>
  <w:style w:styleId="BodyText" w:type="paragraph">
    <w:name w:val="Body Text"/>
    <w:basedOn w:val="Normal"/>
    <w:link w:val="BodyTextChar"/>
    <w:qFormat/>
    <w:pPr>
      <w:spacing w:after="0" w:before="180" w:line="252" w:lineRule="auto"/>
      <w:ind w:firstLine="440"/>
      <w:jc w:val="both"/>
    </w:pPr>
    <w:rPr>
      <w:rFonts w:ascii="宋体" w:hAnsi="宋体" w:eastAsia="宋体"/>
      <w:color w:val="000000"/>
      <w:sz w:val="22"/>
    </w:rPr>
  </w:style>
  <w:style w:customStyle="1" w:styleId="FirstParagraph" w:type="paragraph">
    <w:name w:val="First Paragraph"/>
    <w:basedOn w:val="BodyText"/>
    <w:next w:val="BodyText"/>
    <w:qFormat/>
    <w:pPr>
      <w:spacing w:after="0" w:line="252" w:lineRule="auto"/>
      <w:ind w:firstLine="440"/>
      <w:jc w:val="both"/>
    </w:pPr>
    <w:rPr>
      <w:rFonts w:ascii="宋体" w:hAnsi="宋体" w:eastAsia="宋体"/>
      <w:color w:val="000000"/>
      <w:sz w:val="22"/>
    </w:rPr>
  </w:style>
  <w:style w:customStyle="1" w:styleId="Compact" w:type="paragraph">
    <w:name w:val="Compact"/>
    <w:basedOn w:val="BodyText"/>
    <w:qFormat/>
    <w:pPr>
      <w:spacing w:after="0" w:before="36" w:line="252" w:lineRule="auto"/>
    </w:pPr>
    <w:rPr>
      <w:rFonts w:ascii="宋体" w:hAnsi="宋体" w:eastAsia="宋体"/>
      <w:color w:val="000000"/>
      <w:sz w:val="22"/>
    </w:rPr>
  </w:style>
  <w:style w:styleId="Title" w:type="paragraph">
    <w:name w:val="Title"/>
    <w:basedOn w:val="Normal"/>
    <w:next w:val="BodyText"/>
    <w:link w:val="TitleChar"/>
    <w:uiPriority w:val="10"/>
    <w:qFormat/>
    <w:rsid w:val="00A10FD9"/>
    <w:pPr>
      <w:spacing w:after="0" w:line="252" w:lineRule="auto"/>
      <w:contextualSpacing/>
      <w:jc w:val="center"/>
    </w:pPr>
    <w:rPr>
      <w:rFonts w:asciiTheme="majorHAnsi" w:cstheme="majorBidi" w:eastAsiaTheme="majorEastAsia" w:hAnsiTheme="majorHAnsi" w:ascii="宋体" w:hAnsi="宋体" w:eastAsia="宋体"/>
      <w:color w:val="000000"/>
      <w:sz w:val="2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line="252" w:lineRule="auto"/>
    </w:pPr>
    <w:rPr>
      <w:rFonts w:cstheme="majorBidi" w:eastAsiaTheme="majorEastAsia" w:ascii="宋体" w:hAnsi="宋体" w:eastAsia="宋体"/>
      <w:color w:val="000000"/>
      <w:spacing w:val="15"/>
      <w:sz w:val="22"/>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line="252" w:lineRule="auto"/>
    </w:pPr>
    <w:rPr>
      <w:rFonts w:ascii="宋体" w:hAnsi="宋体" w:eastAsia="宋体"/>
      <w:color w:val="000000"/>
      <w:sz w:val="22"/>
      <w:szCs w:val="24"/>
    </w:rPr>
  </w:style>
  <w:style w:styleId="Date" w:type="paragraph">
    <w:name w:val="Date"/>
    <w:basedOn w:val="Title"/>
    <w:next w:val="BodyText"/>
    <w:qFormat/>
    <w:pPr>
      <w:keepNext/>
      <w:keepLines/>
      <w:spacing w:after="0" w:line="252" w:lineRule="auto"/>
    </w:pPr>
    <w:rPr>
      <w:rFonts w:ascii="宋体" w:hAnsi="宋体" w:eastAsia="宋体"/>
      <w:color w:val="000000"/>
      <w:sz w:val="22"/>
      <w:szCs w:val="24"/>
    </w:rPr>
  </w:style>
  <w:style w:customStyle="1" w:styleId="AbstractTitle" w:type="paragraph">
    <w:name w:val="Abstract Title"/>
    <w:basedOn w:val="Normal"/>
    <w:next w:val="Abstract"/>
    <w:qFormat/>
    <w:pPr>
      <w:keepNext/>
      <w:keepLines/>
      <w:spacing w:after="0" w:before="300" w:line="252" w:lineRule="auto"/>
      <w:jc w:val="center"/>
    </w:pPr>
    <w:rPr>
      <w:rFonts w:ascii="宋体" w:hAnsi="宋体" w:eastAsia="宋体"/>
      <w:b/>
      <w:color w:val="000000"/>
      <w:sz w:val="22"/>
      <w:szCs w:val="20"/>
    </w:rPr>
  </w:style>
  <w:style w:customStyle="1" w:styleId="Abstract" w:type="paragraph">
    <w:name w:val="Abstract"/>
    <w:basedOn w:val="Normal"/>
    <w:next w:val="BodyText"/>
    <w:qFormat/>
    <w:pPr>
      <w:keepNext/>
      <w:keepLines/>
      <w:spacing w:after="0" w:before="100" w:line="252" w:lineRule="auto"/>
    </w:pPr>
    <w:rPr>
      <w:rFonts w:ascii="宋体" w:hAnsi="宋体" w:eastAsia="宋体"/>
      <w:color w:val="000000"/>
      <w:sz w:val="22"/>
      <w:szCs w:val="20"/>
    </w:rPr>
  </w:style>
  <w:style w:styleId="Bibliography" w:type="paragraph">
    <w:name w:val="Bibliography"/>
    <w:basedOn w:val="Normal"/>
    <w:next w:val="Bibliography"/>
    <w:qFormat/>
    <w:pPr>
      <w:spacing w:after="0" w:line="252" w:lineRule="auto"/>
    </w:pPr>
    <w:rPr>
      <w:rFonts w:ascii="宋体" w:hAnsi="宋体" w:eastAsia="宋体"/>
      <w:color w:val="000000"/>
      <w:sz w:val="22"/>
    </w:rPr>
  </w:style>
  <w:style w:styleId="Heading1" w:type="paragraph">
    <w:name w:val="heading 1"/>
    <w:basedOn w:val="Normal"/>
    <w:next w:val="BodyText"/>
    <w:link w:val="Heading1Char"/>
    <w:uiPriority w:val="9"/>
    <w:qFormat/>
    <w:rsid w:val="00A10FD9"/>
    <w:pPr>
      <w:keepNext/>
      <w:keepLines/>
      <w:spacing w:after="80" w:before="120" w:line="252" w:lineRule="auto"/>
      <w:ind w:firstLine="0"/>
      <w:outlineLvl w:val="0"/>
    </w:pPr>
    <w:rPr>
      <w:rFonts w:asciiTheme="majorHAnsi" w:cstheme="majorBidi" w:eastAsiaTheme="majorEastAsia" w:hAnsiTheme="majorHAnsi" w:ascii="黑体" w:hAnsi="黑体" w:eastAsia="黑体"/>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20" w:line="252" w:lineRule="auto"/>
      <w:ind w:firstLine="0"/>
      <w:outlineLvl w:val="1"/>
    </w:pPr>
    <w:rPr>
      <w:rFonts w:asciiTheme="majorHAnsi" w:cstheme="majorBidi" w:eastAsiaTheme="majorEastAsia" w:hAnsiTheme="majorHAnsi" w:ascii="黑体" w:hAnsi="黑体" w:eastAsia="黑体"/>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20" w:line="252" w:lineRule="auto"/>
      <w:ind w:firstLine="0"/>
      <w:outlineLvl w:val="2"/>
    </w:pPr>
    <w:rPr>
      <w:rFonts w:cstheme="majorBidi" w:eastAsiaTheme="majorEastAsia" w:ascii="黑体" w:hAnsi="黑体" w:eastAsia="黑体"/>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80" w:line="252" w:lineRule="auto"/>
      <w:outlineLvl w:val="3"/>
    </w:pPr>
    <w:rPr>
      <w:rFonts w:cstheme="majorBidi" w:eastAsiaTheme="majorEastAsia" w:ascii="宋体" w:hAnsi="宋体" w:eastAsia="宋体"/>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0" w:before="80" w:line="252" w:lineRule="auto"/>
      <w:outlineLvl w:val="4"/>
    </w:pPr>
    <w:rPr>
      <w:rFonts w:cstheme="majorBidi" w:eastAsiaTheme="majorEastAsia" w:ascii="宋体" w:hAnsi="宋体" w:eastAsia="宋体"/>
      <w:color w:val="000000"/>
      <w:sz w:val="22"/>
    </w:rPr>
  </w:style>
  <w:style w:styleId="Heading6" w:type="paragraph">
    <w:name w:val="heading 6"/>
    <w:basedOn w:val="Normal"/>
    <w:next w:val="BodyText"/>
    <w:link w:val="Heading6Char"/>
    <w:uiPriority w:val="9"/>
    <w:semiHidden/>
    <w:unhideWhenUsed/>
    <w:qFormat/>
    <w:rsid w:val="00A10FD9"/>
    <w:pPr>
      <w:keepNext/>
      <w:keepLines/>
      <w:spacing w:after="0" w:before="40" w:line="252" w:lineRule="auto"/>
      <w:outlineLvl w:val="5"/>
    </w:pPr>
    <w:rPr>
      <w:rFonts w:cstheme="majorBidi" w:eastAsiaTheme="majorEastAsia" w:ascii="宋体" w:hAnsi="宋体" w:eastAsia="宋体"/>
      <w:i/>
      <w:iCs/>
      <w:color w:val="000000"/>
      <w:sz w:val="22"/>
    </w:rPr>
  </w:style>
  <w:style w:styleId="Heading7" w:type="paragraph">
    <w:name w:val="heading 7"/>
    <w:basedOn w:val="Normal"/>
    <w:next w:val="BodyText"/>
    <w:link w:val="Heading7Char"/>
    <w:uiPriority w:val="9"/>
    <w:semiHidden/>
    <w:unhideWhenUsed/>
    <w:qFormat/>
    <w:rsid w:val="00A10FD9"/>
    <w:pPr>
      <w:keepNext/>
      <w:keepLines/>
      <w:spacing w:after="0" w:before="40" w:line="252" w:lineRule="auto"/>
      <w:outlineLvl w:val="6"/>
    </w:pPr>
    <w:rPr>
      <w:rFonts w:cstheme="majorBidi" w:eastAsiaTheme="majorEastAsia" w:ascii="宋体" w:hAnsi="宋体" w:eastAsia="宋体"/>
      <w:color w:val="000000"/>
      <w:sz w:val="22"/>
    </w:rPr>
  </w:style>
  <w:style w:styleId="Heading8" w:type="paragraph">
    <w:name w:val="heading 8"/>
    <w:basedOn w:val="Normal"/>
    <w:next w:val="BodyText"/>
    <w:link w:val="Heading8Char"/>
    <w:uiPriority w:val="9"/>
    <w:semiHidden/>
    <w:unhideWhenUsed/>
    <w:qFormat/>
    <w:rsid w:val="00A10FD9"/>
    <w:pPr>
      <w:keepNext/>
      <w:keepLines/>
      <w:spacing w:after="0" w:line="252" w:lineRule="auto"/>
      <w:outlineLvl w:val="7"/>
    </w:pPr>
    <w:rPr>
      <w:rFonts w:cstheme="majorBidi" w:eastAsiaTheme="majorEastAsia" w:ascii="宋体" w:hAnsi="宋体" w:eastAsia="宋体"/>
      <w:i/>
      <w:iCs/>
      <w:color w:val="000000"/>
      <w:sz w:val="22"/>
    </w:rPr>
  </w:style>
  <w:style w:styleId="Heading9" w:type="paragraph">
    <w:name w:val="heading 9"/>
    <w:basedOn w:val="Normal"/>
    <w:next w:val="BodyText"/>
    <w:link w:val="Heading9Char"/>
    <w:uiPriority w:val="9"/>
    <w:semiHidden/>
    <w:unhideWhenUsed/>
    <w:qFormat/>
    <w:rsid w:val="00A10FD9"/>
    <w:pPr>
      <w:keepNext/>
      <w:keepLines/>
      <w:spacing w:after="0" w:line="252" w:lineRule="auto"/>
      <w:outlineLvl w:val="8"/>
    </w:pPr>
    <w:rPr>
      <w:rFonts w:cstheme="majorBidi" w:eastAsiaTheme="majorEastAsia" w:ascii="宋体" w:hAnsi="宋体" w:eastAsia="宋体"/>
      <w:color w:val="000000"/>
      <w:sz w:val="22"/>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100" w:line="252" w:lineRule="auto"/>
      <w:ind w:firstLine="0" w:left="480" w:right="480"/>
    </w:pPr>
    <w:rPr>
      <w:rFonts w:ascii="宋体" w:hAnsi="宋体" w:eastAsia="宋体"/>
      <w:color w:val="000000"/>
      <w:sz w:val="22"/>
    </w:rPr>
  </w:style>
  <w:style w:styleId="FootnoteText" w:type="paragraph">
    <w:name w:val="Footnote Text"/>
    <w:basedOn w:val="Normal"/>
    <w:next w:val="FootnoteText"/>
    <w:uiPriority w:val="9"/>
    <w:unhideWhenUsed/>
    <w:qFormat/>
    <w:pPr>
      <w:spacing w:after="0" w:line="252" w:lineRule="auto"/>
    </w:pPr>
    <w:rPr>
      <w:rFonts w:ascii="宋体" w:hAnsi="宋体" w:eastAsia="宋体"/>
      <w:color w:val="000000"/>
      <w:sz w:val="22"/>
    </w:rPr>
  </w:style>
  <w:style w:styleId="FootnoteBlockText" w:type="paragraph">
    <w:name w:val="Footnote Block Text"/>
    <w:basedOn w:val="FootnoteText"/>
    <w:next w:val="FootnoteText"/>
    <w:uiPriority w:val="9"/>
    <w:unhideWhenUsed/>
    <w:qFormat/>
    <w:pPr>
      <w:spacing w:after="0" w:before="100" w:line="252" w:lineRule="auto"/>
      <w:ind w:firstLine="0" w:left="480" w:right="480"/>
    </w:pPr>
    <w:rPr>
      <w:rFonts w:ascii="宋体" w:hAnsi="宋体" w:eastAsia="宋体"/>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252" w:lineRule="auto"/>
    </w:pPr>
    <w:rPr>
      <w:rFonts w:ascii="宋体" w:hAnsi="宋体" w:eastAsia="宋体"/>
      <w:b/>
      <w:color w:val="000000"/>
      <w:sz w:val="22"/>
    </w:rPr>
  </w:style>
  <w:style w:customStyle="1" w:styleId="Definition" w:type="paragraph">
    <w:name w:val="Definition"/>
    <w:basedOn w:val="Normal"/>
    <w:pPr>
      <w:spacing w:after="0" w:line="252" w:lineRule="auto"/>
    </w:pPr>
    <w:rPr>
      <w:rFonts w:ascii="宋体" w:hAnsi="宋体" w:eastAsia="宋体"/>
      <w:color w:val="000000"/>
      <w:sz w:val="22"/>
    </w:rPr>
  </w:style>
  <w:style w:styleId="Caption" w:type="paragraph">
    <w:name w:val="Caption"/>
    <w:basedOn w:val="Normal"/>
    <w:link w:val="BodyTextChar"/>
    <w:pPr>
      <w:spacing w:after="0" w:before="0" w:line="252" w:lineRule="auto"/>
    </w:pPr>
    <w:rPr>
      <w:rFonts w:ascii="宋体" w:hAnsi="宋体" w:eastAsia="宋体"/>
      <w:i/>
      <w:color w:val="000000"/>
      <w:sz w:val="22"/>
    </w:rPr>
  </w:style>
  <w:style w:customStyle="1" w:styleId="TableCaption" w:type="paragraph">
    <w:name w:val="Table Caption"/>
    <w:basedOn w:val="Caption"/>
    <w:pPr>
      <w:keepNext/>
      <w:spacing w:after="0" w:line="252" w:lineRule="auto"/>
    </w:pPr>
    <w:rPr>
      <w:rFonts w:ascii="宋体" w:hAnsi="宋体" w:eastAsia="宋体"/>
      <w:color w:val="000000"/>
      <w:sz w:val="22"/>
    </w:rPr>
  </w:style>
  <w:style w:customStyle="1" w:styleId="ImageCaption" w:type="paragraph">
    <w:name w:val="Image Caption"/>
    <w:basedOn w:val="Caption"/>
    <w:pPr>
      <w:spacing w:after="0" w:line="252" w:lineRule="auto"/>
    </w:pPr>
    <w:rPr>
      <w:rFonts w:ascii="宋体" w:hAnsi="宋体" w:eastAsia="宋体"/>
      <w:color w:val="000000"/>
      <w:sz w:val="22"/>
    </w:rPr>
  </w:style>
  <w:style w:customStyle="1" w:styleId="Figure" w:type="paragraph">
    <w:name w:val="Figure"/>
    <w:basedOn w:val="Normal"/>
    <w:pPr>
      <w:spacing w:after="0" w:line="252" w:lineRule="auto"/>
    </w:pPr>
    <w:rPr>
      <w:rFonts w:ascii="宋体" w:hAnsi="宋体" w:eastAsia="宋体"/>
      <w:color w:val="000000"/>
      <w:sz w:val="22"/>
    </w:rPr>
  </w:style>
  <w:style w:customStyle="1" w:styleId="CaptionedFigure" w:type="paragraph">
    <w:name w:val="Captioned Figure"/>
    <w:basedOn w:val="Figure"/>
    <w:pPr>
      <w:keepNext/>
      <w:spacing w:after="0" w:line="252" w:lineRule="auto"/>
    </w:pPr>
    <w:rPr>
      <w:rFonts w:ascii="宋体" w:hAnsi="宋体" w:eastAsia="宋体"/>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2" w:lineRule="auto" w:after="0"/>
      <w:outlineLvl w:val="9"/>
    </w:pPr>
    <w:rPr>
      <w:rFonts w:asciiTheme="majorHAnsi" w:cstheme="majorBidi" w:eastAsiaTheme="majorEastAsia" w:hAnsiTheme="majorHAnsi" w:ascii="宋体" w:hAnsi="宋体" w:eastAsia="宋体"/>
      <w:b w:val="0"/>
      <w:bCs w:val="0"/>
      <w:color w:val="000000"/>
      <w:sz w:val="22"/>
    </w:rPr>
  </w:style>
  <w:style w:type="paragraph" w:customStyle="1" w:styleId="SourceCode">
    <w:name w:val="Source Code"/>
    <w:basedOn w:val="Normal"/>
    <w:link w:val="VerbatimChar"/>
    <w:pPr>
      <w:wordWrap w:val="off"/>
      <w:spacing w:after="0" w:line="252" w:lineRule="auto"/>
    </w:pPr>
    <w:rPr>
      <w:rFonts w:ascii="宋体" w:hAnsi="宋体" w:eastAsia="宋体"/>
      <w:color w:val="000000"/>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6" Type="http://schemas.openxmlformats.org/officeDocument/2006/relationships/hyperlink" Target="https://doi.org/10.1007/978-3-030-01264-9_8" TargetMode="External"/><Relationship Id="rId91" Type="http://schemas.openxmlformats.org/officeDocument/2006/relationships/hyperlink" Target="https://doi.org/10.1007/978-3-031-72973-7_8" TargetMode="External"/><Relationship Id="rId69" Type="http://schemas.openxmlformats.org/officeDocument/2006/relationships/hyperlink" Target="https://doi.org/10.1016/j.apenergy.2018.01.011" TargetMode="External"/><Relationship Id="rId75" Type="http://schemas.openxmlformats.org/officeDocument/2006/relationships/hyperlink" Target="https://doi.org/10.1016/j.apenergy.2018.09.182" TargetMode="External"/><Relationship Id="rId64" Type="http://schemas.openxmlformats.org/officeDocument/2006/relationships/hyperlink" Target="https://doi.org/10.1016/j.apenergy.2021.118348" TargetMode="External"/><Relationship Id="rId55" Type="http://schemas.openxmlformats.org/officeDocument/2006/relationships/hyperlink" Target="https://doi.org/10.1016/j.apenergy.2022.120224" TargetMode="External"/><Relationship Id="rId96" Type="http://schemas.openxmlformats.org/officeDocument/2006/relationships/hyperlink" Target="https://doi.org/10.1016/j.apenergy.2022.120516" TargetMode="External"/><Relationship Id="rId104" Type="http://schemas.openxmlformats.org/officeDocument/2006/relationships/hyperlink" Target="https://doi.org/10.1016/j.egyai.2021.100081" TargetMode="External"/><Relationship Id="rId81" Type="http://schemas.openxmlformats.org/officeDocument/2006/relationships/hyperlink" Target="https://doi.org/10.1016/j.egyr.2022.12.093" TargetMode="External"/><Relationship Id="rId68" Type="http://schemas.openxmlformats.org/officeDocument/2006/relationships/hyperlink" Target="https://doi.org/10.1016/j.energy.2017.10.097" TargetMode="External"/><Relationship Id="rId74" Type="http://schemas.openxmlformats.org/officeDocument/2006/relationships/hyperlink" Target="https://doi.org/10.1016/j.energy.2021.120205" TargetMode="External"/><Relationship Id="rId77" Type="http://schemas.openxmlformats.org/officeDocument/2006/relationships/hyperlink" Target="https://doi.org/10.1016/j.energy.2021.120333" TargetMode="External"/><Relationship Id="rId106" Type="http://schemas.openxmlformats.org/officeDocument/2006/relationships/hyperlink" Target="https://doi.org/10.1016/j.energy.2022.123556" TargetMode="External"/><Relationship Id="rId95" Type="http://schemas.openxmlformats.org/officeDocument/2006/relationships/hyperlink" Target="https://doi.org/10.1016/j.energy.2022.125234" TargetMode="External"/><Relationship Id="rId83" Type="http://schemas.openxmlformats.org/officeDocument/2006/relationships/hyperlink" Target="https://doi.org/10.1016/j.energy.2022.125501" TargetMode="External"/><Relationship Id="rId124" Type="http://schemas.openxmlformats.org/officeDocument/2006/relationships/hyperlink" Target="https://doi.org/10.1016/j.energy.2023.126706" TargetMode="External"/><Relationship Id="rId88" Type="http://schemas.openxmlformats.org/officeDocument/2006/relationships/hyperlink" Target="https://doi.org/10.1016/j.energy.2023.127585" TargetMode="External"/><Relationship Id="rId101" Type="http://schemas.openxmlformats.org/officeDocument/2006/relationships/hyperlink" Target="https://doi.org/10.1016/j.energy.2023.128739" TargetMode="External"/><Relationship Id="rId80" Type="http://schemas.openxmlformats.org/officeDocument/2006/relationships/hyperlink" Target="https://doi.org/10.1016/j.energy.2023.129401" TargetMode="External"/><Relationship Id="rId122" Type="http://schemas.openxmlformats.org/officeDocument/2006/relationships/hyperlink" Target="https://doi.org/10.1016/j.energy.2024.132993" TargetMode="External"/><Relationship Id="rId121" Type="http://schemas.openxmlformats.org/officeDocument/2006/relationships/hyperlink" Target="https://doi.org/10.1016/j.energy.2024.133418" TargetMode="External"/><Relationship Id="rId79" Type="http://schemas.openxmlformats.org/officeDocument/2006/relationships/hyperlink" Target="https://doi.org/10.1016/j.energy.2024.134030" TargetMode="External"/><Relationship Id="rId98" Type="http://schemas.openxmlformats.org/officeDocument/2006/relationships/hyperlink" Target="https://doi.org/10.1016/j.engappai.2024.108666" TargetMode="External"/><Relationship Id="rId90" Type="http://schemas.openxmlformats.org/officeDocument/2006/relationships/hyperlink" Target="https://doi.org/10.1016/j.engappai.2026.115420" TargetMode="External"/><Relationship Id="rId57" Type="http://schemas.openxmlformats.org/officeDocument/2006/relationships/hyperlink" Target="https://doi.org/10.1016/j.engfailanal.2017.09.003" TargetMode="External"/><Relationship Id="rId92" Type="http://schemas.openxmlformats.org/officeDocument/2006/relationships/hyperlink" Target="https://doi.org/10.1016/j.ensm.2023.102967" TargetMode="External"/><Relationship Id="rId71" Type="http://schemas.openxmlformats.org/officeDocument/2006/relationships/hyperlink" Target="https://doi.org/10.1016/j.est.2019.01.005" TargetMode="External"/><Relationship Id="rId70" Type="http://schemas.openxmlformats.org/officeDocument/2006/relationships/hyperlink" Target="https://doi.org/10.1016/j.est.2021.103528" TargetMode="External"/><Relationship Id="rId63" Type="http://schemas.openxmlformats.org/officeDocument/2006/relationships/hyperlink" Target="https://doi.org/10.1016/j.est.2022.106193" TargetMode="External"/><Relationship Id="rId102" Type="http://schemas.openxmlformats.org/officeDocument/2006/relationships/hyperlink" Target="https://doi.org/10.1016/j.est.2023.106686" TargetMode="External"/><Relationship Id="rId109" Type="http://schemas.openxmlformats.org/officeDocument/2006/relationships/hyperlink" Target="https://doi.org/10.1016/j.est.2023.107965" TargetMode="External"/><Relationship Id="rId125" Type="http://schemas.openxmlformats.org/officeDocument/2006/relationships/hyperlink" Target="https://doi.org/10.1016/j.est.2023.108044" TargetMode="External"/><Relationship Id="rId94" Type="http://schemas.openxmlformats.org/officeDocument/2006/relationships/hyperlink" Target="https://doi.org/10.1016/j.est.2023.109191" TargetMode="External"/><Relationship Id="rId108" Type="http://schemas.openxmlformats.org/officeDocument/2006/relationships/hyperlink" Target="https://doi.org/10.1016/j.est.2023.109386" TargetMode="External"/><Relationship Id="rId112" Type="http://schemas.openxmlformats.org/officeDocument/2006/relationships/hyperlink" Target="https://doi.org/10.1016/j.est.2024.111896" TargetMode="External"/><Relationship Id="rId52" Type="http://schemas.openxmlformats.org/officeDocument/2006/relationships/hyperlink" Target="https://doi.org/10.1016/j.geits.2022.100041" TargetMode="External"/><Relationship Id="rId85" Type="http://schemas.openxmlformats.org/officeDocument/2006/relationships/hyperlink" Target="https://doi.org/10.1016/j.ijepes.2023.109233" TargetMode="External"/><Relationship Id="rId60" Type="http://schemas.openxmlformats.org/officeDocument/2006/relationships/hyperlink" Target="https://doi.org/10.1016/j.jclepro.2020.120813" TargetMode="External"/><Relationship Id="rId62" Type="http://schemas.openxmlformats.org/officeDocument/2006/relationships/hyperlink" Target="https://doi.org/10.1016/j.jechem.2022.06.049" TargetMode="External"/><Relationship Id="rId65" Type="http://schemas.openxmlformats.org/officeDocument/2006/relationships/hyperlink" Target="https://doi.org/10.1016/j.joule.2019.11.018" TargetMode="External"/><Relationship Id="rId49" Type="http://schemas.openxmlformats.org/officeDocument/2006/relationships/hyperlink" Target="https://doi.org/10.1016/j.jpowsour.2009.11.048" TargetMode="External"/><Relationship Id="rId66" Type="http://schemas.openxmlformats.org/officeDocument/2006/relationships/hyperlink" Target="https://doi.org/10.1016/j.jpowsour.2011.08.040" TargetMode="External"/><Relationship Id="rId53" Type="http://schemas.openxmlformats.org/officeDocument/2006/relationships/hyperlink" Target="https://doi.org/10.1016/j.jpowsour.2013.05.040" TargetMode="External"/><Relationship Id="rId107" Type="http://schemas.openxmlformats.org/officeDocument/2006/relationships/hyperlink" Target="https://doi.org/10.1016/j.jpowsour.2014.09.127" TargetMode="External"/><Relationship Id="rId103" Type="http://schemas.openxmlformats.org/officeDocument/2006/relationships/hyperlink" Target="https://doi.org/10.1016/j.jpowsour.2016.12.011" TargetMode="External"/><Relationship Id="rId120" Type="http://schemas.openxmlformats.org/officeDocument/2006/relationships/hyperlink" Target="https://doi.org/10.1016/j.jpowsour.2017.10.092" TargetMode="External"/><Relationship Id="rId123" Type="http://schemas.openxmlformats.org/officeDocument/2006/relationships/hyperlink" Target="https://doi.org/10.1016/j.jpowsour.2020.228069" TargetMode="External"/><Relationship Id="rId56" Type="http://schemas.openxmlformats.org/officeDocument/2006/relationships/hyperlink" Target="https://doi.org/10.1016/j.jpowsour.2021.230262" TargetMode="External"/><Relationship Id="rId97" Type="http://schemas.openxmlformats.org/officeDocument/2006/relationships/hyperlink" Target="https://doi.org/10.1016/j.jpowsour.2025.237503" TargetMode="External"/><Relationship Id="rId72" Type="http://schemas.openxmlformats.org/officeDocument/2006/relationships/hyperlink" Target="https://doi.org/10.1016/j.measurement.2017.11.016" TargetMode="External"/><Relationship Id="rId59" Type="http://schemas.openxmlformats.org/officeDocument/2006/relationships/hyperlink" Target="https://doi.org/10.1016/j.measurement.2021.109057" TargetMode="External"/><Relationship Id="rId54" Type="http://schemas.openxmlformats.org/officeDocument/2006/relationships/hyperlink" Target="https://doi.org/10.1016/j.pnsc.2018.11.002" TargetMode="External"/><Relationship Id="rId93" Type="http://schemas.openxmlformats.org/officeDocument/2006/relationships/hyperlink" Target="https://doi.org/10.1016/j.renene.2023.119907" TargetMode="External"/><Relationship Id="rId67" Type="http://schemas.openxmlformats.org/officeDocument/2006/relationships/hyperlink" Target="https://doi.org/10.1016/j.rser.2020.110015" TargetMode="External"/><Relationship Id="rId118" Type="http://schemas.openxmlformats.org/officeDocument/2006/relationships/hyperlink" Target="https://doi.org/10.1016/j.rser.2021.111843" TargetMode="External"/><Relationship Id="rId78" Type="http://schemas.openxmlformats.org/officeDocument/2006/relationships/hyperlink" Target="https://doi.org/10.1016/j.ymssp.2022.110004" TargetMode="External"/><Relationship Id="rId61" Type="http://schemas.openxmlformats.org/officeDocument/2006/relationships/hyperlink" Target="https://doi.org/10.1038/s41467-023-38458-w" TargetMode="External"/><Relationship Id="rId119" Type="http://schemas.openxmlformats.org/officeDocument/2006/relationships/hyperlink" Target="https://doi.org/10.1038/s41467-024-48779-z" TargetMode="External"/><Relationship Id="rId105" Type="http://schemas.openxmlformats.org/officeDocument/2006/relationships/hyperlink" Target="https://doi.org/10.1038/s41560-019-0356-8" TargetMode="External"/><Relationship Id="rId50" Type="http://schemas.openxmlformats.org/officeDocument/2006/relationships/hyperlink" Target="https://doi.org/10.1039/C8TA10513H" TargetMode="External"/><Relationship Id="rId58" Type="http://schemas.openxmlformats.org/officeDocument/2006/relationships/hyperlink" Target="https://doi.org/10.1039/D2EE03019E" TargetMode="External"/><Relationship Id="rId99" Type="http://schemas.openxmlformats.org/officeDocument/2006/relationships/hyperlink" Target="https://doi.org/10.1073/pnas.102102699" TargetMode="External"/><Relationship Id="rId113" Type="http://schemas.openxmlformats.org/officeDocument/2006/relationships/hyperlink" Target="https://doi.org/10.1109/CVPR.2017.195" TargetMode="External"/><Relationship Id="rId114" Type="http://schemas.openxmlformats.org/officeDocument/2006/relationships/hyperlink" Target="https://doi.org/10.1109/CVPR.2018.00474" TargetMode="External"/><Relationship Id="rId76" Type="http://schemas.openxmlformats.org/officeDocument/2006/relationships/hyperlink" Target="https://doi.org/10.1109/TII.2018.2794997" TargetMode="External"/><Relationship Id="rId84" Type="http://schemas.openxmlformats.org/officeDocument/2006/relationships/hyperlink" Target="https://doi.org/10.1109/TIM.2023.3300451" TargetMode="External"/><Relationship Id="rId100" Type="http://schemas.openxmlformats.org/officeDocument/2006/relationships/hyperlink" Target="https://doi.org/10.1145/2382577.2382579" TargetMode="External"/><Relationship Id="rId86" Type="http://schemas.openxmlformats.org/officeDocument/2006/relationships/hyperlink" Target="https://doi.org/10.1145/3530811" TargetMode="External"/><Relationship Id="rId51" Type="http://schemas.openxmlformats.org/officeDocument/2006/relationships/hyperlink" Target="https://doi.org/10.1149/1945-7111/abf05f" TargetMode="External"/><Relationship Id="rId110" Type="http://schemas.openxmlformats.org/officeDocument/2006/relationships/hyperlink" Target="https://doi.org/10.32604/ee.2024.056244" TargetMode="External"/><Relationship Id="rId111" Type="http://schemas.openxmlformats.org/officeDocument/2006/relationships/hyperlink" Target="https://doi.org/10.3389/fenrg.2023.1178151" TargetMode="External"/><Relationship Id="rId89" Type="http://schemas.openxmlformats.org/officeDocument/2006/relationships/hyperlink" Target="https://doi.org/10.3390/batteries8100155" TargetMode="External"/><Relationship Id="rId82" Type="http://schemas.openxmlformats.org/officeDocument/2006/relationships/hyperlink" Target="https://doi.org/10.48550/arXiv.1706.03762" TargetMode="External"/><Relationship Id="rId115" Type="http://schemas.openxmlformats.org/officeDocument/2006/relationships/hyperlink" Target="https://doi.org/10.48550/arXiv.1707.01083" TargetMode="External"/><Relationship Id="rId87" Type="http://schemas.openxmlformats.org/officeDocument/2006/relationships/hyperlink" Target="https://doi.org/10.48550/arXiv.2006.16236" TargetMode="External"/><Relationship Id="rId73" Type="http://schemas.openxmlformats.org/officeDocument/2006/relationships/hyperlink" Target="https://doi.org/10.48550/arXiv.2102.00837" TargetMode="External"/><Relationship Id="rId117" Type="http://schemas.openxmlformats.org/officeDocument/2006/relationships/hyperlink" Target="https://doi.org/10.7717/peerj-cs.623"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footer" Target="footer1.xml"/></Relationships>
</file>

<file path=word/_rels/footnotes.xml.rels><?xml version='1.0' encoding='UTF-8' standalone='yes'?>
<Relationships xmlns="http://schemas.openxmlformats.org/package/2006/relationships"><Relationship Id="rId116" Type="http://schemas.openxmlformats.org/officeDocument/2006/relationships/hyperlink" Target="https://doi.org/10.1007/978-3-030-01264-9_8" TargetMode="External"/><Relationship Id="rId91" Type="http://schemas.openxmlformats.org/officeDocument/2006/relationships/hyperlink" Target="https://doi.org/10.1007/978-3-031-72973-7_8" TargetMode="External"/><Relationship Id="rId69" Type="http://schemas.openxmlformats.org/officeDocument/2006/relationships/hyperlink" Target="https://doi.org/10.1016/j.apenergy.2018.01.011" TargetMode="External"/><Relationship Id="rId75" Type="http://schemas.openxmlformats.org/officeDocument/2006/relationships/hyperlink" Target="https://doi.org/10.1016/j.apenergy.2018.09.182" TargetMode="External"/><Relationship Id="rId64" Type="http://schemas.openxmlformats.org/officeDocument/2006/relationships/hyperlink" Target="https://doi.org/10.1016/j.apenergy.2021.118348" TargetMode="External"/><Relationship Id="rId55" Type="http://schemas.openxmlformats.org/officeDocument/2006/relationships/hyperlink" Target="https://doi.org/10.1016/j.apenergy.2022.120224" TargetMode="External"/><Relationship Id="rId96" Type="http://schemas.openxmlformats.org/officeDocument/2006/relationships/hyperlink" Target="https://doi.org/10.1016/j.apenergy.2022.120516" TargetMode="External"/><Relationship Id="rId104" Type="http://schemas.openxmlformats.org/officeDocument/2006/relationships/hyperlink" Target="https://doi.org/10.1016/j.egyai.2021.100081" TargetMode="External"/><Relationship Id="rId81" Type="http://schemas.openxmlformats.org/officeDocument/2006/relationships/hyperlink" Target="https://doi.org/10.1016/j.egyr.2022.12.093" TargetMode="External"/><Relationship Id="rId68" Type="http://schemas.openxmlformats.org/officeDocument/2006/relationships/hyperlink" Target="https://doi.org/10.1016/j.energy.2017.10.097" TargetMode="External"/><Relationship Id="rId74" Type="http://schemas.openxmlformats.org/officeDocument/2006/relationships/hyperlink" Target="https://doi.org/10.1016/j.energy.2021.120205" TargetMode="External"/><Relationship Id="rId77" Type="http://schemas.openxmlformats.org/officeDocument/2006/relationships/hyperlink" Target="https://doi.org/10.1016/j.energy.2021.120333" TargetMode="External"/><Relationship Id="rId106" Type="http://schemas.openxmlformats.org/officeDocument/2006/relationships/hyperlink" Target="https://doi.org/10.1016/j.energy.2022.123556" TargetMode="External"/><Relationship Id="rId95" Type="http://schemas.openxmlformats.org/officeDocument/2006/relationships/hyperlink" Target="https://doi.org/10.1016/j.energy.2022.125234" TargetMode="External"/><Relationship Id="rId83" Type="http://schemas.openxmlformats.org/officeDocument/2006/relationships/hyperlink" Target="https://doi.org/10.1016/j.energy.2022.125501" TargetMode="External"/><Relationship Id="rId124" Type="http://schemas.openxmlformats.org/officeDocument/2006/relationships/hyperlink" Target="https://doi.org/10.1016/j.energy.2023.126706" TargetMode="External"/><Relationship Id="rId88" Type="http://schemas.openxmlformats.org/officeDocument/2006/relationships/hyperlink" Target="https://doi.org/10.1016/j.energy.2023.127585" TargetMode="External"/><Relationship Id="rId101" Type="http://schemas.openxmlformats.org/officeDocument/2006/relationships/hyperlink" Target="https://doi.org/10.1016/j.energy.2023.128739" TargetMode="External"/><Relationship Id="rId80" Type="http://schemas.openxmlformats.org/officeDocument/2006/relationships/hyperlink" Target="https://doi.org/10.1016/j.energy.2023.129401" TargetMode="External"/><Relationship Id="rId122" Type="http://schemas.openxmlformats.org/officeDocument/2006/relationships/hyperlink" Target="https://doi.org/10.1016/j.energy.2024.132993" TargetMode="External"/><Relationship Id="rId121" Type="http://schemas.openxmlformats.org/officeDocument/2006/relationships/hyperlink" Target="https://doi.org/10.1016/j.energy.2024.133418" TargetMode="External"/><Relationship Id="rId79" Type="http://schemas.openxmlformats.org/officeDocument/2006/relationships/hyperlink" Target="https://doi.org/10.1016/j.energy.2024.134030" TargetMode="External"/><Relationship Id="rId98" Type="http://schemas.openxmlformats.org/officeDocument/2006/relationships/hyperlink" Target="https://doi.org/10.1016/j.engappai.2024.108666" TargetMode="External"/><Relationship Id="rId90" Type="http://schemas.openxmlformats.org/officeDocument/2006/relationships/hyperlink" Target="https://doi.org/10.1016/j.engappai.2026.115420" TargetMode="External"/><Relationship Id="rId57" Type="http://schemas.openxmlformats.org/officeDocument/2006/relationships/hyperlink" Target="https://doi.org/10.1016/j.engfailanal.2017.09.003" TargetMode="External"/><Relationship Id="rId92" Type="http://schemas.openxmlformats.org/officeDocument/2006/relationships/hyperlink" Target="https://doi.org/10.1016/j.ensm.2023.102967" TargetMode="External"/><Relationship Id="rId71" Type="http://schemas.openxmlformats.org/officeDocument/2006/relationships/hyperlink" Target="https://doi.org/10.1016/j.est.2019.01.005" TargetMode="External"/><Relationship Id="rId70" Type="http://schemas.openxmlformats.org/officeDocument/2006/relationships/hyperlink" Target="https://doi.org/10.1016/j.est.2021.103528" TargetMode="External"/><Relationship Id="rId63" Type="http://schemas.openxmlformats.org/officeDocument/2006/relationships/hyperlink" Target="https://doi.org/10.1016/j.est.2022.106193" TargetMode="External"/><Relationship Id="rId102" Type="http://schemas.openxmlformats.org/officeDocument/2006/relationships/hyperlink" Target="https://doi.org/10.1016/j.est.2023.106686" TargetMode="External"/><Relationship Id="rId109" Type="http://schemas.openxmlformats.org/officeDocument/2006/relationships/hyperlink" Target="https://doi.org/10.1016/j.est.2023.107965" TargetMode="External"/><Relationship Id="rId125" Type="http://schemas.openxmlformats.org/officeDocument/2006/relationships/hyperlink" Target="https://doi.org/10.1016/j.est.2023.108044" TargetMode="External"/><Relationship Id="rId94" Type="http://schemas.openxmlformats.org/officeDocument/2006/relationships/hyperlink" Target="https://doi.org/10.1016/j.est.2023.109191" TargetMode="External"/><Relationship Id="rId108" Type="http://schemas.openxmlformats.org/officeDocument/2006/relationships/hyperlink" Target="https://doi.org/10.1016/j.est.2023.109386" TargetMode="External"/><Relationship Id="rId112" Type="http://schemas.openxmlformats.org/officeDocument/2006/relationships/hyperlink" Target="https://doi.org/10.1016/j.est.2024.111896" TargetMode="External"/><Relationship Id="rId52" Type="http://schemas.openxmlformats.org/officeDocument/2006/relationships/hyperlink" Target="https://doi.org/10.1016/j.geits.2022.100041" TargetMode="External"/><Relationship Id="rId85" Type="http://schemas.openxmlformats.org/officeDocument/2006/relationships/hyperlink" Target="https://doi.org/10.1016/j.ijepes.2023.109233" TargetMode="External"/><Relationship Id="rId60" Type="http://schemas.openxmlformats.org/officeDocument/2006/relationships/hyperlink" Target="https://doi.org/10.1016/j.jclepro.2020.120813" TargetMode="External"/><Relationship Id="rId62" Type="http://schemas.openxmlformats.org/officeDocument/2006/relationships/hyperlink" Target="https://doi.org/10.1016/j.jechem.2022.06.049" TargetMode="External"/><Relationship Id="rId65" Type="http://schemas.openxmlformats.org/officeDocument/2006/relationships/hyperlink" Target="https://doi.org/10.1016/j.joule.2019.11.018" TargetMode="External"/><Relationship Id="rId49" Type="http://schemas.openxmlformats.org/officeDocument/2006/relationships/hyperlink" Target="https://doi.org/10.1016/j.jpowsour.2009.11.048" TargetMode="External"/><Relationship Id="rId66" Type="http://schemas.openxmlformats.org/officeDocument/2006/relationships/hyperlink" Target="https://doi.org/10.1016/j.jpowsour.2011.08.040" TargetMode="External"/><Relationship Id="rId53" Type="http://schemas.openxmlformats.org/officeDocument/2006/relationships/hyperlink" Target="https://doi.org/10.1016/j.jpowsour.2013.05.040" TargetMode="External"/><Relationship Id="rId107" Type="http://schemas.openxmlformats.org/officeDocument/2006/relationships/hyperlink" Target="https://doi.org/10.1016/j.jpowsour.2014.09.127" TargetMode="External"/><Relationship Id="rId103" Type="http://schemas.openxmlformats.org/officeDocument/2006/relationships/hyperlink" Target="https://doi.org/10.1016/j.jpowsour.2016.12.011" TargetMode="External"/><Relationship Id="rId120" Type="http://schemas.openxmlformats.org/officeDocument/2006/relationships/hyperlink" Target="https://doi.org/10.1016/j.jpowsour.2017.10.092" TargetMode="External"/><Relationship Id="rId123" Type="http://schemas.openxmlformats.org/officeDocument/2006/relationships/hyperlink" Target="https://doi.org/10.1016/j.jpowsour.2020.228069" TargetMode="External"/><Relationship Id="rId56" Type="http://schemas.openxmlformats.org/officeDocument/2006/relationships/hyperlink" Target="https://doi.org/10.1016/j.jpowsour.2021.230262" TargetMode="External"/><Relationship Id="rId97" Type="http://schemas.openxmlformats.org/officeDocument/2006/relationships/hyperlink" Target="https://doi.org/10.1016/j.jpowsour.2025.237503" TargetMode="External"/><Relationship Id="rId72" Type="http://schemas.openxmlformats.org/officeDocument/2006/relationships/hyperlink" Target="https://doi.org/10.1016/j.measurement.2017.11.016" TargetMode="External"/><Relationship Id="rId59" Type="http://schemas.openxmlformats.org/officeDocument/2006/relationships/hyperlink" Target="https://doi.org/10.1016/j.measurement.2021.109057" TargetMode="External"/><Relationship Id="rId54" Type="http://schemas.openxmlformats.org/officeDocument/2006/relationships/hyperlink" Target="https://doi.org/10.1016/j.pnsc.2018.11.002" TargetMode="External"/><Relationship Id="rId93" Type="http://schemas.openxmlformats.org/officeDocument/2006/relationships/hyperlink" Target="https://doi.org/10.1016/j.renene.2023.119907" TargetMode="External"/><Relationship Id="rId67" Type="http://schemas.openxmlformats.org/officeDocument/2006/relationships/hyperlink" Target="https://doi.org/10.1016/j.rser.2020.110015" TargetMode="External"/><Relationship Id="rId118" Type="http://schemas.openxmlformats.org/officeDocument/2006/relationships/hyperlink" Target="https://doi.org/10.1016/j.rser.2021.111843" TargetMode="External"/><Relationship Id="rId78" Type="http://schemas.openxmlformats.org/officeDocument/2006/relationships/hyperlink" Target="https://doi.org/10.1016/j.ymssp.2022.110004" TargetMode="External"/><Relationship Id="rId61" Type="http://schemas.openxmlformats.org/officeDocument/2006/relationships/hyperlink" Target="https://doi.org/10.1038/s41467-023-38458-w" TargetMode="External"/><Relationship Id="rId119" Type="http://schemas.openxmlformats.org/officeDocument/2006/relationships/hyperlink" Target="https://doi.org/10.1038/s41467-024-48779-z" TargetMode="External"/><Relationship Id="rId105" Type="http://schemas.openxmlformats.org/officeDocument/2006/relationships/hyperlink" Target="https://doi.org/10.1038/s41560-019-0356-8" TargetMode="External"/><Relationship Id="rId50" Type="http://schemas.openxmlformats.org/officeDocument/2006/relationships/hyperlink" Target="https://doi.org/10.1039/C8TA10513H" TargetMode="External"/><Relationship Id="rId58" Type="http://schemas.openxmlformats.org/officeDocument/2006/relationships/hyperlink" Target="https://doi.org/10.1039/D2EE03019E" TargetMode="External"/><Relationship Id="rId99" Type="http://schemas.openxmlformats.org/officeDocument/2006/relationships/hyperlink" Target="https://doi.org/10.1073/pnas.102102699" TargetMode="External"/><Relationship Id="rId113" Type="http://schemas.openxmlformats.org/officeDocument/2006/relationships/hyperlink" Target="https://doi.org/10.1109/CVPR.2017.195" TargetMode="External"/><Relationship Id="rId114" Type="http://schemas.openxmlformats.org/officeDocument/2006/relationships/hyperlink" Target="https://doi.org/10.1109/CVPR.2018.00474" TargetMode="External"/><Relationship Id="rId76" Type="http://schemas.openxmlformats.org/officeDocument/2006/relationships/hyperlink" Target="https://doi.org/10.1109/TII.2018.2794997" TargetMode="External"/><Relationship Id="rId84" Type="http://schemas.openxmlformats.org/officeDocument/2006/relationships/hyperlink" Target="https://doi.org/10.1109/TIM.2023.3300451" TargetMode="External"/><Relationship Id="rId100" Type="http://schemas.openxmlformats.org/officeDocument/2006/relationships/hyperlink" Target="https://doi.org/10.1145/2382577.2382579" TargetMode="External"/><Relationship Id="rId86" Type="http://schemas.openxmlformats.org/officeDocument/2006/relationships/hyperlink" Target="https://doi.org/10.1145/3530811" TargetMode="External"/><Relationship Id="rId51" Type="http://schemas.openxmlformats.org/officeDocument/2006/relationships/hyperlink" Target="https://doi.org/10.1149/1945-7111/abf05f" TargetMode="External"/><Relationship Id="rId110" Type="http://schemas.openxmlformats.org/officeDocument/2006/relationships/hyperlink" Target="https://doi.org/10.32604/ee.2024.056244" TargetMode="External"/><Relationship Id="rId111" Type="http://schemas.openxmlformats.org/officeDocument/2006/relationships/hyperlink" Target="https://doi.org/10.3389/fenrg.2023.1178151" TargetMode="External"/><Relationship Id="rId89" Type="http://schemas.openxmlformats.org/officeDocument/2006/relationships/hyperlink" Target="https://doi.org/10.3390/batteries8100155" TargetMode="External"/><Relationship Id="rId82" Type="http://schemas.openxmlformats.org/officeDocument/2006/relationships/hyperlink" Target="https://doi.org/10.48550/arXiv.1706.03762" TargetMode="External"/><Relationship Id="rId115" Type="http://schemas.openxmlformats.org/officeDocument/2006/relationships/hyperlink" Target="https://doi.org/10.48550/arXiv.1707.01083" TargetMode="External"/><Relationship Id="rId87" Type="http://schemas.openxmlformats.org/officeDocument/2006/relationships/hyperlink" Target="https://doi.org/10.48550/arXiv.2006.16236" TargetMode="External"/><Relationship Id="rId73" Type="http://schemas.openxmlformats.org/officeDocument/2006/relationships/hyperlink" Target="https://doi.org/10.48550/arXiv.2102.00837" TargetMode="External"/><Relationship Id="rId117" Type="http://schemas.openxmlformats.org/officeDocument/2006/relationships/hyperlink" Target="https://doi.org/10.7717/peerj-cs.6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2026-09-11T17:11:41Z</dcterms:created>
  <dcterms:modified xsi:type="dcterms:W3CDTF">2026-09-11T17:11:41Z</dcterms:modified>
</cp:coreProperties>
</file>

<file path=docProps/custom.xml><?xml version="1.0" encoding="utf-8"?>
<Properties xmlns="http://schemas.openxmlformats.org/officeDocument/2006/custom-properties" xmlns:vt="http://schemas.openxmlformats.org/officeDocument/2006/docPropsVTypes"/>
</file>