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SourceSerif4-bold.ttf" ContentType="application/x-font-ttf"/>
  <Override PartName="/word/fonts/SourceSerif4-boldItalic.ttf" ContentType="application/x-font-ttf"/>
  <Override PartName="/word/fonts/SourceSerif4-italic.ttf" ContentType="application/x-font-ttf"/>
  <Override PartName="/word/fonts/SourceSerif4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20"/>
        <w:jc w:val="center"/>
      </w:pPr>
      <w:r>
        <w:rPr>
          <w:rFonts w:ascii="Lato" w:hAnsi="Lato"/>
          <w:b/>
          <w:i w:val="0"/>
          <w:color w:val="64748B"/>
          <w:sz w:val="23"/>
        </w:rPr>
        <w:t>CURRICULUM VITAE</w:t>
      </w:r>
    </w:p>
    <w:p>
      <w:pPr>
        <w:spacing w:before="0" w:after="40"/>
        <w:jc w:val="center"/>
      </w:pPr>
      <w:r>
        <w:rPr>
          <w:rFonts w:ascii="Lato" w:hAnsi="Lato"/>
          <w:b/>
          <w:i w:val="0"/>
          <w:color w:val="0F2B5C"/>
          <w:sz w:val="38"/>
        </w:rPr>
        <w:t>ALBERTO YÉPIZ</w:t>
      </w:r>
    </w:p>
    <w:p>
      <w:pPr>
        <w:spacing w:before="0" w:after="30"/>
        <w:jc w:val="center"/>
      </w:pPr>
      <w:r>
        <w:rPr>
          <w:rFonts w:ascii="Lato" w:hAnsi="Lato"/>
          <w:b w:val="0"/>
          <w:i w:val="0"/>
          <w:color w:val="1E293B"/>
          <w:sz w:val="18"/>
        </w:rPr>
        <w:t>Hermosillo, Sonora, México  •  +52 (662) 114-7374  •  yepzhi@gmail.com  •  https://yepzhi.com</w:t>
      </w:r>
    </w:p>
    <w:p>
      <w:pPr>
        <w:spacing w:before="0" w:after="60"/>
        <w:jc w:val="center"/>
      </w:pPr>
      <w:r>
        <w:rPr>
          <w:rFonts w:ascii="Lato" w:hAnsi="Lato"/>
          <w:b w:val="0"/>
          <w:i w:val="0"/>
          <w:color w:val="1D4ED8"/>
          <w:sz w:val="18"/>
        </w:rPr>
        <w:t>LinkedIn: linkedin.com/in/yepzhi  •  GitHub: github.com/yepzhi  •  Ecosistema &amp; Desarrollos: yepzhi.com/hub</w:t>
      </w:r>
    </w:p>
    <w:p>
      <w:pPr>
        <w:spacing w:before="0" w:after="120"/>
        <w:jc w:val="center"/>
      </w:pPr>
      <w:r>
        <w:rPr>
          <w:rFonts w:ascii="Lato" w:hAnsi="Lato"/>
          <w:b/>
          <w:i w:val="0"/>
          <w:color w:val="0F2B5C"/>
          <w:sz w:val="18"/>
        </w:rPr>
        <w:t>Español (Nativo)  •  Inglés Profesional Avanzado (CEFR B2, ETS TOEIC)  •  Especialización en Semiconductores (ASU)</w:t>
      </w:r>
    </w:p>
    <w:tbl>
      <w:tblPr>
        <w:tblStyle w:val="Table1"/>
        <w:tblW w:w="1051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4"/>
        <w:tblGridChange w:id="0">
          <w:tblGrid>
            <w:gridCol w:w="1051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  <w:shd w:fill="F8FAFC" w:val="clear"/>
          </w:tcPr>
          <w:p>
            <w:pPr>
              <w:spacing w:before="60" w:after="60"/>
            </w:pPr>
            <w:r>
              <w:rPr>
                <w:rFonts w:ascii="Lato" w:hAnsi="Lato"/>
                <w:b/>
                <w:i w:val="0"/>
                <w:color w:val="0F2B5C"/>
                <w:sz w:val="20"/>
              </w:rPr>
              <w:t>Resumen de trayectoria (Investigador / Creador Solicitante):</w:t>
            </w:r>
          </w:p>
          <w:p>
            <w:pPr>
              <w:spacing w:before="0" w:after="60" w:line="271" w:lineRule="auto"/>
              <w:jc w:val="both"/>
            </w:pPr>
            <w:r>
              <w:rPr>
                <w:rFonts w:ascii="Lato" w:hAnsi="Lato"/>
                <w:b w:val="0"/>
                <w:i w:val="0"/>
                <w:color w:val="1E293B"/>
                <w:sz w:val="18"/>
              </w:rPr>
              <w:t>Alberto Yépiz es un innovador educativo, creador tecnológico y estratega en alianzas con más de 15 años de trayectoria en la intersección entre EdTech, ciencia aplicada y desarrollo de plataformas digitales. Cuenta con formación de MBA y Licenciatura en Finanzas por la Universidad de Sonora, certificación en Data Science &amp; Agile Systems for Product Management por la University of Maryland, acreditación en inglés para la industria de semiconductores por Arizona State University (ASU) y dominio certificado de inglés profesional B2 (ETS TOEIC).</w:t>
              <w:br/>
              <w:br/>
              <w:t>En los últimos 5 años ha enfocado su labor en la investigación aplicada y la creación de infraestructura pedagógica de nueva generación. Es autor de la obra 'Fundamentos de Ciencia y Tecnología' (ISBN 978-607-29-5085-6 / BlueBook), obra matriz de 173 páginas sobre la que concibió la metodología SIIP NextGen y fundó JóvenesSTEM: iniciativa social y plataforma interactiva (jsweb) con más de 230 módulos de aprendizaje socrático, sistema de insignias de poder y estándares NGSS/CONOCER. Diseñó asimismo el EntryTest diagnóstico y stemOS, una Learning Experience Platform (LXP) con arquitectura local de IA generativa orientada al cierre de la brecha de talento técnico en semiconductores y computación. A través de Lovelace Feynman Technologies S.A.P.I. de C.V., promueve el desarrollo de tecnologías formativas abiertas.</w:t>
              <w:br/>
              <w:br/>
              <w:t>En el sector institucional, como líder estratégico en Richmond Pro (Grupo Santillana), ha encabezado alianzas de impacto con más de siete universidades tecnológicas y politécnicas (UTES/UPES) para la certificación lingüística internacional ETS TOEIC, escalando el desarrollo territorial con reconocimiento a la innovación de producto. Como divulgador científico y conferencista, ha impartido ponencias ante más de 3,000 asistentes en foros y ferias científicas en articulación con consejos estatales de ciencia y tecnología (COECyT Sonora, Zacatecas y CODEICYVET Veracruz).</w:t>
            </w:r>
          </w:p>
        </w:tc>
      </w:tr>
    </w:tbl>
    <w:p>
      <w:pPr>
        <w:keepNext/>
        <w:spacing w:before="170" w:after="50"/>
        <w:pBdr>
          <w:bottom w:val="single" w:sz="8" w:space="2" w:color="0F2B5C"/>
        </w:pBdr>
      </w:pPr>
      <w:r>
        <w:rPr>
          <w:rFonts w:ascii="Lato" w:hAnsi="Lato"/>
          <w:b/>
          <w:i w:val="0"/>
          <w:color w:val="0F2B5C"/>
          <w:sz w:val="22"/>
        </w:rPr>
        <w:t>I. LÍNEAS DE INVESTIGACIÓN Y CREACIÓN APLICADA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Tecnologías Educativas (EdTech) y Aprendizaje Adaptativo: </w:t>
      </w:r>
      <w:r>
        <w:rPr>
          <w:rFonts w:ascii="Lato" w:hAnsi="Lato"/>
          <w:b w:val="0"/>
          <w:i w:val="0"/>
          <w:color w:val="1E293B"/>
          <w:sz w:val="19"/>
        </w:rPr>
        <w:t>Diseño e implementación de Learning Experience Platforms (LXP/LMS) con rutas dinámicas para reducir la brecha de competencias técnicas en América Latina.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Inteligencia Artificial Generativa y Pedagogía Socrática: </w:t>
      </w:r>
      <w:r>
        <w:rPr>
          <w:rFonts w:ascii="Lato" w:hAnsi="Lato"/>
          <w:b w:val="0"/>
          <w:i w:val="0"/>
          <w:color w:val="1E293B"/>
          <w:sz w:val="19"/>
        </w:rPr>
        <w:t>Implementación y ajuste fino de modelos de lenguaje en infraestructura local (GenAI on-premise) para la evaluación socrática en tiempo real y gobernanza ética de datos.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Microcredenciales y Ecosistema de Semiconductores: </w:t>
      </w:r>
      <w:r>
        <w:rPr>
          <w:rFonts w:ascii="Lato" w:hAnsi="Lato"/>
          <w:b w:val="0"/>
          <w:i w:val="0"/>
          <w:color w:val="1E293B"/>
          <w:sz w:val="19"/>
        </w:rPr>
        <w:t>Articulación curricular y metodológica de competencias técnicas para la cadena de valor de semiconductores (diseño, manufactura, ensamble y pruebas avanzadas).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Divulgación Temprana y Pensamiento Computacional: </w:t>
      </w:r>
      <w:r>
        <w:rPr>
          <w:rFonts w:ascii="Lato" w:hAnsi="Lato"/>
          <w:b w:val="0"/>
          <w:i w:val="0"/>
          <w:color w:val="1E293B"/>
          <w:sz w:val="19"/>
        </w:rPr>
        <w:t>Diseño instruccional para democratizar el acceso a la ciencia de frontera (física de la materia, telecomunicaciones, lógica algorítmica) en jóvenes de nivel medio y medio superior.</w:t>
      </w:r>
    </w:p>
    <w:p>
      <w:pPr>
        <w:keepNext/>
        <w:spacing w:before="170" w:after="50"/>
        <w:pBdr>
          <w:bottom w:val="single" w:sz="8" w:space="2" w:color="0F2B5C"/>
        </w:pBdr>
      </w:pPr>
      <w:r>
        <w:rPr>
          <w:rFonts w:ascii="Lato" w:hAnsi="Lato"/>
          <w:b/>
          <w:i w:val="0"/>
          <w:color w:val="0F2B5C"/>
          <w:sz w:val="22"/>
        </w:rPr>
        <w:t>II. EXPERIENCIA PROFESIONAL (ÉNFASIS EN LOS ÚLTIMOS 5 AÑOS)</w:t>
      </w:r>
    </w:p>
    <w:p>
      <w:pPr>
        <w:keepNext/>
        <w:spacing w:before="90" w:after="30"/>
      </w:pPr>
      <w:r>
        <w:rPr>
          <w:rFonts w:ascii="Lato" w:hAnsi="Lato"/>
          <w:b/>
          <w:i w:val="0"/>
          <w:color w:val="0F2B5C"/>
          <w:sz w:val="20"/>
        </w:rPr>
        <w:t>Richmond Pro, ELT México (Grupo Santillana)</w:t>
      </w:r>
      <w:r>
        <w:rPr>
          <w:rFonts w:ascii="Lato" w:hAnsi="Lato"/>
          <w:b w:val="0"/>
          <w:i w:val="0"/>
          <w:color w:val="1E293B"/>
          <w:sz w:val="19"/>
        </w:rPr>
        <w:t xml:space="preserve"> | Regional Strategic Partnerships &amp; EdTech Product Strategist</w:t>
      </w:r>
      <w:r>
        <w:rPr>
          <w:rFonts w:ascii="Lato" w:hAnsi="Lato"/>
          <w:b w:val="0"/>
          <w:i/>
          <w:color w:val="64748B"/>
          <w:sz w:val="18"/>
        </w:rPr>
        <w:t xml:space="preserve">  [Mayo 2019 – Presente]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Expansión territorial 6X: </w:t>
      </w:r>
      <w:r>
        <w:rPr>
          <w:rFonts w:ascii="Lato" w:hAnsi="Lato"/>
          <w:b w:val="0"/>
          <w:i w:val="0"/>
          <w:color w:val="1E293B"/>
          <w:sz w:val="19"/>
        </w:rPr>
        <w:t>Lideró el crecimiento estratégico en el Noroeste y Centro de México, escalando ingresos anuales de MXN $3M a más de MXN $20M mediante desarrollo de canales, prospección institucional y cierre de convenios a nivel rectoría.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Alianzas universitarias de alto impacto: </w:t>
      </w:r>
      <w:r>
        <w:rPr>
          <w:rFonts w:ascii="Lato" w:hAnsi="Lato"/>
          <w:b w:val="0"/>
          <w:i w:val="0"/>
          <w:color w:val="1E293B"/>
          <w:sz w:val="19"/>
        </w:rPr>
        <w:t>Construyó y consolidó la red de cuentas clave universitarias (UT Tijuana, ITESCA, UT Hermosillo, UT Nogales, UT Guaymas, IT Hermosillo, IT Mexicali), además de cultivar relaciones ejecutivas con UTCJ y UABC.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Implementación del programa ETS TOEIC: </w:t>
      </w:r>
      <w:r>
        <w:rPr>
          <w:rFonts w:ascii="Lato" w:hAnsi="Lato"/>
          <w:b w:val="0"/>
          <w:i w:val="0"/>
          <w:color w:val="1E293B"/>
          <w:sz w:val="19"/>
        </w:rPr>
        <w:t>Coordinó y lanzó el programa de certificación lingüística internacional ETS TOEIC en UT Tijuana (más de 4,000 estudiantes y docentes acreditados) y su posterior escalamiento a más de 7 universidades tecnológicas y politécnicas.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Coordinación internacional y de producto: </w:t>
      </w:r>
      <w:r>
        <w:rPr>
          <w:rFonts w:ascii="Lato" w:hAnsi="Lato"/>
          <w:b w:val="0"/>
          <w:i w:val="0"/>
          <w:color w:val="1E293B"/>
          <w:sz w:val="19"/>
        </w:rPr>
        <w:t>Enlace estratégico con equipos globales de ETS (Princeton, NJ) y Avallain (Suiza/UK), optimizando la entrega tecnológica y la experiencia del usuario (CX/UX).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Premio 'Most Innovative Team Member': </w:t>
      </w:r>
      <w:r>
        <w:rPr>
          <w:rFonts w:ascii="Lato" w:hAnsi="Lato"/>
          <w:b w:val="0"/>
          <w:i w:val="0"/>
          <w:color w:val="1E293B"/>
          <w:sz w:val="19"/>
        </w:rPr>
        <w:t>Reconocimiento otorgado por el Country Manager de Santillana México por la conceptualización e implementación de soluciones digitales con IA, flujos automatizados y herramientas CRM propietarias (RProDash).</w:t>
      </w:r>
    </w:p>
    <w:p>
      <w:pPr>
        <w:keepNext/>
        <w:spacing w:before="90" w:after="30"/>
      </w:pPr>
      <w:r>
        <w:rPr>
          <w:rFonts w:ascii="Lato" w:hAnsi="Lato"/>
          <w:b/>
          <w:i w:val="0"/>
          <w:color w:val="0F2B5C"/>
          <w:sz w:val="20"/>
        </w:rPr>
        <w:t>JóvenesSTEM</w:t>
      </w:r>
      <w:r>
        <w:rPr>
          <w:rFonts w:ascii="Lato" w:hAnsi="Lato"/>
          <w:b w:val="0"/>
          <w:i w:val="0"/>
          <w:color w:val="1E293B"/>
          <w:sz w:val="19"/>
        </w:rPr>
        <w:t xml:space="preserve"> | Fundador y Director General (CEO)</w:t>
      </w:r>
      <w:r>
        <w:rPr>
          <w:rFonts w:ascii="Lato" w:hAnsi="Lato"/>
          <w:b w:val="0"/>
          <w:i/>
          <w:color w:val="64748B"/>
          <w:sz w:val="18"/>
        </w:rPr>
        <w:t xml:space="preserve">  [Marzo 2025 – Presente]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Creación y escalamiento integral: </w:t>
      </w:r>
      <w:r>
        <w:rPr>
          <w:rFonts w:ascii="Lato" w:hAnsi="Lato"/>
          <w:b w:val="0"/>
          <w:i w:val="0"/>
          <w:color w:val="1E293B"/>
          <w:sz w:val="19"/>
        </w:rPr>
        <w:t>Fundó y escaló de manera independiente una iniciativa y plataforma EdTech bilingüe, gratuita y sin fines de lucro para educación STEM dirigida a jóvenes de 12 a 18 años en México, América Latina y EE.UU.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Plataforma digital y tutoría IA (jsweb): </w:t>
      </w:r>
      <w:r>
        <w:rPr>
          <w:rFonts w:ascii="Lato" w:hAnsi="Lato"/>
          <w:b w:val="0"/>
          <w:i w:val="0"/>
          <w:color w:val="1E293B"/>
          <w:sz w:val="19"/>
        </w:rPr>
        <w:t>Arquitectura e implementación técnica de la plataforma JóvenesSTEM Web, integrando 230 módulos interactivos, el asistente evaluador STEMBot con IA socrática y sistema de insignias de acreditación técnica.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Vinculación con consejos estatales de ciencia: </w:t>
      </w:r>
      <w:r>
        <w:rPr>
          <w:rFonts w:ascii="Lato" w:hAnsi="Lato"/>
          <w:b w:val="0"/>
          <w:i w:val="0"/>
          <w:color w:val="1E293B"/>
          <w:sz w:val="19"/>
        </w:rPr>
        <w:t>Estableció convenios de colaboración y pruebas piloto con el Consejo Veracruzano de Investigación Científica y Desarrollo Tecnológico (CODEICYVET), el Consejo Estatal de Ciencia y Tecnología de Zacatecas (COECYT) y COECYT Sonora.</w:t>
      </w:r>
    </w:p>
    <w:p>
      <w:pPr>
        <w:keepNext/>
        <w:spacing w:before="90" w:after="30"/>
      </w:pPr>
      <w:r>
        <w:rPr>
          <w:rFonts w:ascii="Lato" w:hAnsi="Lato"/>
          <w:b/>
          <w:i w:val="0"/>
          <w:color w:val="0F2B5C"/>
          <w:sz w:val="20"/>
        </w:rPr>
        <w:t>Lovelace Feynman Technologies S.A.P.I. de C.V.</w:t>
      </w:r>
      <w:r>
        <w:rPr>
          <w:rFonts w:ascii="Lato" w:hAnsi="Lato"/>
          <w:b w:val="0"/>
          <w:i w:val="0"/>
          <w:color w:val="1E293B"/>
          <w:sz w:val="19"/>
        </w:rPr>
        <w:t xml:space="preserve"> | Fundador y Director de Tecnología Educativa</w:t>
      </w:r>
      <w:r>
        <w:rPr>
          <w:rFonts w:ascii="Lato" w:hAnsi="Lato"/>
          <w:b w:val="0"/>
          <w:i/>
          <w:color w:val="64748B"/>
          <w:sz w:val="18"/>
        </w:rPr>
        <w:t xml:space="preserve">  [2024 – Presente]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Infraestructura de aprendizaje socrático: </w:t>
      </w:r>
      <w:r>
        <w:rPr>
          <w:rFonts w:ascii="Lato" w:hAnsi="Lato"/>
          <w:b w:val="0"/>
          <w:i w:val="0"/>
          <w:color w:val="1E293B"/>
          <w:sz w:val="19"/>
        </w:rPr>
        <w:t>Dirección del desarrollo de infraestructura tecnológica para la enseñanza de física cuántica, computación avanzada y matemáticas a través de simuladores visuales (Quantum Wave Sandbox) y pedagogía interactiva guiada por IA.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Desarrollo de stemOS LXP: </w:t>
      </w:r>
      <w:r>
        <w:rPr>
          <w:rFonts w:ascii="Lato" w:hAnsi="Lato"/>
          <w:b w:val="0"/>
          <w:i w:val="0"/>
          <w:color w:val="1E293B"/>
          <w:sz w:val="19"/>
        </w:rPr>
        <w:t>Concepción y arquitectura de la plataforma LXP stemOS, con infraestructura GenAI local y microcredenciales enfocadas en la cadena de valor de semiconductores.</w:t>
      </w:r>
    </w:p>
    <w:p>
      <w:pPr>
        <w:keepNext/>
        <w:spacing w:before="90" w:after="30"/>
      </w:pPr>
      <w:r>
        <w:rPr>
          <w:rFonts w:ascii="Lato" w:hAnsi="Lato"/>
          <w:b/>
          <w:i w:val="0"/>
          <w:color w:val="0F2B5C"/>
          <w:sz w:val="20"/>
        </w:rPr>
        <w:t>AVIS Rent a Car</w:t>
      </w:r>
      <w:r>
        <w:rPr>
          <w:rFonts w:ascii="Lato" w:hAnsi="Lato"/>
          <w:b w:val="0"/>
          <w:i w:val="0"/>
          <w:color w:val="1E293B"/>
          <w:sz w:val="19"/>
        </w:rPr>
        <w:t xml:space="preserve"> | City Operations Manager</w:t>
      </w:r>
      <w:r>
        <w:rPr>
          <w:rFonts w:ascii="Lato" w:hAnsi="Lato"/>
          <w:b w:val="0"/>
          <w:i/>
          <w:color w:val="64748B"/>
          <w:sz w:val="18"/>
        </w:rPr>
        <w:t xml:space="preserve">  [2017 – 2019]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Avis Learning System (ALS): </w:t>
      </w:r>
      <w:r>
        <w:rPr>
          <w:rFonts w:ascii="Lato" w:hAnsi="Lato"/>
          <w:b w:val="0"/>
          <w:i w:val="0"/>
          <w:color w:val="1E293B"/>
          <w:sz w:val="19"/>
        </w:rPr>
        <w:t>Diseñó e implementó un sistema integral de capacitación y recompensas para el personal operativo, optimizando la retención y el estándar de servicio al cliente.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Gestión operativa y logística: </w:t>
      </w:r>
      <w:r>
        <w:rPr>
          <w:rFonts w:ascii="Lato" w:hAnsi="Lato"/>
          <w:b w:val="0"/>
          <w:i w:val="0"/>
          <w:color w:val="1E293B"/>
          <w:sz w:val="19"/>
        </w:rPr>
        <w:t>Dirección de logística de flota urbana, control financiero y liderazgo de un equipo de 16 colaboradores, logrando 100% de disponibilidad de inventario en temporadas pico.</w:t>
      </w:r>
    </w:p>
    <w:p>
      <w:pPr>
        <w:keepNext/>
        <w:spacing w:before="90" w:after="30"/>
      </w:pPr>
      <w:r>
        <w:rPr>
          <w:rFonts w:ascii="Lato" w:hAnsi="Lato"/>
          <w:b/>
          <w:i w:val="0"/>
          <w:color w:val="0F2B5C"/>
          <w:sz w:val="20"/>
        </w:rPr>
        <w:t>Trayectoria Previa en Corporaciones Multinacionales (2012 – 2017)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Telefónica México (2016–2017): </w:t>
      </w:r>
      <w:r>
        <w:rPr>
          <w:rFonts w:ascii="Lato" w:hAnsi="Lato"/>
          <w:b w:val="0"/>
          <w:i w:val="0"/>
          <w:color w:val="1E293B"/>
          <w:sz w:val="19"/>
        </w:rPr>
        <w:t>Retail Zone Sales Lead en Mexicali, B.C. Conducción de la estrategia comercial de canales de retail y supervisión de equipos de ventas.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PepsiCo (2014–2016): </w:t>
      </w:r>
      <w:r>
        <w:rPr>
          <w:rFonts w:ascii="Lato" w:hAnsi="Lato"/>
          <w:b w:val="0"/>
          <w:i w:val="0"/>
          <w:color w:val="1E293B"/>
          <w:sz w:val="19"/>
        </w:rPr>
        <w:t>Retail District Manager en Sonora. Supervisión de rutas de distribución, gestión de cuentas y ejecución de canal en el distrito.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Apple México (2012–2014): </w:t>
      </w:r>
      <w:r>
        <w:rPr>
          <w:rFonts w:ascii="Lato" w:hAnsi="Lato"/>
          <w:b w:val="0"/>
          <w:i w:val="0"/>
          <w:color w:val="1E293B"/>
          <w:sz w:val="19"/>
        </w:rPr>
        <w:t>Apple Solutions Consultant en Ciudad de México (Santa Fe). Capacitación técnica certificada de canal, operaciones de retail y programas de socios B2B.</w:t>
      </w:r>
    </w:p>
    <w:p>
      <w:pPr>
        <w:keepNext/>
        <w:spacing w:before="170" w:after="50"/>
        <w:pBdr>
          <w:bottom w:val="single" w:sz="8" w:space="2" w:color="0F2B5C"/>
        </w:pBdr>
      </w:pPr>
      <w:r>
        <w:rPr>
          <w:rFonts w:ascii="Lato" w:hAnsi="Lato"/>
          <w:b/>
          <w:i w:val="0"/>
          <w:color w:val="0F2B5C"/>
          <w:sz w:val="22"/>
        </w:rPr>
        <w:t>III. FORMACIÓN ACADÉMICA Y CERTIFICACIONES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Maestría en Administración de Empresas (MBA): </w:t>
      </w:r>
      <w:r>
        <w:rPr>
          <w:rFonts w:ascii="Lato" w:hAnsi="Lato"/>
          <w:b w:val="0"/>
          <w:i w:val="0"/>
          <w:color w:val="1E293B"/>
          <w:sz w:val="19"/>
        </w:rPr>
        <w:t>Universidad de Sonora (UNISON). Egresado (titulación en trámite). Especialización en dirección estratégica, finanzas y gobernanza organizacional.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Licenciatura en Finanzas: </w:t>
      </w:r>
      <w:r>
        <w:rPr>
          <w:rFonts w:ascii="Lato" w:hAnsi="Lato"/>
          <w:b w:val="0"/>
          <w:i w:val="0"/>
          <w:color w:val="1E293B"/>
          <w:sz w:val="19"/>
        </w:rPr>
        <w:t>Universidad de Sonora (UNISON). Titulado con cédula profesional. Formación en análisis cuantitativo, modelado financiero y evaluación de proyectos de inversión.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Professional Certificate, Data Science &amp; Agile Systems for Product Management: </w:t>
      </w:r>
      <w:r>
        <w:rPr>
          <w:rFonts w:ascii="Lato" w:hAnsi="Lato"/>
          <w:b w:val="0"/>
          <w:i w:val="0"/>
          <w:color w:val="1E293B"/>
          <w:sz w:val="19"/>
        </w:rPr>
        <w:t>University of Maryland (UMD). Especialización en marcos de producto digital, metodologías ágiles y analítica orientada a decisiones.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Especialización: English for the Semiconductor Industry: </w:t>
      </w:r>
      <w:r>
        <w:rPr>
          <w:rFonts w:ascii="Lato" w:hAnsi="Lato"/>
          <w:b w:val="0"/>
          <w:i w:val="0"/>
          <w:color w:val="1E293B"/>
          <w:sz w:val="19"/>
        </w:rPr>
        <w:t>Arizona State University (ASU) / UCAN International Language Center (2026). Formación técnica avanzada en diseño, manufactura y empaquetado de semiconductores.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Certificación Internacional TOEIC (Test of English for International Communication): </w:t>
      </w:r>
      <w:r>
        <w:rPr>
          <w:rFonts w:ascii="Lato" w:hAnsi="Lato"/>
          <w:b w:val="0"/>
          <w:i w:val="0"/>
          <w:color w:val="1E293B"/>
          <w:sz w:val="19"/>
        </w:rPr>
        <w:t>ETS (Educational Testing Service), Princeton, NJ. Nivel CEFR B2 profesional avanzado (Emitido Oct 2025 – Vigente Oct 2027).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Programa de Intercambio Académico en Economía y Finanzas: </w:t>
      </w:r>
      <w:r>
        <w:rPr>
          <w:rFonts w:ascii="Lato" w:hAnsi="Lato"/>
          <w:b w:val="0"/>
          <w:i w:val="0"/>
          <w:color w:val="1E293B"/>
          <w:sz w:val="19"/>
        </w:rPr>
        <w:t>Universidad Iberoamericana (UIA), Ciudad de México.</w:t>
      </w:r>
    </w:p>
    <w:p>
      <w:pPr>
        <w:keepNext/>
        <w:spacing w:before="170" w:after="50"/>
        <w:pBdr>
          <w:bottom w:val="single" w:sz="8" w:space="2" w:color="0F2B5C"/>
        </w:pBdr>
      </w:pPr>
      <w:r>
        <w:rPr>
          <w:rFonts w:ascii="Lato" w:hAnsi="Lato"/>
          <w:b/>
          <w:i w:val="0"/>
          <w:color w:val="0F2B5C"/>
          <w:sz w:val="22"/>
        </w:rPr>
        <w:t>IV. PRODUCCIÓN INTELECTUAL, PUBLICACIONES Y MODELOS PEDAGÓGICOS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Libro Registrado: </w:t>
      </w:r>
      <w:r>
        <w:rPr>
          <w:rFonts w:ascii="Lato" w:hAnsi="Lato"/>
          <w:b w:val="0"/>
          <w:i w:val="0"/>
          <w:color w:val="1E293B"/>
          <w:sz w:val="19"/>
        </w:rPr>
        <w:t>'Fundamentos de Ciencia y Tecnología' (ISBN 978-607-29-5085-6 / BlueBook v1). Autor único. 173 páginas. Obra base que articula de forma didáctica tres módulos esenciales: 1) Física de la materia, espacio-tiempo y cosmología; 2) Telecomunicaciones, arquitectura de semiconductores y hardware (1G a 5G/WiFi 6); 3) Programación, lógica algorítmica e inteligencia artificial.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Metodología Pedagógica SIIP NextGen: </w:t>
      </w:r>
      <w:r>
        <w:rPr>
          <w:rFonts w:ascii="Lato" w:hAnsi="Lato"/>
          <w:b w:val="0"/>
          <w:i w:val="0"/>
          <w:color w:val="1E293B"/>
          <w:sz w:val="19"/>
        </w:rPr>
        <w:t>STEM Intervention for Innovation Program for Next Generations. Metodología de aprendizaje inductivo basada en la progresión vivencial: Ciencia empírica → Comprensión tecnológica → Aplicación computacional.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Investigación y Analítica Educativa: </w:t>
      </w:r>
      <w:r>
        <w:rPr>
          <w:rFonts w:ascii="Lato" w:hAnsi="Lato"/>
          <w:b w:val="0"/>
          <w:i w:val="0"/>
          <w:color w:val="1E293B"/>
          <w:sz w:val="19"/>
        </w:rPr>
        <w:t>'Estudio STEM Hermosillo 2025: Diagnóstico de Competencias Tecnológicas y Brecha Vocacional en Educación Media y Superior'. Análisis empírico de necesidades de formación técnica y vocaciones científicas.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Diseño Curricular Especializado: </w:t>
      </w:r>
      <w:r>
        <w:rPr>
          <w:rFonts w:ascii="Lato" w:hAnsi="Lato"/>
          <w:b w:val="0"/>
          <w:i w:val="0"/>
          <w:color w:val="1E293B"/>
          <w:sz w:val="19"/>
        </w:rPr>
        <w:t>Desarrollo de los programas 'JóvenesSTEM FastTrack' (20 horas intensivas de inmersión institucional en 5 sesiones guiadas) y 'JóvenesSTEM Online' (90 horas de autoestudio), alineados con Next Generation Science Standards (NGSS) y Estándar de Competencia Laboral CONOCER SEP EC009.</w:t>
      </w:r>
    </w:p>
    <w:p>
      <w:pPr>
        <w:keepNext/>
        <w:spacing w:before="170" w:after="50"/>
        <w:pBdr>
          <w:bottom w:val="single" w:sz="8" w:space="2" w:color="0F2B5C"/>
        </w:pBdr>
      </w:pPr>
      <w:r>
        <w:rPr>
          <w:rFonts w:ascii="Lato" w:hAnsi="Lato"/>
          <w:b/>
          <w:i w:val="0"/>
          <w:color w:val="0F2B5C"/>
          <w:sz w:val="22"/>
        </w:rPr>
        <w:t>V. ECOSISTEMA DE DESARROLLO TECNOLÓGICO Y CREACIÓN DIGITAL (yepzhi.com)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stemOS (LXP NextGen) [yepzhi.com/stemos]: </w:t>
      </w:r>
      <w:r>
        <w:rPr>
          <w:rFonts w:ascii="Lato" w:hAnsi="Lato"/>
          <w:b w:val="0"/>
          <w:i w:val="0"/>
          <w:color w:val="1E293B"/>
          <w:sz w:val="19"/>
        </w:rPr>
        <w:t>Plataforma de experiencia de aprendizaje adaptativa potenciada con infraestructura local de IA generativa (sin dependencia de nubes externas). Brinda rutas personalizadas y microcredenciales técnicas alineadas con la industria de semiconductores.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JóvenesSTEM Web (jsweb) [yepzhi.com/jsweb]: </w:t>
      </w:r>
      <w:r>
        <w:rPr>
          <w:rFonts w:ascii="Lato" w:hAnsi="Lato"/>
          <w:b w:val="0"/>
          <w:i w:val="0"/>
          <w:color w:val="1E293B"/>
          <w:sz w:val="19"/>
        </w:rPr>
        <w:t>Entorno digital de aprendizaje abierto con 230 módulos interactivos, 557 conceptos y estándares científicos, 50+ horas de aprendizaje profundo, sistema de gamificación 'Medallero de Poder' y tutoría socrática con IA.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EntryTest JóvenesSTEM [yepzhi.com/entrytest]: </w:t>
      </w:r>
      <w:r>
        <w:rPr>
          <w:rFonts w:ascii="Lato" w:hAnsi="Lato"/>
          <w:b w:val="0"/>
          <w:i w:val="0"/>
          <w:color w:val="1E293B"/>
          <w:sz w:val="19"/>
        </w:rPr>
        <w:t>Herramienta de evaluación diagnóstica técnica que mide razonamiento lógico, pensamiento algorítmico y afinidad vocacional hacia ingenierías.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Lovelace Feynman Technologies [yepzhi.com/lovelace]: </w:t>
      </w:r>
      <w:r>
        <w:rPr>
          <w:rFonts w:ascii="Lato" w:hAnsi="Lato"/>
          <w:b w:val="0"/>
          <w:i w:val="0"/>
          <w:color w:val="1E293B"/>
          <w:sz w:val="19"/>
        </w:rPr>
        <w:t>Plataforma interactiva institucional que incluye el 'Quantum Wave Sandbox', simulador en tiempo real de ecuaciones de onda y modelos cuánticos para estudiantes de física y computación.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RProDash &amp; Richmond Bot [yepzhi.com/richmondbot]: </w:t>
      </w:r>
      <w:r>
        <w:rPr>
          <w:rFonts w:ascii="Lato" w:hAnsi="Lato"/>
          <w:b w:val="0"/>
          <w:i w:val="0"/>
          <w:color w:val="1E293B"/>
          <w:sz w:val="19"/>
        </w:rPr>
        <w:t>Herramientas de software diseñadas para el ecosistema educativo: dashboard analítico de ventas y proyecciones para Richmond Pro, y chatbot inteligente de soporte para resolución de dudas operativas.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Visitors Analytics &amp; Tools Hub [yepzhi.com/hub]: </w:t>
      </w:r>
      <w:r>
        <w:rPr>
          <w:rFonts w:ascii="Lato" w:hAnsi="Lato"/>
          <w:b w:val="0"/>
          <w:i w:val="0"/>
          <w:color w:val="1E293B"/>
          <w:sz w:val="19"/>
        </w:rPr>
        <w:t>Sistema propio de telemetría y privacidad web, y repositorio abierto de herramientas de software (WebCert para generación masiva de certificados, Sensor Monitor para análisis de sensores móviles, etc.).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SERG Radio Live &amp; hopRadio [yepzhi.com/SERGRadio / yepzhi.com/hopRadio]: </w:t>
      </w:r>
      <w:r>
        <w:rPr>
          <w:rFonts w:ascii="Lato" w:hAnsi="Lato"/>
          <w:b w:val="0"/>
          <w:i w:val="0"/>
          <w:color w:val="1E293B"/>
          <w:sz w:val="19"/>
        </w:rPr>
        <w:t>Plataformas de radiodifusión y streaming digital con motor visual interactivo de partículas en Canvas y curaduría cultural continua.</w:t>
      </w:r>
    </w:p>
    <w:p>
      <w:pPr>
        <w:keepNext/>
        <w:spacing w:before="170" w:after="50"/>
        <w:pBdr>
          <w:bottom w:val="single" w:sz="8" w:space="2" w:color="0F2B5C"/>
        </w:pBdr>
      </w:pPr>
      <w:r>
        <w:rPr>
          <w:rFonts w:ascii="Lato" w:hAnsi="Lato"/>
          <w:b/>
          <w:i w:val="0"/>
          <w:color w:val="0F2B5C"/>
          <w:sz w:val="22"/>
        </w:rPr>
        <w:t>VI. ACTIVIDADES DE DIVULGACIÓN CIENTÍFICA, CONFERENCIAS Y VINCULACIÓN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Conferencista y Divulgador STEM: </w:t>
      </w:r>
      <w:r>
        <w:rPr>
          <w:rFonts w:ascii="Lato" w:hAnsi="Lato"/>
          <w:b w:val="0"/>
          <w:i w:val="0"/>
          <w:color w:val="1E293B"/>
          <w:sz w:val="19"/>
        </w:rPr>
        <w:t>Más de 10 conferencias magistrales, charlas y paneles en universidades e instituciones tecnológicas de México y LATAM, con una audiencia acumulada superior a 3,000 asistentes (estudiantes, investigadores y docentes).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Ejes temáticos de divulgación: </w:t>
      </w:r>
      <w:r>
        <w:rPr>
          <w:rFonts w:ascii="Lato" w:hAnsi="Lato"/>
          <w:b w:val="0"/>
          <w:i w:val="0"/>
          <w:color w:val="1E293B"/>
          <w:sz w:val="19"/>
        </w:rPr>
        <w:t>Inteligencia Artificial Socrática y el Futuro de la Educación; Ecosistema de Semiconductores y Competencias de Nueva Generación; Metodología SIIP NextGen para Jóvenes; Customer Experience (CX) y Arquitectura de Plataformas Digitales.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Vinculación interinstitucional activa: </w:t>
      </w:r>
      <w:r>
        <w:rPr>
          <w:rFonts w:ascii="Lato" w:hAnsi="Lato"/>
          <w:b w:val="0"/>
          <w:i w:val="0"/>
          <w:color w:val="1E293B"/>
          <w:sz w:val="19"/>
        </w:rPr>
        <w:t>Alianzas y vinculación técnica con CODEICYVET Veracruz, COECyT Sonora, COECyT Zacatecas, Universidades Tecnológicas y Politécnicas (UTT, UTH, UTG, UTN, UTCJ), Institutos Tecnológicos del TecNM (ITH, ITM, ITESCA) y la UABC.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Mentoría y Jurado Evaluador: </w:t>
      </w:r>
      <w:r>
        <w:rPr>
          <w:rFonts w:ascii="Lato" w:hAnsi="Lato"/>
          <w:b w:val="0"/>
          <w:i w:val="0"/>
          <w:color w:val="1E293B"/>
          <w:sz w:val="19"/>
        </w:rPr>
        <w:t>Participación activa como mentor y evaluador en ferias científicas de nivel medio superior, hackathons y encuentros de desarrollo tecnológico.</w:t>
      </w:r>
    </w:p>
    <w:p>
      <w:pPr>
        <w:keepNext/>
        <w:spacing w:before="170" w:after="50"/>
        <w:pBdr>
          <w:bottom w:val="single" w:sz="8" w:space="2" w:color="0F2B5C"/>
        </w:pBdr>
      </w:pPr>
      <w:r>
        <w:rPr>
          <w:rFonts w:ascii="Lato" w:hAnsi="Lato"/>
          <w:b/>
          <w:i w:val="0"/>
          <w:color w:val="0F2B5C"/>
          <w:sz w:val="22"/>
        </w:rPr>
        <w:t>VII. COMPETENCIAS TÉCNICAS, METODOLÓGICAS E IDIOMAS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Liderazgo Estratégico y Alianzas: </w:t>
      </w:r>
      <w:r>
        <w:rPr>
          <w:rFonts w:ascii="Lato" w:hAnsi="Lato"/>
          <w:b w:val="0"/>
          <w:i w:val="0"/>
          <w:color w:val="1E293B"/>
          <w:sz w:val="19"/>
        </w:rPr>
        <w:t>Desarrollo de alianzas institucionales de largo plazo, negociación de convenios C-level, dirección de canales de distribución B2B, gestión de ciclo completo de ventas (full-cycle CX), planeación financiera y forecasting comercial.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Tecnologías &amp; Arquitectura Digital: </w:t>
      </w:r>
      <w:r>
        <w:rPr>
          <w:rFonts w:ascii="Lato" w:hAnsi="Lato"/>
          <w:b w:val="0"/>
          <w:i w:val="0"/>
          <w:color w:val="1E293B"/>
          <w:sz w:val="19"/>
        </w:rPr>
        <w:t>Plataformas LXP/LMS, infraestructura local de IA generativa (Ollama/LLMs), JavaScript (Node.js, ES6+), Python, HTML5 semántico, CSS3 moderno, Canvas 2D, integración de APIs REST, analítica de datos y modelado.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Metodologías y Marcos de Trabajo: </w:t>
      </w:r>
      <w:r>
        <w:rPr>
          <w:rFonts w:ascii="Lato" w:hAnsi="Lato"/>
          <w:b w:val="0"/>
          <w:i w:val="0"/>
          <w:color w:val="1E293B"/>
          <w:sz w:val="19"/>
        </w:rPr>
        <w:t>SIIP NextGen, Agile / Scrum for Product Management, Next Generation Science Standards (NGSS), Estándares de Competencia CONOCER (SEP EC009), Diseño de Experiencia de Usuario (UX/UI).</w:t>
      </w:r>
    </w:p>
    <w:p>
      <w:pPr>
        <w:spacing w:before="20" w:after="30" w:line="269" w:lineRule="auto"/>
        <w:ind w:left="288" w:hanging="202"/>
      </w:pPr>
      <w:r>
        <w:rPr>
          <w:rFonts w:ascii="Lato" w:hAnsi="Lato"/>
          <w:b/>
          <w:i w:val="0"/>
          <w:color w:val="174C99"/>
          <w:sz w:val="14"/>
        </w:rPr>
        <w:t xml:space="preserve">▪ </w:t>
      </w:r>
      <w:r>
        <w:rPr>
          <w:rFonts w:ascii="Lato" w:hAnsi="Lato"/>
          <w:b/>
          <w:i w:val="0"/>
          <w:color w:val="0F2B5C"/>
          <w:sz w:val="19"/>
        </w:rPr>
        <w:t xml:space="preserve">Idiomas: </w:t>
      </w:r>
      <w:r>
        <w:rPr>
          <w:rFonts w:ascii="Lato" w:hAnsi="Lato"/>
          <w:b w:val="0"/>
          <w:i w:val="0"/>
          <w:color w:val="1E293B"/>
          <w:sz w:val="19"/>
        </w:rPr>
        <w:t>Español (Lengua materna); Inglés (Competencia profesional avanzada / CEFR B2 certificado por ETS TOEIC; inglés técnico para semiconductores por ASU); Japonés y Alemán (Nivel elemental).</w:t>
      </w:r>
    </w:p>
    <w:sectPr>
      <w:pgSz w:h="15840" w:w="12240" w:orient="portrait"/>
      <w:pgMar w:bottom="648" w:top="605" w:left="792" w:right="79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erif 4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erif 4" w:cs="Source Serif 4" w:eastAsia="Source Serif 4" w:hAnsi="Source Serif 4"/>
        <w:b w:val="1"/>
        <w:bCs w:val="1"/>
        <w:sz w:val="24"/>
        <w:szCs w:val="24"/>
        <w:lang w:val="es"/>
      </w:rPr>
    </w:rPrDefault>
    <w:pPrDefault>
      <w:pPr>
        <w:widowControl w:val="0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SourceSerif4-regular.ttf"/><Relationship Id="rId6" Type="http://schemas.openxmlformats.org/officeDocument/2006/relationships/font" Target="fonts/SourceSerif4-bold.ttf"/><Relationship Id="rId7" Type="http://schemas.openxmlformats.org/officeDocument/2006/relationships/font" Target="fonts/SourceSerif4-italic.ttf"/><Relationship Id="rId8" Type="http://schemas.openxmlformats.org/officeDocument/2006/relationships/font" Target="fonts/SourceSerif4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SHgkMrk3lSdp544JEv5ZhSXYw==">CgMxLjA4AGotChRzdWdnZXN0Ljg1bWIyajZwaGR5NxIVU0FSQSBCRVJUUkFORCBBTEJFUlRTciExa1d4dTBxOTVfNDFoNmhVMHZFS0xhalJnYzVGM0loZDM=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