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CFDSLite UNet PaveSeg多病害训练指南</w:t>
      </w:r>
    </w:p>
    <w:p>
      <w:pPr>
        <w:pStyle w:val="Subtitle"/>
      </w:pPr>
      <w:r>
        <w:t>基于轻量化CFDSLite UNet的路面多类型病害语义分割研究</w:t>
      </w:r>
    </w:p>
    <w:p>
      <w:pPr>
        <w:pStyle w:val="Subtitle"/>
      </w:pPr>
      <w:r>
        <w:t>适用环境：摩禾云 V100 32 GB    数据：PaveSeg公开预览集    版本：1.0</w:t>
      </w:r>
    </w:p>
    <w:p>
      <w:r>
        <w:t>本指南全部在GPU服务器终端执行，从GitHub更新代码、下载PaveSeg、核验八类别掩膜，到训练、预测和结果备份。PaveSeg公开仓库当前提供100张预览图和像素级标注，因此可以完成流程验证和小样本实验，但不能把预览集结果等同于完整2400张数据集的正式基准结果。</w:t>
      </w:r>
    </w:p>
    <w:p>
      <w:pPr>
        <w:pStyle w:val="Heading1"/>
      </w:pPr>
      <w:r>
        <w:t>一 研究任务与类别</w:t>
      </w:r>
    </w:p>
    <w:p>
      <w:r>
        <w:t>模型执行八类别语义分割，每个像素只能属于一个类别。网络保留论文CFDSLite-UNet的深度可分离卷积和双线性上采样，将输出层从单通道改为八通道，并使用CrossEntropyLoss。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8"/>
              </w:rPr>
              <w:t>类别ID</w:t>
            </w:r>
          </w:p>
        </w:tc>
        <w:tc>
          <w:tcPr>
            <w:tcW w:type="dxa" w:w="4252"/>
            <w:shd w:fill="1F4E78"/>
          </w:tcPr>
          <w:p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18"/>
            <w:shd w:fill="1F4E78"/>
          </w:tcPr>
          <w:p>
            <w:r>
              <w:rPr>
                <w:b/>
                <w:color w:val="FFFFFF"/>
                <w:sz w:val="18"/>
              </w:rPr>
              <w:t>PaveSeg灰度值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0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>
              <w:rPr>
                <w:sz w:val="17"/>
              </w:rPr>
              <w:t>背景</w:t>
            </w:r>
          </w:p>
        </w:tc>
        <w:tc>
          <w:tcPr>
            <w:tcW w:type="dxa" w:w="3118"/>
            <w:vAlign w:val="center"/>
          </w:tcPr>
          <w:p>
            <w:pPr>
              <w:spacing w:after="2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247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4252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裂缝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30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>
              <w:rPr>
                <w:sz w:val="17"/>
              </w:rPr>
              <w:t>坑槽</w:t>
            </w:r>
          </w:p>
        </w:tc>
        <w:tc>
          <w:tcPr>
            <w:tcW w:type="dxa" w:w="3118"/>
            <w:vAlign w:val="center"/>
          </w:tcPr>
          <w:p>
            <w:pPr>
              <w:spacing w:after="20"/>
            </w:pPr>
            <w:r>
              <w:rPr>
                <w:sz w:val="17"/>
              </w:rPr>
              <w:t>60</w:t>
            </w:r>
          </w:p>
        </w:tc>
      </w:tr>
      <w:tr>
        <w:tc>
          <w:tcPr>
            <w:tcW w:type="dxa" w:w="1247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4252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封缝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90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>
              <w:rPr>
                <w:sz w:val="17"/>
              </w:rPr>
              <w:t>修补</w:t>
            </w:r>
          </w:p>
        </w:tc>
        <w:tc>
          <w:tcPr>
            <w:tcW w:type="dxa" w:w="3118"/>
            <w:vAlign w:val="center"/>
          </w:tcPr>
          <w:p>
            <w:pPr>
              <w:spacing w:after="20"/>
            </w:pPr>
            <w:r>
              <w:rPr>
                <w:sz w:val="17"/>
              </w:rPr>
              <w:t>120</w:t>
            </w:r>
          </w:p>
        </w:tc>
      </w:tr>
      <w:tr>
        <w:tc>
          <w:tcPr>
            <w:tcW w:type="dxa" w:w="1247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4252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龟裂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150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>
              <w:rPr>
                <w:sz w:val="17"/>
              </w:rPr>
              <w:t>井盖</w:t>
            </w:r>
          </w:p>
        </w:tc>
        <w:tc>
          <w:tcPr>
            <w:tcW w:type="dxa" w:w="3118"/>
            <w:vAlign w:val="center"/>
          </w:tcPr>
          <w:p>
            <w:pPr>
              <w:spacing w:after="20"/>
            </w:pPr>
            <w:r>
              <w:rPr>
                <w:sz w:val="17"/>
              </w:rPr>
              <w:t>180</w:t>
            </w:r>
          </w:p>
        </w:tc>
      </w:tr>
      <w:tr>
        <w:tc>
          <w:tcPr>
            <w:tcW w:type="dxa" w:w="1247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4252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伸缩缝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210</w:t>
            </w:r>
          </w:p>
        </w:tc>
      </w:tr>
    </w:tbl>
    <w:p/>
    <w:p>
      <w:r>
        <w:t>该数据集不包含松散病害。研究名称和结论应使用“多类型路面病害分割”，不能把裂缝、龟裂或坑槽改名为松散。</w:t>
      </w:r>
    </w:p>
    <w:p>
      <w:pPr>
        <w:pStyle w:val="Heading1"/>
      </w:pPr>
      <w:r>
        <w:t>二 更新云端项目</w:t>
      </w:r>
    </w:p>
    <w:p>
      <w:r>
        <w:t>先进入已经克隆的项目并获取最新多类别代码。若git pull提示本地文件冲突，不要强制覆盖，先保存终端输出。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cd ~/raveling-detection</w:t>
        <w:br/>
      </w:r>
      <w:r>
        <w:rPr>
          <w:rFonts w:ascii="Consolas" w:hAnsi="Consolas" w:eastAsia="Microsoft YaHei"/>
          <w:sz w:val="16"/>
        </w:rPr>
        <w:t>git pull origin main</w:t>
        <w:br/>
      </w:r>
      <w:r>
        <w:rPr>
          <w:rFonts w:ascii="Consolas" w:hAnsi="Consolas" w:eastAsia="Microsoft YaHei"/>
          <w:sz w:val="16"/>
        </w:rPr>
        <w:t>ls</w:t>
        <w:br/>
      </w:r>
      <w:r>
        <w:rPr>
          <w:rFonts w:ascii="Consolas" w:hAnsi="Consolas" w:eastAsia="Microsoft YaHei"/>
          <w:sz w:val="16"/>
        </w:rPr>
        <w:t>python3 -m py_compile cfds_lite_unet.py paveseg_training.py</w:t>
        <w:br/>
      </w:r>
    </w:p>
    <w:p>
      <w:r>
        <w:t>目录中必须出现 paveseg_training.py。激活原有虚拟环境并安装依赖：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cd ~/raveling-detection</w:t>
        <w:br/>
      </w:r>
      <w:r>
        <w:rPr>
          <w:rFonts w:ascii="Consolas" w:hAnsi="Consolas" w:eastAsia="Microsoft YaHei"/>
          <w:sz w:val="16"/>
        </w:rPr>
        <w:t>source .venv/bin/activate</w:t>
        <w:br/>
      </w:r>
      <w:r>
        <w:rPr>
          <w:rFonts w:ascii="Consolas" w:hAnsi="Consolas" w:eastAsia="Microsoft YaHei"/>
          <w:sz w:val="16"/>
        </w:rPr>
        <w:t>python -m pip install -r requirements.txt</w:t>
        <w:br/>
      </w:r>
    </w:p>
    <w:p>
      <w:pPr>
        <w:pStyle w:val="Heading1"/>
      </w:pPr>
      <w:r>
        <w:t>三 下载PaveSeg</w:t>
      </w:r>
    </w:p>
    <w:p>
      <w:r>
        <w:t>PaveSeg位于公开GitHub仓库，无需Kaggle账号，不使用任何占位下载链接。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cd ~/raveling-detection</w:t>
        <w:br/>
      </w:r>
      <w:r>
        <w:rPr>
          <w:rFonts w:ascii="Consolas" w:hAnsi="Consolas" w:eastAsia="Microsoft YaHei"/>
          <w:sz w:val="16"/>
        </w:rPr>
        <w:t>mkdir -p data/raw</w:t>
        <w:br/>
      </w:r>
      <w:r>
        <w:rPr>
          <w:rFonts w:ascii="Consolas" w:hAnsi="Consolas" w:eastAsia="Microsoft YaHei"/>
          <w:sz w:val="16"/>
        </w:rPr>
        <w:t>cd data/raw</w:t>
        <w:br/>
      </w:r>
      <w:r>
        <w:rPr>
          <w:rFonts w:ascii="Consolas" w:hAnsi="Consolas" w:eastAsia="Microsoft YaHei"/>
          <w:sz w:val="16"/>
        </w:rPr>
        <w:t>git clone --depth 1 https://github.com/FuturePave/PaveSeg-Dataset.git paveseg</w:t>
        <w:br/>
      </w:r>
    </w:p>
    <w:p>
      <w:r>
        <w:t>如果目录已存在，则更新而不是重复克隆：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cd ~/raveling-detection/data/raw/paveseg</w:t>
        <w:br/>
      </w:r>
      <w:r>
        <w:rPr>
          <w:rFonts w:ascii="Consolas" w:hAnsi="Consolas" w:eastAsia="Microsoft YaHei"/>
          <w:sz w:val="16"/>
        </w:rPr>
        <w:t>git pull</w:t>
        <w:br/>
      </w:r>
    </w:p>
    <w:p>
      <w:pPr>
        <w:pStyle w:val="Heading2"/>
      </w:pPr>
      <w:r>
        <w:t>3.1 核验数据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cd ~/raveling-detection</w:t>
        <w:br/>
      </w:r>
      <w:r>
        <w:rPr>
          <w:rFonts w:ascii="Consolas" w:hAnsi="Consolas" w:eastAsia="Microsoft YaHei"/>
          <w:sz w:val="16"/>
        </w:rPr>
        <w:t>find data/raw/paveseg/img_preview -type f | wc -l</w:t>
        <w:br/>
      </w:r>
      <w:r>
        <w:rPr>
          <w:rFonts w:ascii="Consolas" w:hAnsi="Consolas" w:eastAsia="Microsoft YaHei"/>
          <w:sz w:val="16"/>
        </w:rPr>
        <w:t>find data/raw/paveseg/label_preview -type f | wc -l</w:t>
        <w:br/>
      </w:r>
      <w:r>
        <w:rPr>
          <w:rFonts w:ascii="Consolas" w:hAnsi="Consolas" w:eastAsia="Microsoft YaHei"/>
          <w:sz w:val="16"/>
        </w:rPr>
        <w:t>ls data/raw/paveseg/img_preview | head</w:t>
        <w:br/>
      </w:r>
      <w:r>
        <w:rPr>
          <w:rFonts w:ascii="Consolas" w:hAnsi="Consolas" w:eastAsia="Microsoft YaHei"/>
          <w:sz w:val="16"/>
        </w:rPr>
        <w:t>ls data/raw/paveseg/label_preview | head</w:t>
        <w:br/>
      </w:r>
    </w:p>
    <w:p>
      <w:r>
        <w:t>公开预览版本应有100张图像和100张掩膜。配对格式为 000001.jpg 与 000001_mask.png。若数量不是100，先检查git clone是否完成。</w:t>
      </w:r>
    </w:p>
    <w:p>
      <w:pPr>
        <w:pStyle w:val="Heading2"/>
      </w:pPr>
      <w:r>
        <w:t>3.2 检查掩膜灰度值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python - &lt;&lt;'PY'</w:t>
        <w:br/>
      </w:r>
      <w:r>
        <w:rPr>
          <w:rFonts w:ascii="Consolas" w:hAnsi="Consolas" w:eastAsia="Microsoft YaHei"/>
          <w:sz w:val="16"/>
        </w:rPr>
        <w:t>import cv2, glob, numpy as np</w:t>
        <w:br/>
      </w:r>
      <w:r>
        <w:rPr>
          <w:rFonts w:ascii="Consolas" w:hAnsi="Consolas" w:eastAsia="Microsoft YaHei"/>
          <w:sz w:val="16"/>
        </w:rPr>
        <w:t>values=set()</w:t>
        <w:br/>
      </w:r>
      <w:r>
        <w:rPr>
          <w:rFonts w:ascii="Consolas" w:hAnsi="Consolas" w:eastAsia="Microsoft YaHei"/>
          <w:sz w:val="16"/>
        </w:rPr>
        <w:t>for f in glob.glob('data/raw/paveseg/label_preview/*.png'):</w:t>
        <w:br/>
      </w:r>
      <w:r>
        <w:rPr>
          <w:rFonts w:ascii="Consolas" w:hAnsi="Consolas" w:eastAsia="Microsoft YaHei"/>
          <w:sz w:val="16"/>
        </w:rPr>
        <w:t xml:space="preserve">    values.update(np.unique(cv2.imread(f,0)).tolist())</w:t>
        <w:br/>
      </w:r>
      <w:r>
        <w:rPr>
          <w:rFonts w:ascii="Consolas" w:hAnsi="Consolas" w:eastAsia="Microsoft YaHei"/>
          <w:sz w:val="16"/>
        </w:rPr>
        <w:t>print(sorted(values))</w:t>
        <w:br/>
      </w:r>
      <w:r>
        <w:rPr>
          <w:rFonts w:ascii="Consolas" w:hAnsi="Consolas" w:eastAsia="Microsoft YaHei"/>
          <w:sz w:val="16"/>
        </w:rPr>
        <w:t>PY</w:t>
        <w:br/>
      </w:r>
    </w:p>
    <w:p>
      <w:r>
        <w:t>正确输出应为 [0, 30, 60, 90, 120, 150, 180, 210] 的全部或子集。程序会自动转换为类别ID 0至7；发现其他灰度值时会停止，以防静默生成错误标签。</w:t>
      </w:r>
    </w:p>
    <w:p>
      <w:pPr>
        <w:pStyle w:val="Heading1"/>
      </w:pPr>
      <w:r>
        <w:t>四 检查V100环境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nvidia-smi</w:t>
        <w:br/>
      </w:r>
      <w:r>
        <w:rPr>
          <w:rFonts w:ascii="Consolas" w:hAnsi="Consolas" w:eastAsia="Microsoft YaHei"/>
          <w:sz w:val="16"/>
        </w:rPr>
        <w:t>python -c "import torch; print(torch.__version__); print(torch.cuda.is_available()); print(torch.cuda.get_device_name(0) if torch.cuda.is_available() else 'NO GPU')"</w:t>
        <w:br/>
      </w:r>
    </w:p>
    <w:p>
      <w:r>
        <w:t>必须看到 True 和 Tesla V100。若为False，不要开始训练。V100 32 GB足以使用512×512、物理batch 4。</w:t>
      </w:r>
    </w:p>
    <w:p>
      <w:pPr>
        <w:pStyle w:val="Heading1"/>
      </w:pPr>
      <w:r>
        <w:t>五 一轮试跑</w:t>
      </w:r>
    </w:p>
    <w:p>
      <w:r>
        <w:t>先运行1个epoch，检查读取、标签转换、CUDA和权重保存。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cd ~/raveling-detection</w:t>
        <w:br/>
      </w:r>
      <w:r>
        <w:rPr>
          <w:rFonts w:ascii="Consolas" w:hAnsi="Consolas" w:eastAsia="Microsoft YaHei"/>
          <w:sz w:val="16"/>
        </w:rPr>
        <w:t>source .venv/bin/activate</w:t>
        <w:br/>
      </w:r>
      <w:r>
        <w:rPr>
          <w:rFonts w:ascii="Consolas" w:hAnsi="Consolas" w:eastAsia="Microsoft YaHei"/>
          <w:sz w:val="16"/>
        </w:rPr>
        <w:t>mkdir -p runs</w:t>
        <w:br/>
      </w:r>
      <w:r>
        <w:rPr>
          <w:rFonts w:ascii="Consolas" w:hAnsi="Consolas" w:eastAsia="Microsoft YaHei"/>
          <w:sz w:val="16"/>
        </w:rPr>
        <w:t>python -u paveseg_training.py train --data data/raw/paveseg --output runs/paveseg_smoke.pt --epochs 1 --batch-size 1 --workers 0 --device cuda</w:t>
        <w:br/>
      </w:r>
    </w:p>
    <w:p>
      <w:pPr>
        <w:pStyle w:val="ListBullet"/>
      </w:pPr>
      <w:r>
        <w:t>应显示 device=cuda、train=80、val=20。</w:t>
      </w:r>
    </w:p>
    <w:p>
      <w:pPr>
        <w:pStyle w:val="ListBullet"/>
      </w:pPr>
      <w:r>
        <w:t>参数量约3.55M，八类别输出层会比原单类别模型略多。</w:t>
      </w:r>
    </w:p>
    <w:p>
      <w:pPr>
        <w:pStyle w:val="ListBullet"/>
      </w:pPr>
      <w:r>
        <w:t>runs/paveseg_smoke.pt 应存在且大小不为零。</w:t>
      </w:r>
    </w:p>
    <w:p>
      <w:pPr>
        <w:pStyle w:val="Heading1"/>
      </w:pPr>
      <w:r>
        <w:t>六 正式训练</w:t>
      </w:r>
    </w:p>
    <w:p>
      <w:pPr>
        <w:pStyle w:val="Heading2"/>
      </w:pPr>
      <w:r>
        <w:t>6.1 论文风格基线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python -u paveseg_training.py train --data data/raw/paveseg --output runs/paveseg_best.pt --epochs 100 --batch-size 4 --accumulation-steps 1 --lr 1e-4 --val-ratio 0.2 --workers 2 --device cuda 2&gt;&amp;1 | tee runs/paveseg_train.log</w:t>
        <w:br/>
      </w:r>
    </w:p>
    <w:p>
      <w:r>
        <w:t>该命令使用物理batch 4，便于与原论文训练设置保持接近。预览集只有100张，100轮可能过拟合，应同时观察验证mIoU和预测图。</w:t>
      </w:r>
    </w:p>
    <w:p>
      <w:pPr>
        <w:pStyle w:val="Heading2"/>
      </w:pPr>
      <w:r>
        <w:t>6.2 有效Batch size 20</w:t>
      </w:r>
    </w:p>
    <w:p>
      <w:r>
        <w:t>不建议直接设置物理batch 20。使用物理batch 4并累积5次梯度，可得到有效batch 20，显存占用仍接近batch 4。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python -u paveseg_training.py train --data data/raw/paveseg --output runs/paveseg_bs20.pt --epochs 100 --batch-size 4 --accumulation-steps 5 --lr 1e-4 --val-ratio 0.2 --workers 2 --device cuda 2&gt;&amp;1 | tee runs/paveseg_bs20.log</w:t>
        <w:br/>
      </w:r>
    </w:p>
    <w:p>
      <w:r>
        <w:t>有效batch 20是独立对照实验，不是论文原参数。100张预览数据每轮仅20个训练batch，累积5次后每轮只有约4次参数更新，收敛可能更慢。因此推荐先训练batch 4基线，再比较batch 20。</w:t>
      </w:r>
    </w:p>
    <w:p>
      <w:pPr>
        <w:pStyle w:val="Heading2"/>
      </w:pPr>
      <w:r>
        <w:t>6.3 防止终端断线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tmux new -s paveseg</w:t>
        <w:br/>
      </w:r>
      <w:r>
        <w:rPr>
          <w:rFonts w:ascii="Consolas" w:hAnsi="Consolas" w:eastAsia="Microsoft YaHei"/>
          <w:sz w:val="16"/>
        </w:rPr>
        <w:t># 在tmux中运行训练命令</w:t>
        <w:br/>
      </w:r>
      <w:r>
        <w:rPr>
          <w:rFonts w:ascii="Consolas" w:hAnsi="Consolas" w:eastAsia="Microsoft YaHei"/>
          <w:sz w:val="16"/>
        </w:rPr>
        <w:t># 离开：Ctrl+B，再按D</w:t>
        <w:br/>
      </w:r>
      <w:r>
        <w:rPr>
          <w:rFonts w:ascii="Consolas" w:hAnsi="Consolas" w:eastAsia="Microsoft YaHei"/>
          <w:sz w:val="16"/>
        </w:rPr>
        <w:t># 返回：tmux attach -t paveseg</w:t>
        <w:br/>
      </w:r>
    </w:p>
    <w:p>
      <w:pPr>
        <w:pStyle w:val="Heading1"/>
      </w:pPr>
      <w:r>
        <w:t>七 指标解释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118"/>
            <w:shd w:fill="1F4E78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685"/>
            <w:shd w:fill="1F4E78"/>
          </w:tcPr>
          <w:p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>
              <w:rPr>
                <w:sz w:val="17"/>
              </w:rPr>
              <w:t>mIoU</w:t>
            </w:r>
          </w:p>
        </w:tc>
        <w:tc>
          <w:tcPr>
            <w:tcW w:type="dxa" w:w="3118"/>
            <w:vAlign w:val="center"/>
          </w:tcPr>
          <w:p>
            <w:pPr>
              <w:spacing w:after="20"/>
            </w:pPr>
            <w:r>
              <w:rPr>
                <w:sz w:val="17"/>
              </w:rPr>
              <w:t>八个类别IoU的平均值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sz w:val="17"/>
              </w:rPr>
              <w:t>某类在验证集不存在时忽略该类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Pixel Accuracy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所有预测正确像素比例</w:t>
            </w:r>
          </w:p>
        </w:tc>
        <w:tc>
          <w:tcPr>
            <w:tcW w:type="dxa" w:w="3685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背景占比大时可能虚高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>
              <w:rPr>
                <w:sz w:val="17"/>
              </w:rPr>
              <w:t>各类别IoU</w:t>
            </w:r>
          </w:p>
        </w:tc>
        <w:tc>
          <w:tcPr>
            <w:tcW w:type="dxa" w:w="3118"/>
            <w:vAlign w:val="center"/>
          </w:tcPr>
          <w:p>
            <w:pPr>
              <w:spacing w:after="20"/>
            </w:pPr>
            <w:r>
              <w:rPr>
                <w:sz w:val="17"/>
              </w:rPr>
              <w:t>分别评价裂缝、坑槽等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sz w:val="17"/>
              </w:rPr>
              <w:t>小样本类别波动很大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验证损失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观察收敛和过拟合</w:t>
            </w:r>
          </w:p>
        </w:tc>
        <w:tc>
          <w:tcPr>
            <w:tcW w:type="dxa" w:w="3685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不能代替独立测试集</w:t>
            </w:r>
          </w:p>
        </w:tc>
      </w:tr>
    </w:tbl>
    <w:p/>
    <w:p>
      <w:r>
        <w:t>当前代码按固定随机种子42进行80比20随机划分。正式论文实验应保存划分清单，并优先按道路或采集批次划分，避免相邻图像同时进入训练集和验证集。</w:t>
      </w:r>
    </w:p>
    <w:p>
      <w:pPr>
        <w:pStyle w:val="Heading1"/>
      </w:pPr>
      <w:r>
        <w:t>八 预测与可视化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python paveseg_training.py predict --input data/raw/paveseg/img_preview --weights runs/paveseg_best.pt --output runs/paveseg_predictions --device cuda</w:t>
        <w:br/>
      </w:r>
    </w:p>
    <w:p>
      <w:r>
        <w:t>输出包括每张图片的彩色类别图、与原图叠加的可视化结果，以及 class_ratios.csv。CSV记录每类像素占整张图片的比例，可用于病害构成分析，但不能在没有尺度标定时换算为平方米。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5783"/>
            <w:shd w:fill="1F4E78"/>
          </w:tcPr>
          <w:p>
            <w:r>
              <w:rPr>
                <w:b/>
                <w:color w:val="FFFFFF"/>
                <w:sz w:val="18"/>
              </w:rPr>
              <w:t>类别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sz w:val="17"/>
              </w:rPr>
              <w:t>黑色</w:t>
            </w:r>
          </w:p>
        </w:tc>
        <w:tc>
          <w:tcPr>
            <w:tcW w:type="dxa" w:w="5783"/>
            <w:vAlign w:val="center"/>
          </w:tcPr>
          <w:p>
            <w:pPr>
              <w:spacing w:after="20"/>
            </w:pPr>
            <w:r>
              <w:rPr>
                <w:sz w:val="17"/>
              </w:rPr>
              <w:t>背景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红色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裂缝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sz w:val="17"/>
              </w:rPr>
              <w:t>橙色</w:t>
            </w:r>
          </w:p>
        </w:tc>
        <w:tc>
          <w:tcPr>
            <w:tcW w:type="dxa" w:w="5783"/>
            <w:vAlign w:val="center"/>
          </w:tcPr>
          <w:p>
            <w:pPr>
              <w:spacing w:after="20"/>
            </w:pPr>
            <w:r>
              <w:rPr>
                <w:sz w:val="17"/>
              </w:rPr>
              <w:t>坑槽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黄色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封缝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sz w:val="17"/>
              </w:rPr>
              <w:t>蓝色</w:t>
            </w:r>
          </w:p>
        </w:tc>
        <w:tc>
          <w:tcPr>
            <w:tcW w:type="dxa" w:w="5783"/>
            <w:vAlign w:val="center"/>
          </w:tcPr>
          <w:p>
            <w:pPr>
              <w:spacing w:after="20"/>
            </w:pPr>
            <w:r>
              <w:rPr>
                <w:sz w:val="17"/>
              </w:rPr>
              <w:t>修补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紫色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龟裂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sz w:val="17"/>
              </w:rPr>
              <w:t>青色</w:t>
            </w:r>
          </w:p>
        </w:tc>
        <w:tc>
          <w:tcPr>
            <w:tcW w:type="dxa" w:w="5783"/>
            <w:vAlign w:val="center"/>
          </w:tcPr>
          <w:p>
            <w:pPr>
              <w:spacing w:after="20"/>
            </w:pPr>
            <w:r>
              <w:rPr>
                <w:sz w:val="17"/>
              </w:rPr>
              <w:t>井盖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绿色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伸缩缝</w:t>
            </w:r>
          </w:p>
        </w:tc>
      </w:tr>
    </w:tbl>
    <w:p/>
    <w:p>
      <w:pPr>
        <w:pStyle w:val="Heading1"/>
      </w:pPr>
      <w:r>
        <w:t>九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2948"/>
            <w:shd w:fill="1F4E78"/>
          </w:tcPr>
          <w:p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669"/>
            <w:shd w:fill="1F4E78"/>
          </w:tcPr>
          <w:p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sz w:val="17"/>
              </w:rPr>
              <w:t>No PaveSeg pairs found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7"/>
              </w:rPr>
              <w:t>确认--data指向同时包含img_preview和label_preview的PaveSeg根目录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Unknown grayscale label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掩膜被压缩或改色；使用原始PNG，不要保存为JPG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sz w:val="17"/>
              </w:rPr>
              <w:t>CUDA out of memory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7"/>
              </w:rPr>
              <w:t>依次把batch改为2或1；保持accumulation steps获得目标有效batch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训练只预测背景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类别极不平衡；检查标签值并增加类别权重或裁剪包含病害的区域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sz w:val="17"/>
              </w:rPr>
              <w:t>mIoU波动大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7"/>
              </w:rPr>
              <w:t>验证集只有20张且类别不均衡；多次分层实验或申请完整数据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git clone超时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20"/>
            </w:pPr>
            <w:r>
              <w:rPr>
                <w:sz w:val="17"/>
              </w:rPr>
              <w:t>设置git HTTP 1.1后重试，或使用平台网络加速；不要中途按Ctrl+C</w:t>
            </w:r>
          </w:p>
        </w:tc>
      </w:tr>
    </w:tbl>
    <w:p/>
    <w:p>
      <w:pPr>
        <w:pStyle w:val="Heading1"/>
      </w:pPr>
      <w:r>
        <w:t>十 保存结果并停止计费</w:t>
      </w:r>
    </w:p>
    <w:p>
      <w:pPr>
        <w:spacing w:after="140"/>
        <w:ind w:left="227"/>
        <w:shd w:fill="F3F5F7"/>
      </w:pPr>
      <w:r>
        <w:rPr>
          <w:rFonts w:ascii="Consolas" w:hAnsi="Consolas" w:eastAsia="Microsoft YaHei"/>
          <w:sz w:val="16"/>
        </w:rPr>
        <w:t>cd ~/raveling-detection</w:t>
        <w:br/>
      </w:r>
      <w:r>
        <w:rPr>
          <w:rFonts w:ascii="Consolas" w:hAnsi="Consolas" w:eastAsia="Microsoft YaHei"/>
          <w:sz w:val="16"/>
        </w:rPr>
        <w:t>tar -czf paveseg_results.tar.gz runs/paveseg_best.pt runs/paveseg_train.log runs/paveseg_predictions</w:t>
        <w:br/>
      </w:r>
      <w:r>
        <w:rPr>
          <w:rFonts w:ascii="Consolas" w:hAnsi="Consolas" w:eastAsia="Microsoft YaHei"/>
          <w:sz w:val="16"/>
        </w:rPr>
        <w:t>ls -lh paveseg_results.tar.gz</w:t>
        <w:br/>
      </w:r>
    </w:p>
    <w:p>
      <w:r>
        <w:t>通过平台文件管理器下载压缩包。确认本地可打开后再停止GPU实例；训练进程结束不代表平台自动停止计费。不要把数据、权重或Kaggle密钥提交到Git仓库。</w:t>
      </w:r>
    </w:p>
    <w:p>
      <w:pPr>
        <w:pStyle w:val="Heading1"/>
      </w:pPr>
      <w:r>
        <w:t>十一 实验报告建议</w:t>
      </w:r>
    </w:p>
    <w:p>
      <w:pPr>
        <w:pStyle w:val="ListBullet"/>
      </w:pPr>
      <w:r>
        <w:t>报告每个类别的IoU，不只报告整体像素准确率。</w:t>
      </w:r>
    </w:p>
    <w:p>
      <w:pPr>
        <w:pStyle w:val="ListBullet"/>
      </w:pPr>
      <w:r>
        <w:t>分别比较batch 4和有效batch 20，并记录训练时间与峰值显存。</w:t>
      </w:r>
    </w:p>
    <w:p>
      <w:pPr>
        <w:pStyle w:val="ListBullet"/>
      </w:pPr>
      <w:r>
        <w:t>明确说明当前使用PaveSeg 100张公开预览集，结论属于小样本验证。</w:t>
      </w:r>
    </w:p>
    <w:p>
      <w:pPr>
        <w:pStyle w:val="ListBullet"/>
      </w:pPr>
      <w:r>
        <w:t>将CFDSLite-UNet与基础U-Net进行参数量、mIoU和推理速度对比。</w:t>
      </w:r>
    </w:p>
    <w:p>
      <w:pPr>
        <w:pStyle w:val="ListBullet"/>
      </w:pPr>
      <w:r>
        <w:t>不将多病害实验结果表述为松散检测结果。</w:t>
      </w:r>
    </w:p>
    <w:sectPr w:rsidR="00FC693F" w:rsidRPr="0006063C" w:rsidSect="00034616">
      <w:footerReference w:type="default" r:id="rId9"/>
      <w:pgSz w:w="12240" w:h="15840"/>
      <w:pgMar w:top="1134" w:right="1191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CFDSLite UNet PaveSeg训练指南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CFDSLite UNet PaveSeg多病害训练指南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