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CFDSLite UNet GPU租赁训练指南</w:t>
      </w:r>
    </w:p>
    <w:p>
      <w:pPr>
        <w:pStyle w:val="Subtitle"/>
      </w:pPr>
      <w:r>
        <w:t>路面松散像素级检测项目  从数据上传到模型下载</w:t>
      </w:r>
    </w:p>
    <w:p>
      <w:pPr>
        <w:pStyle w:val="Subtitle"/>
      </w:pPr>
      <w:r>
        <w:t>适用项目目录：Y:\jiaotong</w:t>
      </w:r>
    </w:p>
    <w:p>
      <w:pPr>
        <w:pStyle w:val="Subtitle"/>
      </w:pPr>
      <w:r>
        <w:t>目标实例：NVIDIA V100 32 GB、4 核 CPU、55 GB 内存、150 GB 数据盘。</w:t>
      </w:r>
    </w:p>
    <w:p>
      <w:pPr>
        <w:pStyle w:val="Subtitle"/>
      </w:pPr>
      <w:r>
        <w:t>版本：1.0    日期：2026年9月</w:t>
      </w:r>
    </w:p>
    <w:p>
      <w:r>
        <w:t>本指南面向第一次租用云端 GPU 的使用者。全部操作在租用服务器的终端中完成，包括代码建立、公开数据下载、数据检查、模型训练和结果打包。本地电脑只负责打开平台网页及最终下载结果。训练结果的可靠性首先取决于像素掩膜质量，正式训练前必须在服务器上完成数据配对和抽样检查。</w:t>
      </w:r>
    </w:p>
    <w:p>
      <w:pPr>
        <w:pStyle w:val="Heading1"/>
      </w:pPr>
      <w:r>
        <w:t>快速结论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2"/>
        <w:gridCol w:w="4872"/>
      </w:tblGrid>
      <w:tr>
        <w:trPr>
          <w:tblHeader w:val="true"/>
        </w:trPr>
        <w:tc>
          <w:tcPr>
            <w:tcW w:type="dxa" w:w="1701"/>
            <w:shd w:fill="1F4E78"/>
            <w:vAlign w:val="center"/>
          </w:tcPr>
          <w:p>
            <w:r>
              <w:rPr>
                <w:b/>
                <w:color w:val="FFFFFF"/>
                <w:sz w:val="18"/>
              </w:rPr>
              <w:t>项目</w:t>
            </w:r>
          </w:p>
        </w:tc>
        <w:tc>
          <w:tcPr>
            <w:tcW w:type="dxa" w:w="7087"/>
            <w:shd w:fill="1F4E78"/>
            <w:vAlign w:val="center"/>
          </w:tcPr>
          <w:p>
            <w:r>
              <w:rPr>
                <w:b/>
                <w:color w:val="FFFFFF"/>
                <w:sz w:val="18"/>
              </w:rPr>
              <w:t>建议</w:t>
            </w:r>
          </w:p>
        </w:tc>
      </w:tr>
      <w:tr>
        <w:tc>
          <w:tcPr>
            <w:tcW w:type="dxa" w:w="1701"/>
            <w:vAlign w:val="center"/>
            <w:tcMar>
              <w:top w:w="100" w:type="dxa"/>
              <w:start w:w="120" w:type="dxa"/>
              <w:bottom w:w="100" w:type="dxa"/>
              <w:end w:w="120" w:type="dxa"/>
            </w:tcMar>
          </w:tcPr>
          <w:p>
            <w:pPr>
              <w:spacing w:after="20" w:line="264" w:lineRule="auto"/>
            </w:pPr>
            <w:r>
              <w:rPr>
                <w:sz w:val="17"/>
              </w:rPr>
              <w:t>GPU</w:t>
            </w:r>
          </w:p>
        </w:tc>
        <w:tc>
          <w:tcPr>
            <w:tcW w:type="dxa" w:w="7087"/>
            <w:vAlign w:val="center"/>
            <w:tcMar>
              <w:top w:w="100" w:type="dxa"/>
              <w:start w:w="120" w:type="dxa"/>
              <w:bottom w:w="100" w:type="dxa"/>
              <w:end w:w="120" w:type="dxa"/>
            </w:tcMar>
          </w:tcPr>
          <w:p>
            <w:pPr>
              <w:spacing w:after="20" w:line="264" w:lineRule="auto"/>
            </w:pPr>
            <w:r>
              <w:rPr>
                <w:sz w:val="17"/>
              </w:rPr>
              <w:t>截图中的 V100 32 GB 可直接使用；512×512、batch size 4 足够稳妥</w:t>
            </w:r>
          </w:p>
        </w:tc>
      </w:tr>
      <w:tr>
        <w:tc>
          <w:tcPr>
            <w:tcW w:type="dxa" w:w="1701"/>
            <w:vAlign w:val="center"/>
            <w:tcMar>
              <w:top w:w="100" w:type="dxa"/>
              <w:start w:w="120" w:type="dxa"/>
              <w:bottom w:w="100" w:type="dxa"/>
              <w:end w:w="120" w:type="dxa"/>
            </w:tcMar>
            <w:shd w:fill="F2F6FA"/>
          </w:tcPr>
          <w:p>
            <w:pPr>
              <w:spacing w:after="20" w:line="264" w:lineRule="auto"/>
            </w:pPr>
            <w:r>
              <w:rPr>
                <w:sz w:val="17"/>
              </w:rPr>
              <w:t>系统盘</w:t>
            </w:r>
          </w:p>
        </w:tc>
        <w:tc>
          <w:tcPr>
            <w:tcW w:type="dxa" w:w="7087"/>
            <w:vAlign w:val="center"/>
            <w:tcMar>
              <w:top w:w="100" w:type="dxa"/>
              <w:start w:w="120" w:type="dxa"/>
              <w:bottom w:w="100" w:type="dxa"/>
              <w:end w:w="120" w:type="dxa"/>
            </w:tcMar>
            <w:shd w:fill="F2F6FA"/>
          </w:tcPr>
          <w:p>
            <w:pPr>
              <w:spacing w:after="20" w:line="264" w:lineRule="auto"/>
            </w:pPr>
            <w:r>
              <w:rPr>
                <w:sz w:val="17"/>
              </w:rPr>
              <w:t>至少 30 GB；数据盘容量应不小于数据集解压后体积的 2 倍</w:t>
            </w:r>
          </w:p>
        </w:tc>
      </w:tr>
      <w:tr>
        <w:tc>
          <w:tcPr>
            <w:tcW w:type="dxa" w:w="1701"/>
            <w:vAlign w:val="center"/>
            <w:tcMar>
              <w:top w:w="100" w:type="dxa"/>
              <w:start w:w="120" w:type="dxa"/>
              <w:bottom w:w="100" w:type="dxa"/>
              <w:end w:w="120" w:type="dxa"/>
            </w:tcMar>
          </w:tcPr>
          <w:p>
            <w:pPr>
              <w:spacing w:after="20" w:line="264" w:lineRule="auto"/>
            </w:pPr>
            <w:r>
              <w:rPr>
                <w:sz w:val="17"/>
              </w:rPr>
              <w:t>训练命令</w:t>
            </w:r>
          </w:p>
        </w:tc>
        <w:tc>
          <w:tcPr>
            <w:tcW w:type="dxa" w:w="7087"/>
            <w:vAlign w:val="center"/>
            <w:tcMar>
              <w:top w:w="100" w:type="dxa"/>
              <w:start w:w="120" w:type="dxa"/>
              <w:bottom w:w="100" w:type="dxa"/>
              <w:end w:w="120" w:type="dxa"/>
            </w:tcMar>
          </w:tcPr>
          <w:p>
            <w:pPr>
              <w:spacing w:after="20" w:line="264" w:lineRule="auto"/>
            </w:pPr>
            <w:r>
              <w:rPr>
                <w:sz w:val="17"/>
              </w:rPr>
              <w:t>python pavement_detection.py train --images data/images --masks data/masks --output runs/best.pt</w:t>
            </w:r>
          </w:p>
        </w:tc>
      </w:tr>
      <w:tr>
        <w:tc>
          <w:tcPr>
            <w:tcW w:type="dxa" w:w="1701"/>
            <w:vAlign w:val="center"/>
            <w:tcMar>
              <w:top w:w="100" w:type="dxa"/>
              <w:start w:w="120" w:type="dxa"/>
              <w:bottom w:w="100" w:type="dxa"/>
              <w:end w:w="120" w:type="dxa"/>
            </w:tcMar>
            <w:shd w:fill="F2F6FA"/>
          </w:tcPr>
          <w:p>
            <w:pPr>
              <w:spacing w:after="20" w:line="264" w:lineRule="auto"/>
            </w:pPr>
            <w:r>
              <w:rPr>
                <w:sz w:val="17"/>
              </w:rPr>
              <w:t>默认参数</w:t>
            </w:r>
          </w:p>
        </w:tc>
        <w:tc>
          <w:tcPr>
            <w:tcW w:type="dxa" w:w="7087"/>
            <w:vAlign w:val="center"/>
            <w:tcMar>
              <w:top w:w="100" w:type="dxa"/>
              <w:start w:w="120" w:type="dxa"/>
              <w:bottom w:w="100" w:type="dxa"/>
              <w:end w:w="120" w:type="dxa"/>
            </w:tcMar>
            <w:shd w:fill="F2F6FA"/>
          </w:tcPr>
          <w:p>
            <w:pPr>
              <w:spacing w:after="20" w:line="264" w:lineRule="auto"/>
            </w:pPr>
            <w:r>
              <w:rPr>
                <w:sz w:val="17"/>
              </w:rPr>
              <w:t>512×512，Adam，学习率 1e-4，batch 4，100 epochs，weight decay 1e-5</w:t>
            </w:r>
          </w:p>
        </w:tc>
      </w:tr>
      <w:tr>
        <w:tc>
          <w:tcPr>
            <w:tcW w:type="dxa" w:w="1701"/>
            <w:vAlign w:val="center"/>
            <w:tcMar>
              <w:top w:w="100" w:type="dxa"/>
              <w:start w:w="120" w:type="dxa"/>
              <w:bottom w:w="100" w:type="dxa"/>
              <w:end w:w="120" w:type="dxa"/>
            </w:tcMar>
          </w:tcPr>
          <w:p>
            <w:pPr>
              <w:spacing w:after="20" w:line="264" w:lineRule="auto"/>
            </w:pPr>
            <w:r>
              <w:rPr>
                <w:sz w:val="17"/>
              </w:rPr>
              <w:t>必须下载</w:t>
            </w:r>
          </w:p>
        </w:tc>
        <w:tc>
          <w:tcPr>
            <w:tcW w:type="dxa" w:w="7087"/>
            <w:vAlign w:val="center"/>
            <w:tcMar>
              <w:top w:w="100" w:type="dxa"/>
              <w:start w:w="120" w:type="dxa"/>
              <w:bottom w:w="100" w:type="dxa"/>
              <w:end w:w="120" w:type="dxa"/>
            </w:tcMar>
          </w:tcPr>
          <w:p>
            <w:pPr>
              <w:spacing w:after="20" w:line="264" w:lineRule="auto"/>
            </w:pPr>
            <w:r>
              <w:rPr>
                <w:sz w:val="17"/>
              </w:rPr>
              <w:t>runs/best.pt、训练日志、数据划分记录；关机前确认文件已保存到持久化存储</w:t>
            </w:r>
          </w:p>
        </w:tc>
      </w:tr>
    </w:tbl>
    <w:p>
      <w:pPr>
        <w:spacing w:after="20"/>
      </w:pPr>
    </w:p>
    <w:p>
      <w:pPr>
        <w:pStyle w:val="Heading1"/>
      </w:pPr>
      <w:r>
        <w:t>一 实例选择与限制</w:t>
      </w:r>
    </w:p>
    <w:p>
      <w:pPr>
        <w:pStyle w:val="Heading2"/>
      </w:pPr>
      <w:r>
        <w:t>1.1 选择实例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8"/>
        <w:gridCol w:w="3248"/>
        <w:gridCol w:w="3248"/>
      </w:tblGrid>
      <w:tr>
        <w:trPr>
          <w:tblHeader w:val="true"/>
        </w:trPr>
        <w:tc>
          <w:tcPr>
            <w:tcW w:type="dxa" w:w="1304"/>
            <w:shd w:fill="1F4E78"/>
            <w:vAlign w:val="center"/>
          </w:tcPr>
          <w:p>
            <w:r>
              <w:rPr>
                <w:b/>
                <w:color w:val="FFFFFF"/>
                <w:sz w:val="18"/>
              </w:rPr>
              <w:t>显存</w:t>
            </w:r>
          </w:p>
        </w:tc>
        <w:tc>
          <w:tcPr>
            <w:tcW w:type="dxa" w:w="2891"/>
            <w:shd w:fill="1F4E78"/>
            <w:vAlign w:val="center"/>
          </w:tcPr>
          <w:p>
            <w:r>
              <w:rPr>
                <w:b/>
                <w:color w:val="FFFFFF"/>
                <w:sz w:val="18"/>
              </w:rPr>
              <w:t>适用设置</w:t>
            </w:r>
          </w:p>
        </w:tc>
        <w:tc>
          <w:tcPr>
            <w:tcW w:type="dxa" w:w="4592"/>
            <w:shd w:fill="1F4E78"/>
            <w:vAlign w:val="center"/>
          </w:tcPr>
          <w:p>
            <w:r>
              <w:rPr>
                <w:b/>
                <w:color w:val="FFFFFF"/>
                <w:sz w:val="18"/>
              </w:rPr>
              <w:t>评价</w:t>
            </w:r>
          </w:p>
        </w:tc>
      </w:tr>
      <w:tr>
        <w:tc>
          <w:tcPr>
            <w:tcW w:type="dxa" w:w="1304"/>
            <w:vAlign w:val="center"/>
            <w:tcMar>
              <w:top w:w="100" w:type="dxa"/>
              <w:start w:w="120" w:type="dxa"/>
              <w:bottom w:w="100" w:type="dxa"/>
              <w:end w:w="120" w:type="dxa"/>
            </w:tcMar>
          </w:tcPr>
          <w:p>
            <w:pPr>
              <w:spacing w:after="20" w:line="264" w:lineRule="auto"/>
            </w:pPr>
            <w:r>
              <w:rPr>
                <w:sz w:val="17"/>
              </w:rPr>
              <w:t>V100 32 GB</w:t>
            </w:r>
          </w:p>
        </w:tc>
        <w:tc>
          <w:tcPr>
            <w:tcW w:type="dxa" w:w="2891"/>
            <w:vAlign w:val="center"/>
            <w:tcMar>
              <w:top w:w="100" w:type="dxa"/>
              <w:start w:w="120" w:type="dxa"/>
              <w:bottom w:w="100" w:type="dxa"/>
              <w:end w:w="120" w:type="dxa"/>
            </w:tcMar>
          </w:tcPr>
          <w:p>
            <w:pPr>
              <w:spacing w:after="20" w:line="264" w:lineRule="auto"/>
            </w:pPr>
            <w:r>
              <w:rPr>
                <w:sz w:val="17"/>
              </w:rPr>
              <w:t>512×512，batch 4</w:t>
            </w:r>
          </w:p>
        </w:tc>
        <w:tc>
          <w:tcPr>
            <w:tcW w:type="dxa" w:w="4592"/>
            <w:vAlign w:val="center"/>
            <w:tcMar>
              <w:top w:w="100" w:type="dxa"/>
              <w:start w:w="120" w:type="dxa"/>
              <w:bottom w:w="100" w:type="dxa"/>
              <w:end w:w="120" w:type="dxa"/>
            </w:tcMar>
          </w:tcPr>
          <w:p>
            <w:pPr>
              <w:spacing w:after="20" w:line="264" w:lineRule="auto"/>
            </w:pPr>
            <w:r>
              <w:rPr>
                <w:sz w:val="17"/>
              </w:rPr>
              <w:t>当前实例。显存充足，适合完整训练；支持 CUDA，但 Tensor Core 代际较旧</w:t>
            </w:r>
          </w:p>
        </w:tc>
      </w:tr>
      <w:tr>
        <w:tc>
          <w:tcPr>
            <w:tcW w:type="dxa" w:w="1304"/>
            <w:vAlign w:val="center"/>
            <w:tcMar>
              <w:top w:w="100" w:type="dxa"/>
              <w:start w:w="120" w:type="dxa"/>
              <w:bottom w:w="100" w:type="dxa"/>
              <w:end w:w="120" w:type="dxa"/>
            </w:tcMar>
            <w:shd w:fill="F2F6FA"/>
          </w:tcPr>
          <w:p>
            <w:pPr>
              <w:spacing w:after="20" w:line="264" w:lineRule="auto"/>
            </w:pPr>
            <w:r>
              <w:rPr>
                <w:sz w:val="17"/>
              </w:rPr>
              <w:t>24 GB</w:t>
            </w:r>
          </w:p>
        </w:tc>
        <w:tc>
          <w:tcPr>
            <w:tcW w:type="dxa" w:w="2891"/>
            <w:vAlign w:val="center"/>
            <w:tcMar>
              <w:top w:w="100" w:type="dxa"/>
              <w:start w:w="120" w:type="dxa"/>
              <w:bottom w:w="100" w:type="dxa"/>
              <w:end w:w="120" w:type="dxa"/>
            </w:tcMar>
            <w:shd w:fill="F2F6FA"/>
          </w:tcPr>
          <w:p>
            <w:pPr>
              <w:spacing w:after="20" w:line="264" w:lineRule="auto"/>
            </w:pPr>
            <w:r>
              <w:rPr>
                <w:sz w:val="17"/>
              </w:rPr>
              <w:t>512×512，batch 4</w:t>
            </w:r>
          </w:p>
        </w:tc>
        <w:tc>
          <w:tcPr>
            <w:tcW w:type="dxa" w:w="4592"/>
            <w:vAlign w:val="center"/>
            <w:tcMar>
              <w:top w:w="100" w:type="dxa"/>
              <w:start w:w="120" w:type="dxa"/>
              <w:bottom w:w="100" w:type="dxa"/>
              <w:end w:w="120" w:type="dxa"/>
            </w:tcMar>
            <w:shd w:fill="F2F6FA"/>
          </w:tcPr>
          <w:p>
            <w:pPr>
              <w:spacing w:after="20" w:line="264" w:lineRule="auto"/>
            </w:pPr>
            <w:r>
              <w:rPr>
                <w:sz w:val="17"/>
              </w:rPr>
              <w:t>推荐。与当前代码默认参数匹配，通常无需改模型</w:t>
            </w:r>
          </w:p>
        </w:tc>
      </w:tr>
      <w:tr>
        <w:tc>
          <w:tcPr>
            <w:tcW w:type="dxa" w:w="1304"/>
            <w:vAlign w:val="center"/>
            <w:tcMar>
              <w:top w:w="100" w:type="dxa"/>
              <w:start w:w="120" w:type="dxa"/>
              <w:bottom w:w="100" w:type="dxa"/>
              <w:end w:w="120" w:type="dxa"/>
            </w:tcMar>
          </w:tcPr>
          <w:p>
            <w:pPr>
              <w:spacing w:after="20" w:line="264" w:lineRule="auto"/>
            </w:pPr>
            <w:r>
              <w:rPr>
                <w:sz w:val="17"/>
              </w:rPr>
              <w:t>16 GB</w:t>
            </w:r>
          </w:p>
        </w:tc>
        <w:tc>
          <w:tcPr>
            <w:tcW w:type="dxa" w:w="2891"/>
            <w:vAlign w:val="center"/>
            <w:tcMar>
              <w:top w:w="100" w:type="dxa"/>
              <w:start w:w="120" w:type="dxa"/>
              <w:bottom w:w="100" w:type="dxa"/>
              <w:end w:w="120" w:type="dxa"/>
            </w:tcMar>
          </w:tcPr>
          <w:p>
            <w:pPr>
              <w:spacing w:after="20" w:line="264" w:lineRule="auto"/>
            </w:pPr>
            <w:r>
              <w:rPr>
                <w:sz w:val="17"/>
              </w:rPr>
              <w:t>512×512，batch 2；必要时 384×384</w:t>
            </w:r>
          </w:p>
        </w:tc>
        <w:tc>
          <w:tcPr>
            <w:tcW w:type="dxa" w:w="4592"/>
            <w:vAlign w:val="center"/>
            <w:tcMar>
              <w:top w:w="100" w:type="dxa"/>
              <w:start w:w="120" w:type="dxa"/>
              <w:bottom w:w="100" w:type="dxa"/>
              <w:end w:w="120" w:type="dxa"/>
            </w:tcMar>
          </w:tcPr>
          <w:p>
            <w:pPr>
              <w:spacing w:after="20" w:line="264" w:lineRule="auto"/>
            </w:pPr>
            <w:r>
              <w:rPr>
                <w:sz w:val="17"/>
              </w:rPr>
              <w:t>可以训练，但速度和论文复现一致性略受影响</w:t>
            </w:r>
          </w:p>
        </w:tc>
      </w:tr>
      <w:tr>
        <w:tc>
          <w:tcPr>
            <w:tcW w:type="dxa" w:w="1304"/>
            <w:vAlign w:val="center"/>
            <w:tcMar>
              <w:top w:w="100" w:type="dxa"/>
              <w:start w:w="120" w:type="dxa"/>
              <w:bottom w:w="100" w:type="dxa"/>
              <w:end w:w="120" w:type="dxa"/>
            </w:tcMar>
            <w:shd w:fill="F2F6FA"/>
          </w:tcPr>
          <w:p>
            <w:pPr>
              <w:spacing w:after="20" w:line="264" w:lineRule="auto"/>
            </w:pPr>
            <w:r>
              <w:rPr>
                <w:sz w:val="17"/>
              </w:rPr>
              <w:t>12 GB</w:t>
            </w:r>
          </w:p>
        </w:tc>
        <w:tc>
          <w:tcPr>
            <w:tcW w:type="dxa" w:w="2891"/>
            <w:vAlign w:val="center"/>
            <w:tcMar>
              <w:top w:w="100" w:type="dxa"/>
              <w:start w:w="120" w:type="dxa"/>
              <w:bottom w:w="100" w:type="dxa"/>
              <w:end w:w="120" w:type="dxa"/>
            </w:tcMar>
            <w:shd w:fill="F2F6FA"/>
          </w:tcPr>
          <w:p>
            <w:pPr>
              <w:spacing w:after="20" w:line="264" w:lineRule="auto"/>
            </w:pPr>
            <w:r>
              <w:rPr>
                <w:sz w:val="17"/>
              </w:rPr>
              <w:t>512×512，batch 1，或 384×384 batch 2</w:t>
            </w:r>
          </w:p>
        </w:tc>
        <w:tc>
          <w:tcPr>
            <w:tcW w:type="dxa" w:w="4592"/>
            <w:vAlign w:val="center"/>
            <w:tcMar>
              <w:top w:w="100" w:type="dxa"/>
              <w:start w:w="120" w:type="dxa"/>
              <w:bottom w:w="100" w:type="dxa"/>
              <w:end w:w="120" w:type="dxa"/>
            </w:tcMar>
            <w:shd w:fill="F2F6FA"/>
          </w:tcPr>
          <w:p>
            <w:pPr>
              <w:spacing w:after="20" w:line="264" w:lineRule="auto"/>
            </w:pPr>
            <w:r>
              <w:rPr>
                <w:sz w:val="17"/>
              </w:rPr>
              <w:t>仅适合试跑，不建议作为完整实验首选</w:t>
            </w:r>
          </w:p>
        </w:tc>
      </w:tr>
      <w:tr>
        <w:tc>
          <w:tcPr>
            <w:tcW w:type="dxa" w:w="1304"/>
            <w:vAlign w:val="center"/>
            <w:tcMar>
              <w:top w:w="100" w:type="dxa"/>
              <w:start w:w="120" w:type="dxa"/>
              <w:bottom w:w="100" w:type="dxa"/>
              <w:end w:w="120" w:type="dxa"/>
            </w:tcMar>
          </w:tcPr>
          <w:p>
            <w:pPr>
              <w:spacing w:after="20" w:line="264" w:lineRule="auto"/>
            </w:pPr>
            <w:r>
              <w:rPr>
                <w:sz w:val="17"/>
              </w:rPr>
              <w:t>40 GB 及以上</w:t>
            </w:r>
          </w:p>
        </w:tc>
        <w:tc>
          <w:tcPr>
            <w:tcW w:type="dxa" w:w="2891"/>
            <w:vAlign w:val="center"/>
            <w:tcMar>
              <w:top w:w="100" w:type="dxa"/>
              <w:start w:w="120" w:type="dxa"/>
              <w:bottom w:w="100" w:type="dxa"/>
              <w:end w:w="120" w:type="dxa"/>
            </w:tcMar>
          </w:tcPr>
          <w:p>
            <w:pPr>
              <w:spacing w:after="20" w:line="264" w:lineRule="auto"/>
            </w:pPr>
            <w:r>
              <w:rPr>
                <w:sz w:val="17"/>
              </w:rPr>
              <w:t>512×512，batch 4至8</w:t>
            </w:r>
          </w:p>
        </w:tc>
        <w:tc>
          <w:tcPr>
            <w:tcW w:type="dxa" w:w="4592"/>
            <w:vAlign w:val="center"/>
            <w:tcMar>
              <w:top w:w="100" w:type="dxa"/>
              <w:start w:w="120" w:type="dxa"/>
              <w:bottom w:w="100" w:type="dxa"/>
              <w:end w:w="120" w:type="dxa"/>
            </w:tcMar>
          </w:tcPr>
          <w:p>
            <w:pPr>
              <w:spacing w:after="20" w:line="264" w:lineRule="auto"/>
            </w:pPr>
            <w:r>
              <w:rPr>
                <w:sz w:val="17"/>
              </w:rPr>
              <w:t>速度更快，但当前轻量模型通常没有必要</w:t>
            </w:r>
          </w:p>
        </w:tc>
      </w:tr>
    </w:tbl>
    <w:p>
      <w:pPr>
        <w:spacing w:after="20"/>
      </w:pPr>
    </w:p>
    <w:p>
      <w:r>
        <w:t>截图中的 V100 32 GB、55 GB 内存和 150 GB 数据盘可以满足当前 CFDSLite-UNet。4 核 CPU 足够，但数据解码可能限制 GPU 利用率；建议 DataLoader workers 从 2 开始。按 1 元每小时计费时，应避免开机后才研究数据下载地址。平台应支持网页终端或 SSH，并确认数据盘在关机后是否保留。</w:t>
      </w:r>
    </w:p>
    <w:p>
      <w:pPr>
        <w:pStyle w:val="ListBullet"/>
        <w:spacing w:after="60"/>
      </w:pPr>
      <w:r>
        <w:t>基础镜像选择 Ubuntu 22.04、CUDA 12.1 左右、PyTorch 2.x。</w:t>
      </w:r>
    </w:p>
    <w:p>
      <w:pPr>
        <w:pStyle w:val="ListBullet"/>
        <w:spacing w:after="60"/>
      </w:pPr>
      <w:r>
        <w:t>实例开机前确认数据盘是否会在关机后保留；临时系统盘通常可能随实例释放而清空。</w:t>
      </w:r>
    </w:p>
    <w:p>
      <w:pPr>
        <w:pStyle w:val="ListBullet"/>
        <w:spacing w:after="60"/>
      </w:pPr>
      <w:r>
        <w:t>不要购买多卡实例。当前代码是单卡训练，多卡不会自动加速。</w:t>
      </w:r>
    </w:p>
    <w:p>
      <w:pPr>
        <w:pStyle w:val="Heading2"/>
      </w:pPr>
      <w:r>
        <w:t>1.2 服务器目录规划</w:t>
      </w:r>
    </w:p>
    <w:p>
      <w:r>
        <w:t>所有内容放在数据盘中，不放在可能随实例释放而清空的系统盘。不同平台的数据盘挂载路径不同，先用 df -h 检查。下面以 /root/autodl-tmp 为例；如果平台路径不同，只需替换 PROJECT_ROOT。图像和掩膜必须同名，掩膜必须是二值图：白色表示松散，黑色表示背景。</w:t>
      </w:r>
    </w:p>
    <w:p>
      <w:pPr>
        <w:spacing w:before="60" w:after="140" w:line="252" w:lineRule="auto"/>
        <w:ind w:left="255" w:right="142"/>
        <w:shd w:fill="F3F5F7"/>
      </w:pPr>
      <w:r>
        <w:rPr>
          <w:rFonts w:ascii="Consolas" w:hAnsi="Consolas" w:eastAsia="Microsoft YaHei"/>
          <w:color w:val="191919"/>
          <w:sz w:val="17"/>
        </w:rPr>
        <w:t>/root/autodl-tmp/raveling/</w:t>
        <w:br/>
      </w:r>
      <w:r>
        <w:rPr>
          <w:rFonts w:ascii="Consolas" w:hAnsi="Consolas" w:eastAsia="Microsoft YaHei"/>
          <w:color w:val="191919"/>
          <w:sz w:val="17"/>
        </w:rPr>
        <w:t xml:space="preserve">  data/</w:t>
        <w:br/>
      </w:r>
      <w:r>
        <w:rPr>
          <w:rFonts w:ascii="Consolas" w:hAnsi="Consolas" w:eastAsia="Microsoft YaHei"/>
          <w:color w:val="191919"/>
          <w:sz w:val="17"/>
        </w:rPr>
        <w:t xml:space="preserve">    images/</w:t>
        <w:br/>
      </w:r>
      <w:r>
        <w:rPr>
          <w:rFonts w:ascii="Consolas" w:hAnsi="Consolas" w:eastAsia="Microsoft YaHei"/>
          <w:color w:val="191919"/>
          <w:sz w:val="17"/>
        </w:rPr>
        <w:t xml:space="preserve">      road_0001.png</w:t>
        <w:br/>
      </w:r>
      <w:r>
        <w:rPr>
          <w:rFonts w:ascii="Consolas" w:hAnsi="Consolas" w:eastAsia="Microsoft YaHei"/>
          <w:color w:val="191919"/>
          <w:sz w:val="17"/>
        </w:rPr>
        <w:t xml:space="preserve">      road_0002.png</w:t>
        <w:br/>
      </w:r>
      <w:r>
        <w:rPr>
          <w:rFonts w:ascii="Consolas" w:hAnsi="Consolas" w:eastAsia="Microsoft YaHei"/>
          <w:color w:val="191919"/>
          <w:sz w:val="17"/>
        </w:rPr>
        <w:t xml:space="preserve">    masks/</w:t>
        <w:br/>
      </w:r>
      <w:r>
        <w:rPr>
          <w:rFonts w:ascii="Consolas" w:hAnsi="Consolas" w:eastAsia="Microsoft YaHei"/>
          <w:color w:val="191919"/>
          <w:sz w:val="17"/>
        </w:rPr>
        <w:t xml:space="preserve">      road_0001.png</w:t>
        <w:br/>
      </w:r>
      <w:r>
        <w:rPr>
          <w:rFonts w:ascii="Consolas" w:hAnsi="Consolas" w:eastAsia="Microsoft YaHei"/>
          <w:color w:val="191919"/>
          <w:sz w:val="17"/>
        </w:rPr>
        <w:t xml:space="preserve">      road_0002.png</w:t>
        <w:br/>
      </w:r>
    </w:p>
    <w:p>
      <w:r>
        <w:t>在云端终端建立目录：</w:t>
      </w:r>
    </w:p>
    <w:p>
      <w:pPr>
        <w:spacing w:before="60" w:after="140" w:line="252" w:lineRule="auto"/>
        <w:ind w:left="255" w:right="142"/>
        <w:shd w:fill="F3F5F7"/>
      </w:pPr>
      <w:r>
        <w:rPr>
          <w:rFonts w:ascii="Consolas" w:hAnsi="Consolas" w:eastAsia="Microsoft YaHei"/>
          <w:color w:val="191919"/>
          <w:sz w:val="17"/>
        </w:rPr>
        <w:t>df -h</w:t>
        <w:br/>
      </w:r>
      <w:r>
        <w:rPr>
          <w:rFonts w:ascii="Consolas" w:hAnsi="Consolas" w:eastAsia="Microsoft YaHei"/>
          <w:color w:val="191919"/>
          <w:sz w:val="17"/>
        </w:rPr>
        <w:t>export PROJECT_ROOT=/root/autodl-tmp/raveling</w:t>
        <w:br/>
      </w:r>
      <w:r>
        <w:rPr>
          <w:rFonts w:ascii="Consolas" w:hAnsi="Consolas" w:eastAsia="Microsoft YaHei"/>
          <w:color w:val="191919"/>
          <w:sz w:val="17"/>
        </w:rPr>
        <w:t>mkdir -p $PROJECT_ROOT/{data/images,data/masks,data/raw,runs}</w:t>
        <w:br/>
      </w:r>
      <w:r>
        <w:rPr>
          <w:rFonts w:ascii="Consolas" w:hAnsi="Consolas" w:eastAsia="Microsoft YaHei"/>
          <w:color w:val="191919"/>
          <w:sz w:val="17"/>
        </w:rPr>
        <w:t>cd $PROJECT_ROOT</w:t>
        <w:br/>
      </w:r>
      <w:r>
        <w:rPr>
          <w:rFonts w:ascii="Consolas" w:hAnsi="Consolas" w:eastAsia="Microsoft YaHei"/>
          <w:color w:val="191919"/>
          <w:sz w:val="17"/>
        </w:rPr>
        <w:t>pwd</w:t>
        <w:br/>
      </w:r>
    </w:p>
    <w:p>
      <w:pPr>
        <w:pStyle w:val="Heading1"/>
      </w:pPr>
      <w:r>
        <w:t>二 终端获取代码和数据</w:t>
      </w:r>
    </w:p>
    <w:p>
      <w:pPr>
        <w:pStyle w:val="Heading2"/>
      </w:pPr>
      <w:r>
        <w:t>2.1 获取训练代码</w:t>
      </w:r>
    </w:p>
    <w:p>
      <w:r>
        <w:t>最稳定的全云端方式是把本项目代码放入私有 Git 仓库，再在服务器克隆。代码仓库只需包含 cfds_lite_unet.py、pavement_detection.py、requirements.txt 和 README.md，不要提交数据集或密钥。将下方地址替换为自己的仓库地址。</w:t>
      </w:r>
    </w:p>
    <w:p>
      <w:pPr>
        <w:spacing w:before="60" w:after="140" w:line="252" w:lineRule="auto"/>
        <w:ind w:left="255" w:right="142"/>
        <w:shd w:fill="F3F5F7"/>
      </w:pPr>
      <w:r>
        <w:rPr>
          <w:rFonts w:ascii="Consolas" w:hAnsi="Consolas" w:eastAsia="Microsoft YaHei"/>
          <w:color w:val="191919"/>
          <w:sz w:val="17"/>
        </w:rPr>
        <w:t>export PROJECT_ROOT=/root/autodl-tmp/raveling</w:t>
        <w:br/>
      </w:r>
      <w:r>
        <w:rPr>
          <w:rFonts w:ascii="Consolas" w:hAnsi="Consolas" w:eastAsia="Microsoft YaHei"/>
          <w:color w:val="191919"/>
          <w:sz w:val="17"/>
        </w:rPr>
        <w:t>git clone https://github.com/你的账号/你的仓库.git $PROJECT_ROOT/code</w:t>
        <w:br/>
      </w:r>
      <w:r>
        <w:rPr>
          <w:rFonts w:ascii="Consolas" w:hAnsi="Consolas" w:eastAsia="Microsoft YaHei"/>
          <w:color w:val="191919"/>
          <w:sz w:val="17"/>
        </w:rPr>
        <w:t>cd $PROJECT_ROOT/code</w:t>
        <w:br/>
      </w:r>
      <w:r>
        <w:rPr>
          <w:rFonts w:ascii="Consolas" w:hAnsi="Consolas" w:eastAsia="Microsoft YaHei"/>
          <w:color w:val="191919"/>
          <w:sz w:val="17"/>
        </w:rPr>
        <w:t>ln -sfn $PROJECT_ROOT/data data</w:t>
        <w:br/>
      </w:r>
      <w:r>
        <w:rPr>
          <w:rFonts w:ascii="Consolas" w:hAnsi="Consolas" w:eastAsia="Microsoft YaHei"/>
          <w:color w:val="191919"/>
          <w:sz w:val="17"/>
        </w:rPr>
        <w:t>python -m py_compile cfds_lite_unet.py pavement_detection.py</w:t>
        <w:br/>
      </w:r>
    </w:p>
    <w:p>
      <w:r>
        <w:t>如果暂时没有 Git 仓库，可在平台的 Jupyter 文件区仅上传这 4 个很小的代码文件；数据集仍全部通过终端下载。不要在终端粘贴来源不明的安装脚本。</w:t>
      </w:r>
    </w:p>
    <w:p>
      <w:pPr>
        <w:pStyle w:val="Heading2"/>
      </w:pPr>
      <w:r>
        <w:t>2.2 直接下载 PaveSeg 预览集</w:t>
      </w:r>
    </w:p>
    <w:p>
      <w:r>
        <w:t>PaveSeg 的公开仓库包含 100 张像素级分割预览样本，适合验证训练流水线，但它不含松散类别，不能单独作为最终松散模型的数据。</w:t>
      </w:r>
    </w:p>
    <w:p>
      <w:pPr>
        <w:spacing w:before="60" w:after="140" w:line="252" w:lineRule="auto"/>
        <w:ind w:left="255" w:right="142"/>
        <w:shd w:fill="F3F5F7"/>
      </w:pPr>
      <w:r>
        <w:rPr>
          <w:rFonts w:ascii="Consolas" w:hAnsi="Consolas" w:eastAsia="Microsoft YaHei"/>
          <w:color w:val="191919"/>
          <w:sz w:val="17"/>
        </w:rPr>
        <w:t>cd $PROJECT_ROOT/data/raw</w:t>
        <w:br/>
      </w:r>
      <w:r>
        <w:rPr>
          <w:rFonts w:ascii="Consolas" w:hAnsi="Consolas" w:eastAsia="Microsoft YaHei"/>
          <w:color w:val="191919"/>
          <w:sz w:val="17"/>
        </w:rPr>
        <w:t>git clone --depth 1 https://github.com/FuturePave/PaveSeg-Dataset.git paveseg</w:t>
        <w:br/>
      </w:r>
      <w:r>
        <w:rPr>
          <w:rFonts w:ascii="Consolas" w:hAnsi="Consolas" w:eastAsia="Microsoft YaHei"/>
          <w:color w:val="191919"/>
          <w:sz w:val="17"/>
        </w:rPr>
        <w:t>find paveseg -maxdepth 2 -type f | head</w:t>
        <w:br/>
      </w:r>
      <w:r>
        <w:rPr>
          <w:rFonts w:ascii="Consolas" w:hAnsi="Consolas" w:eastAsia="Microsoft YaHei"/>
          <w:color w:val="191919"/>
          <w:sz w:val="17"/>
        </w:rPr>
        <w:t>du -sh paveseg</w:t>
        <w:br/>
      </w:r>
    </w:p>
    <w:p>
      <w:pPr>
        <w:pStyle w:val="Heading2"/>
      </w:pPr>
      <w:r>
        <w:t>2.3 通过 Kaggle CLI 下载</w:t>
      </w:r>
    </w:p>
    <w:p>
      <w:r>
        <w:t>Kaggle 数据下载需要账号 API 凭据。先在 Kaggle 账户设置中创建 token，再把 kaggle.json 上传到服务器账户目录，或按平台安全方式设置 KAGGLE_USERNAME 和 KAGGLE_KEY。不要把 token 写入公开 Git 仓库。安装并下载后再解压到数据盘。</w:t>
      </w:r>
    </w:p>
    <w:p>
      <w:pPr>
        <w:spacing w:before="60" w:after="140" w:line="252" w:lineRule="auto"/>
        <w:ind w:left="255" w:right="142"/>
        <w:shd w:fill="F3F5F7"/>
      </w:pPr>
      <w:r>
        <w:rPr>
          <w:rFonts w:ascii="Consolas" w:hAnsi="Consolas" w:eastAsia="Microsoft YaHei"/>
          <w:color w:val="191919"/>
          <w:sz w:val="17"/>
        </w:rPr>
        <w:t>python -m pip install -U kaggle</w:t>
        <w:br/>
      </w:r>
      <w:r>
        <w:rPr>
          <w:rFonts w:ascii="Consolas" w:hAnsi="Consolas" w:eastAsia="Microsoft YaHei"/>
          <w:color w:val="191919"/>
          <w:sz w:val="17"/>
        </w:rPr>
        <w:t>mkdir -p ~/.kaggle</w:t>
        <w:br/>
      </w:r>
      <w:r>
        <w:rPr>
          <w:rFonts w:ascii="Consolas" w:hAnsi="Consolas" w:eastAsia="Microsoft YaHei"/>
          <w:color w:val="191919"/>
          <w:sz w:val="17"/>
        </w:rPr>
        <w:t>chmod 600 ~/.kaggle/kaggle.json</w:t>
        <w:br/>
      </w:r>
      <w:r>
        <w:rPr>
          <w:rFonts w:ascii="Consolas" w:hAnsi="Consolas" w:eastAsia="Microsoft YaHei"/>
          <w:color w:val="191919"/>
          <w:sz w:val="17"/>
        </w:rPr>
        <w:t>cd $PROJECT_ROOT/data/raw</w:t>
        <w:br/>
      </w:r>
      <w:r>
        <w:rPr>
          <w:rFonts w:ascii="Consolas" w:hAnsi="Consolas" w:eastAsia="Microsoft YaHei"/>
          <w:color w:val="191919"/>
          <w:sz w:val="17"/>
        </w:rPr>
        <w:t># 专门的松散检测竞赛数据；若竞赛要求接受规则，需先在网页完成</w:t>
        <w:br/>
      </w:r>
      <w:r>
        <w:rPr>
          <w:rFonts w:ascii="Consolas" w:hAnsi="Consolas" w:eastAsia="Microsoft YaHei"/>
          <w:color w:val="191919"/>
          <w:sz w:val="17"/>
        </w:rPr>
        <w:t>kaggle competitions download -c cee-4803-fall-2022 -p raveling_kaggle</w:t>
        <w:br/>
      </w:r>
      <w:r>
        <w:rPr>
          <w:rFonts w:ascii="Consolas" w:hAnsi="Consolas" w:eastAsia="Microsoft YaHei"/>
          <w:color w:val="191919"/>
          <w:sz w:val="17"/>
        </w:rPr>
        <w:t>unzip -q raveling_kaggle/*.zip -d raveling_kaggle/extracted</w:t>
        <w:br/>
      </w:r>
      <w:r>
        <w:rPr>
          <w:rFonts w:ascii="Consolas" w:hAnsi="Consolas" w:eastAsia="Microsoft YaHei"/>
          <w:color w:val="191919"/>
          <w:sz w:val="17"/>
        </w:rPr>
        <w:t>find raveling_kaggle/extracted -maxdepth 2 -type f | head</w:t>
        <w:br/>
      </w:r>
      <w:r>
        <w:rPr>
          <w:rFonts w:ascii="Consolas" w:hAnsi="Consolas" w:eastAsia="Microsoft YaHei"/>
          <w:color w:val="191919"/>
          <w:sz w:val="17"/>
        </w:rPr>
        <w:t>du -sh raveling_kaggle</w:t>
        <w:br/>
      </w:r>
    </w:p>
    <w:p>
      <w:r>
        <w:t>如果出现 401 或 403，通常是凭据无效、尚未接受竞赛规则或数据所有者限制访问，而不是命令错误。</w:t>
      </w:r>
    </w:p>
    <w:p>
      <w:pPr>
        <w:pStyle w:val="Heading2"/>
      </w:pPr>
      <w:r>
        <w:t>2.4 受限数据不能匿名下载</w:t>
      </w:r>
    </w:p>
    <w:p>
      <w:r>
        <w:t>EGY_PDD 最接近松散任务，包含 Raveling and Weathering、RGB、深度图和 PCD，但官方要求学术申请并签署协议，因此没有合法的匿名 wget 地址。获得作者授权和下载链接后，才能在服务器使用 wget 或 curl 下载。</w:t>
      </w:r>
    </w:p>
    <w:p>
      <w:pPr>
        <w:spacing w:before="60" w:after="140" w:line="252" w:lineRule="auto"/>
        <w:ind w:left="255" w:right="142"/>
        <w:shd w:fill="F3F5F7"/>
      </w:pPr>
      <w:r>
        <w:rPr>
          <w:rFonts w:ascii="Consolas" w:hAnsi="Consolas" w:eastAsia="Microsoft YaHei"/>
          <w:color w:val="191919"/>
          <w:sz w:val="17"/>
        </w:rPr>
        <w:t>cd $PROJECT_ROOT/data/raw</w:t>
        <w:br/>
      </w:r>
      <w:r>
        <w:rPr>
          <w:rFonts w:ascii="Consolas" w:hAnsi="Consolas" w:eastAsia="Microsoft YaHei"/>
          <w:color w:val="191919"/>
          <w:sz w:val="17"/>
        </w:rPr>
        <w:t>wget -c '作者授权后的下载链接' -O egy_pdd.zip</w:t>
        <w:br/>
      </w:r>
      <w:r>
        <w:rPr>
          <w:rFonts w:ascii="Consolas" w:hAnsi="Consolas" w:eastAsia="Microsoft YaHei"/>
          <w:color w:val="191919"/>
          <w:sz w:val="17"/>
        </w:rPr>
        <w:t>unzip -q egy_pdd.zip -d egy_pdd</w:t>
        <w:br/>
      </w:r>
    </w:p>
    <w:p>
      <w:r>
        <w:t>不要使用来历不明的转载链接绕过授权。公开分割数据可以用于流程预训练，真正的松散分割仍需要 EGY_PDD 授权数据、论文作者数据或自采数据。</w:t>
      </w:r>
    </w:p>
    <w:p>
      <w:pPr>
        <w:pStyle w:val="Heading1"/>
      </w:pPr>
      <w:r>
        <w:t>三 初始化服务器</w:t>
      </w:r>
    </w:p>
    <w:p>
      <w:pPr>
        <w:pStyle w:val="Heading2"/>
      </w:pPr>
      <w:r>
        <w:t>3.1 检查 GPU</w:t>
      </w:r>
    </w:p>
    <w:p>
      <w:pPr>
        <w:spacing w:before="60" w:after="140" w:line="252" w:lineRule="auto"/>
        <w:ind w:left="255" w:right="142"/>
        <w:shd w:fill="F3F5F7"/>
      </w:pPr>
      <w:r>
        <w:rPr>
          <w:rFonts w:ascii="Consolas" w:hAnsi="Consolas" w:eastAsia="Microsoft YaHei"/>
          <w:color w:val="191919"/>
          <w:sz w:val="17"/>
        </w:rPr>
        <w:t>nvidia-smi</w:t>
        <w:br/>
      </w:r>
      <w:r>
        <w:rPr>
          <w:rFonts w:ascii="Consolas" w:hAnsi="Consolas" w:eastAsia="Microsoft YaHei"/>
          <w:color w:val="191919"/>
          <w:sz w:val="17"/>
        </w:rPr>
        <w:t>python --version</w:t>
        <w:br/>
      </w:r>
      <w:r>
        <w:rPr>
          <w:rFonts w:ascii="Consolas" w:hAnsi="Consolas" w:eastAsia="Microsoft YaHei"/>
          <w:color w:val="191919"/>
          <w:sz w:val="17"/>
        </w:rPr>
        <w:t>python -c "import torch; print(torch.__version__); print(torch.cuda.is_available()); print(torch.cuda.get_device_name(0) if torch.cuda.is_available() else 'NO GPU')"</w:t>
        <w:br/>
      </w:r>
    </w:p>
    <w:p>
      <w:r>
        <w:t>最后一条命令应显示 True 和正确的 GPU 名称。如果显示 False，不要开始训练；应更换带 CUDA 的 PyTorch 镜像或安装与平台驱动兼容的 PyTorch。</w:t>
      </w:r>
    </w:p>
    <w:p>
      <w:pPr>
        <w:pStyle w:val="Heading2"/>
      </w:pPr>
      <w:r>
        <w:t>3.2 解压与创建环境</w:t>
      </w:r>
    </w:p>
    <w:p>
      <w:pPr>
        <w:spacing w:before="60" w:after="140" w:line="252" w:lineRule="auto"/>
        <w:ind w:left="255" w:right="142"/>
        <w:shd w:fill="F3F5F7"/>
      </w:pPr>
      <w:r>
        <w:rPr>
          <w:rFonts w:ascii="Consolas" w:hAnsi="Consolas" w:eastAsia="Microsoft YaHei"/>
          <w:color w:val="191919"/>
          <w:sz w:val="17"/>
        </w:rPr>
        <w:t>export PROJECT_ROOT=/root/autodl-tmp/raveling</w:t>
        <w:br/>
      </w:r>
      <w:r>
        <w:rPr>
          <w:rFonts w:ascii="Consolas" w:hAnsi="Consolas" w:eastAsia="Microsoft YaHei"/>
          <w:color w:val="191919"/>
          <w:sz w:val="17"/>
        </w:rPr>
        <w:t>cd $PROJECT_ROOT/code</w:t>
        <w:br/>
      </w:r>
      <w:r>
        <w:rPr>
          <w:rFonts w:ascii="Consolas" w:hAnsi="Consolas" w:eastAsia="Microsoft YaHei"/>
          <w:color w:val="191919"/>
          <w:sz w:val="17"/>
        </w:rPr>
        <w:t>python -m venv .venv</w:t>
        <w:br/>
      </w:r>
      <w:r>
        <w:rPr>
          <w:rFonts w:ascii="Consolas" w:hAnsi="Consolas" w:eastAsia="Microsoft YaHei"/>
          <w:color w:val="191919"/>
          <w:sz w:val="17"/>
        </w:rPr>
        <w:t>source .venv/bin/activate</w:t>
        <w:br/>
      </w:r>
      <w:r>
        <w:rPr>
          <w:rFonts w:ascii="Consolas" w:hAnsi="Consolas" w:eastAsia="Microsoft YaHei"/>
          <w:color w:val="191919"/>
          <w:sz w:val="17"/>
        </w:rPr>
        <w:t>python -m pip install --upgrade pip</w:t>
        <w:br/>
      </w:r>
      <w:r>
        <w:rPr>
          <w:rFonts w:ascii="Consolas" w:hAnsi="Consolas" w:eastAsia="Microsoft YaHei"/>
          <w:color w:val="191919"/>
          <w:sz w:val="17"/>
        </w:rPr>
        <w:t>python -m pip install -r requirements.txt</w:t>
        <w:br/>
      </w:r>
    </w:p>
    <w:p>
      <w:r>
        <w:t>如果镜像已经预装可用的 GPU 版 PyTorch，执行 requirements.txt 时应留意 pip 是否把它替换为不兼容版本。安装后必须再次检查 CUDA：</w:t>
      </w:r>
    </w:p>
    <w:p>
      <w:pPr>
        <w:spacing w:before="60" w:after="140" w:line="252" w:lineRule="auto"/>
        <w:ind w:left="255" w:right="142"/>
        <w:shd w:fill="F3F5F7"/>
      </w:pPr>
      <w:r>
        <w:rPr>
          <w:rFonts w:ascii="Consolas" w:hAnsi="Consolas" w:eastAsia="Microsoft YaHei"/>
          <w:color w:val="191919"/>
          <w:sz w:val="17"/>
        </w:rPr>
        <w:t>python -c "import torch, cv2; print('torch=',torch.__version__,'cuda=',torch.cuda.is_available(),'opencv=',cv2.__version__)"</w:t>
        <w:br/>
      </w:r>
    </w:p>
    <w:p>
      <w:pPr>
        <w:pStyle w:val="Heading1"/>
      </w:pPr>
      <w:r>
        <w:t>四 训练前质量检查</w:t>
      </w:r>
    </w:p>
    <w:p>
      <w:pPr>
        <w:pStyle w:val="Heading2"/>
      </w:pPr>
      <w:r>
        <w:t>4.1 检查数据数量</w:t>
      </w:r>
    </w:p>
    <w:p>
      <w:pPr>
        <w:spacing w:before="60" w:after="140" w:line="252" w:lineRule="auto"/>
        <w:ind w:left="255" w:right="142"/>
        <w:shd w:fill="F3F5F7"/>
      </w:pPr>
      <w:r>
        <w:rPr>
          <w:rFonts w:ascii="Consolas" w:hAnsi="Consolas" w:eastAsia="Microsoft YaHei"/>
          <w:color w:val="191919"/>
          <w:sz w:val="17"/>
        </w:rPr>
        <w:t>cd $PROJECT_ROOT/code</w:t>
        <w:br/>
      </w:r>
      <w:r>
        <w:rPr>
          <w:rFonts w:ascii="Consolas" w:hAnsi="Consolas" w:eastAsia="Microsoft YaHei"/>
          <w:color w:val="191919"/>
          <w:sz w:val="17"/>
        </w:rPr>
        <w:t>find data/images -maxdepth 1 -type f | wc -l</w:t>
        <w:br/>
      </w:r>
      <w:r>
        <w:rPr>
          <w:rFonts w:ascii="Consolas" w:hAnsi="Consolas" w:eastAsia="Microsoft YaHei"/>
          <w:color w:val="191919"/>
          <w:sz w:val="17"/>
        </w:rPr>
        <w:t>find data/masks -maxdepth 1 -type f | wc -l</w:t>
        <w:br/>
      </w:r>
      <w:r>
        <w:rPr>
          <w:rFonts w:ascii="Consolas" w:hAnsi="Consolas" w:eastAsia="Microsoft YaHei"/>
          <w:color w:val="191919"/>
          <w:sz w:val="17"/>
        </w:rPr>
        <w:t>du -sh data</w:t>
        <w:br/>
      </w:r>
    </w:p>
    <w:p>
      <w:r>
        <w:t>图像数和掩膜数原则上应相同。当前程序会按文件主名配对；没有同名掩膜的图像会被忽略。</w:t>
      </w:r>
    </w:p>
    <w:p>
      <w:pPr>
        <w:pStyle w:val="Heading2"/>
      </w:pPr>
      <w:r>
        <w:t>4.2 生成初始掩膜</w:t>
      </w:r>
    </w:p>
    <w:p>
      <w:r>
        <w:t>若输入是与论文相似的深度灰度图，可以使用论文参数生成候选掩膜：</w:t>
      </w:r>
    </w:p>
    <w:p>
      <w:pPr>
        <w:spacing w:before="60" w:after="140" w:line="252" w:lineRule="auto"/>
        <w:ind w:left="255" w:right="142"/>
        <w:shd w:fill="F3F5F7"/>
      </w:pPr>
      <w:r>
        <w:rPr>
          <w:rFonts w:ascii="Consolas" w:hAnsi="Consolas" w:eastAsia="Microsoft YaHei"/>
          <w:color w:val="191919"/>
          <w:sz w:val="17"/>
        </w:rPr>
        <w:t>python pavement_detection.py prepare-masks --images data/images --output data/masks --threshold 130</w:t>
        <w:br/>
      </w:r>
    </w:p>
    <w:p>
      <w:r>
        <w:t>这一步只产生预标注。至少随机查看 30 至 50 张掩膜，重点检查阴影误检、裂缝误检、松散区域漏标和掩膜黑白方向。普通 RGB 手机照片不宜盲目使用阈值 130。</w:t>
      </w:r>
    </w:p>
    <w:p>
      <w:pPr>
        <w:pStyle w:val="Heading2"/>
      </w:pPr>
      <w:r>
        <w:t>4.3 先做一分钟试跑</w:t>
      </w:r>
    </w:p>
    <w:p>
      <w:r>
        <w:t>正式训练前先运行 1 个 epoch，确认数据、显存和保存路径都正常。</w:t>
      </w:r>
    </w:p>
    <w:p>
      <w:pPr>
        <w:spacing w:before="60" w:after="140" w:line="252" w:lineRule="auto"/>
        <w:ind w:left="255" w:right="142"/>
        <w:shd w:fill="F3F5F7"/>
      </w:pPr>
      <w:r>
        <w:rPr>
          <w:rFonts w:ascii="Consolas" w:hAnsi="Consolas" w:eastAsia="Microsoft YaHei"/>
          <w:color w:val="191919"/>
          <w:sz w:val="17"/>
        </w:rPr>
        <w:t>mkdir -p runs</w:t>
        <w:br/>
      </w:r>
      <w:r>
        <w:rPr>
          <w:rFonts w:ascii="Consolas" w:hAnsi="Consolas" w:eastAsia="Microsoft YaHei"/>
          <w:color w:val="191919"/>
          <w:sz w:val="17"/>
        </w:rPr>
        <w:t>python pavement_detection.py train --images data/images --masks data/masks --output runs/smoke.pt --epochs 1 --batch-size 1 --workers 0</w:t>
        <w:br/>
      </w:r>
    </w:p>
    <w:p>
      <w:r>
        <w:t>试跑应打印 device=cuda、训练集数量、验证集数量、约 3,547,036 个参数，并在 runs 目录生成 smoke.pt。若 device=cpu，应停止并解决 CUDA 环境问题。</w:t>
      </w:r>
    </w:p>
    <w:p>
      <w:pPr>
        <w:pStyle w:val="Heading1"/>
      </w:pPr>
      <w:r>
        <w:t>五 正式训练</w:t>
      </w:r>
    </w:p>
    <w:p>
      <w:pPr>
        <w:pStyle w:val="Heading2"/>
      </w:pPr>
      <w:r>
        <w:t>5.1 推荐命令</w:t>
      </w:r>
    </w:p>
    <w:p>
      <w:pPr>
        <w:spacing w:before="60" w:after="140" w:line="252" w:lineRule="auto"/>
        <w:ind w:left="255" w:right="142"/>
        <w:shd w:fill="F3F5F7"/>
      </w:pPr>
      <w:r>
        <w:rPr>
          <w:rFonts w:ascii="Consolas" w:hAnsi="Consolas" w:eastAsia="Microsoft YaHei"/>
          <w:color w:val="191919"/>
          <w:sz w:val="17"/>
        </w:rPr>
        <w:t>cd $PROJECT_ROOT/code</w:t>
        <w:br/>
      </w:r>
      <w:r>
        <w:rPr>
          <w:rFonts w:ascii="Consolas" w:hAnsi="Consolas" w:eastAsia="Microsoft YaHei"/>
          <w:color w:val="191919"/>
          <w:sz w:val="17"/>
        </w:rPr>
        <w:t>source .venv/bin/activate</w:t>
        <w:br/>
      </w:r>
      <w:r>
        <w:rPr>
          <w:rFonts w:ascii="Consolas" w:hAnsi="Consolas" w:eastAsia="Microsoft YaHei"/>
          <w:color w:val="191919"/>
          <w:sz w:val="17"/>
        </w:rPr>
        <w:t>mkdir -p runs</w:t>
        <w:br/>
      </w:r>
      <w:r>
        <w:rPr>
          <w:rFonts w:ascii="Consolas" w:hAnsi="Consolas" w:eastAsia="Microsoft YaHei"/>
          <w:color w:val="191919"/>
          <w:sz w:val="17"/>
        </w:rPr>
        <w:t>python -u pavement_detection.py train --images data/images --masks data/masks --output runs/best.pt --epochs 100 --batch-size 4 --lr 1e-4 --weight-decay 1e-5 --val-ratio 0.2 --workers 2 --device cuda 2&gt;&amp;1 | tee runs/train.log</w:t>
        <w:br/>
      </w:r>
    </w:p>
    <w:p>
      <w:r>
        <w:t>若平台的 CPU 核数较少或数据读取报错，将 --workers 4 改为 --workers 0。Windows 服务器也建议使用 0。</w:t>
      </w:r>
    </w:p>
    <w:p>
      <w:pPr>
        <w:pStyle w:val="Heading2"/>
      </w:pPr>
      <w:r>
        <w:t>5.2 有效 Batch size 20</w:t>
      </w:r>
    </w:p>
    <w:p>
      <w:r>
        <w:t>不建议在 V100 32 GB 上直接使用物理 batch 20。512×512 分割训练需要保存各层特征，直接设置 20 很可能触发 CUDA out of memory。使用物理 batch 4 并累计 5 次梯度，可得到有效 batch size 20，同时显存占用接近 batch 4。</w:t>
      </w:r>
    </w:p>
    <w:p>
      <w:pPr>
        <w:spacing w:before="60" w:after="140" w:line="252" w:lineRule="auto"/>
        <w:ind w:left="255" w:right="142"/>
        <w:shd w:fill="F3F5F7"/>
      </w:pPr>
      <w:r>
        <w:rPr>
          <w:rFonts w:ascii="Consolas" w:hAnsi="Consolas" w:eastAsia="Microsoft YaHei"/>
          <w:color w:val="191919"/>
          <w:sz w:val="17"/>
        </w:rPr>
        <w:t>python -u pavement_detection.py train --images data/images --masks data/masks --output runs/best_bs20.pt --epochs 100 --batch-size 4 --accumulation-steps 5 --lr 1e-4 --weight-decay 1e-5 --val-ratio 0.2 --workers 2 --device cuda 2&gt;&amp;1 | tee runs/train_bs20.log</w:t>
        <w:br/>
      </w:r>
    </w:p>
    <w:p>
      <w:r>
        <w:t>梯度累积的有效 batch 20 与一次性物理 batch 20 数值上并非完全相同，但通常足够接近。论文原始设置是 batch 4；如果目标是复现论文，应先完成 batch 4 基线，再把有效 batch 20 作为独立对照实验。</w:t>
      </w:r>
    </w:p>
    <w:p>
      <w:pPr>
        <w:pStyle w:val="Heading2"/>
      </w:pPr>
      <w:r>
        <w:t>5.3 防止终端断开</w:t>
      </w:r>
    </w:p>
    <w:p>
      <w:r>
        <w:t>SSH 训练建议使用 tmux。关闭浏览器或网络断开后，训练仍会继续。</w:t>
      </w:r>
    </w:p>
    <w:p>
      <w:pPr>
        <w:spacing w:before="60" w:after="140" w:line="252" w:lineRule="auto"/>
        <w:ind w:left="255" w:right="142"/>
        <w:shd w:fill="F3F5F7"/>
      </w:pPr>
      <w:r>
        <w:rPr>
          <w:rFonts w:ascii="Consolas" w:hAnsi="Consolas" w:eastAsia="Microsoft YaHei"/>
          <w:color w:val="191919"/>
          <w:sz w:val="17"/>
        </w:rPr>
        <w:t>tmux new -s raveling</w:t>
        <w:br/>
      </w:r>
      <w:r>
        <w:rPr>
          <w:rFonts w:ascii="Consolas" w:hAnsi="Consolas" w:eastAsia="Microsoft YaHei"/>
          <w:color w:val="191919"/>
          <w:sz w:val="17"/>
        </w:rPr>
        <w:t># 在 tmux 内执行正式训练命令</w:t>
        <w:br/>
      </w:r>
      <w:r>
        <w:rPr>
          <w:rFonts w:ascii="Consolas" w:hAnsi="Consolas" w:eastAsia="Microsoft YaHei"/>
          <w:color w:val="191919"/>
          <w:sz w:val="17"/>
        </w:rPr>
        <w:t># 临时离开：按 Ctrl+B，然后按 D</w:t>
        <w:br/>
      </w:r>
      <w:r>
        <w:rPr>
          <w:rFonts w:ascii="Consolas" w:hAnsi="Consolas" w:eastAsia="Microsoft YaHei"/>
          <w:color w:val="191919"/>
          <w:sz w:val="17"/>
        </w:rPr>
        <w:t># 重新连接：</w:t>
        <w:br/>
      </w:r>
      <w:r>
        <w:rPr>
          <w:rFonts w:ascii="Consolas" w:hAnsi="Consolas" w:eastAsia="Microsoft YaHei"/>
          <w:color w:val="191919"/>
          <w:sz w:val="17"/>
        </w:rPr>
        <w:t>tmux attach -t raveling</w:t>
        <w:br/>
      </w:r>
    </w:p>
    <w:p>
      <w:pPr>
        <w:pStyle w:val="Heading2"/>
      </w:pPr>
      <w:r>
        <w:t>5.4 观察训练</w:t>
      </w:r>
    </w:p>
    <w:p>
      <w:pPr>
        <w:spacing w:before="60" w:after="140" w:line="252" w:lineRule="auto"/>
        <w:ind w:left="255" w:right="142"/>
        <w:shd w:fill="F3F5F7"/>
      </w:pPr>
      <w:r>
        <w:rPr>
          <w:rFonts w:ascii="Consolas" w:hAnsi="Consolas" w:eastAsia="Microsoft YaHei"/>
          <w:color w:val="191919"/>
          <w:sz w:val="17"/>
        </w:rPr>
        <w:t>watch -n 2 nvidia-smi</w:t>
        <w:br/>
      </w:r>
      <w:r>
        <w:rPr>
          <w:rFonts w:ascii="Consolas" w:hAnsi="Consolas" w:eastAsia="Microsoft YaHei"/>
          <w:color w:val="191919"/>
          <w:sz w:val="17"/>
        </w:rPr>
        <w:t>tail -f runs/train.log</w:t>
        <w:br/>
      </w:r>
      <w:r>
        <w:rPr>
          <w:rFonts w:ascii="Consolas" w:hAnsi="Consolas" w:eastAsia="Microsoft YaHei"/>
          <w:color w:val="191919"/>
          <w:sz w:val="17"/>
        </w:rPr>
        <w:t>ls -lh runs/best.pt</w:t>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2"/>
        <w:gridCol w:w="4872"/>
      </w:tblGrid>
      <w:tr>
        <w:trPr>
          <w:tblHeader w:val="true"/>
        </w:trPr>
        <w:tc>
          <w:tcPr>
            <w:tcW w:type="dxa" w:w="2948"/>
            <w:shd w:fill="1F4E78"/>
            <w:vAlign w:val="center"/>
          </w:tcPr>
          <w:p>
            <w:r>
              <w:rPr>
                <w:b/>
                <w:color w:val="FFFFFF"/>
                <w:sz w:val="18"/>
              </w:rPr>
              <w:t>现象</w:t>
            </w:r>
          </w:p>
        </w:tc>
        <w:tc>
          <w:tcPr>
            <w:tcW w:type="dxa" w:w="5839"/>
            <w:shd w:fill="1F4E78"/>
            <w:vAlign w:val="center"/>
          </w:tcPr>
          <w:p>
            <w:r>
              <w:rPr>
                <w:b/>
                <w:color w:val="FFFFFF"/>
                <w:sz w:val="18"/>
              </w:rPr>
              <w:t>判断与操作</w:t>
            </w:r>
          </w:p>
        </w:tc>
      </w:tr>
      <w:tr>
        <w:tc>
          <w:tcPr>
            <w:tcW w:type="dxa" w:w="2948"/>
            <w:vAlign w:val="center"/>
            <w:tcMar>
              <w:top w:w="100" w:type="dxa"/>
              <w:start w:w="120" w:type="dxa"/>
              <w:bottom w:w="100" w:type="dxa"/>
              <w:end w:w="120" w:type="dxa"/>
            </w:tcMar>
          </w:tcPr>
          <w:p>
            <w:pPr>
              <w:spacing w:after="20" w:line="264" w:lineRule="auto"/>
            </w:pPr>
            <w:r>
              <w:rPr>
                <w:sz w:val="17"/>
              </w:rPr>
              <w:t>GPU 利用率长期接近 0%</w:t>
            </w:r>
          </w:p>
        </w:tc>
        <w:tc>
          <w:tcPr>
            <w:tcW w:type="dxa" w:w="5839"/>
            <w:vAlign w:val="center"/>
            <w:tcMar>
              <w:top w:w="100" w:type="dxa"/>
              <w:start w:w="120" w:type="dxa"/>
              <w:bottom w:w="100" w:type="dxa"/>
              <w:end w:w="120" w:type="dxa"/>
            </w:tcMar>
          </w:tcPr>
          <w:p>
            <w:pPr>
              <w:spacing w:after="20" w:line="264" w:lineRule="auto"/>
            </w:pPr>
            <w:r>
              <w:rPr>
                <w:sz w:val="17"/>
              </w:rPr>
              <w:t>可能仍在 CPU 训练、数据读取过慢或进程已停止；检查日志和 torch.cuda.is_available()</w:t>
            </w:r>
          </w:p>
        </w:tc>
      </w:tr>
      <w:tr>
        <w:tc>
          <w:tcPr>
            <w:tcW w:type="dxa" w:w="2948"/>
            <w:vAlign w:val="center"/>
            <w:tcMar>
              <w:top w:w="100" w:type="dxa"/>
              <w:start w:w="120" w:type="dxa"/>
              <w:bottom w:w="100" w:type="dxa"/>
              <w:end w:w="120" w:type="dxa"/>
            </w:tcMar>
            <w:shd w:fill="F2F6FA"/>
          </w:tcPr>
          <w:p>
            <w:pPr>
              <w:spacing w:after="20" w:line="264" w:lineRule="auto"/>
            </w:pPr>
            <w:r>
              <w:rPr>
                <w:sz w:val="17"/>
              </w:rPr>
              <w:t>显存不足 CUDA out of memory</w:t>
            </w:r>
          </w:p>
        </w:tc>
        <w:tc>
          <w:tcPr>
            <w:tcW w:type="dxa" w:w="5839"/>
            <w:vAlign w:val="center"/>
            <w:tcMar>
              <w:top w:w="100" w:type="dxa"/>
              <w:start w:w="120" w:type="dxa"/>
              <w:bottom w:w="100" w:type="dxa"/>
              <w:end w:w="120" w:type="dxa"/>
            </w:tcMar>
            <w:shd w:fill="F2F6FA"/>
          </w:tcPr>
          <w:p>
            <w:pPr>
              <w:spacing w:after="20" w:line="264" w:lineRule="auto"/>
            </w:pPr>
            <w:r>
              <w:rPr>
                <w:sz w:val="17"/>
              </w:rPr>
              <w:t>先把 batch size 从 4 改为 2，再改为 1；仍不足则把 size 改为 384</w:t>
            </w:r>
          </w:p>
        </w:tc>
      </w:tr>
      <w:tr>
        <w:tc>
          <w:tcPr>
            <w:tcW w:type="dxa" w:w="2948"/>
            <w:vAlign w:val="center"/>
            <w:tcMar>
              <w:top w:w="100" w:type="dxa"/>
              <w:start w:w="120" w:type="dxa"/>
              <w:bottom w:w="100" w:type="dxa"/>
              <w:end w:w="120" w:type="dxa"/>
            </w:tcMar>
          </w:tcPr>
          <w:p>
            <w:pPr>
              <w:spacing w:after="20" w:line="264" w:lineRule="auto"/>
            </w:pPr>
            <w:r>
              <w:rPr>
                <w:sz w:val="17"/>
              </w:rPr>
              <w:t>loss 下降且 mIoU 上升</w:t>
            </w:r>
          </w:p>
        </w:tc>
        <w:tc>
          <w:tcPr>
            <w:tcW w:type="dxa" w:w="5839"/>
            <w:vAlign w:val="center"/>
            <w:tcMar>
              <w:top w:w="100" w:type="dxa"/>
              <w:start w:w="120" w:type="dxa"/>
              <w:bottom w:w="100" w:type="dxa"/>
              <w:end w:w="120" w:type="dxa"/>
            </w:tcMar>
          </w:tcPr>
          <w:p>
            <w:pPr>
              <w:spacing w:after="20" w:line="264" w:lineRule="auto"/>
            </w:pPr>
            <w:r>
              <w:rPr>
                <w:sz w:val="17"/>
              </w:rPr>
              <w:t>训练正常。best.pt 会在验证 mIoU 创新高时覆盖保存</w:t>
            </w:r>
          </w:p>
        </w:tc>
      </w:tr>
      <w:tr>
        <w:tc>
          <w:tcPr>
            <w:tcW w:type="dxa" w:w="2948"/>
            <w:vAlign w:val="center"/>
            <w:tcMar>
              <w:top w:w="100" w:type="dxa"/>
              <w:start w:w="120" w:type="dxa"/>
              <w:bottom w:w="100" w:type="dxa"/>
              <w:end w:w="120" w:type="dxa"/>
            </w:tcMar>
            <w:shd w:fill="F2F6FA"/>
          </w:tcPr>
          <w:p>
            <w:pPr>
              <w:spacing w:after="20" w:line="264" w:lineRule="auto"/>
            </w:pPr>
            <w:r>
              <w:rPr>
                <w:sz w:val="17"/>
              </w:rPr>
              <w:t>mIoU 很高但现场效果差</w:t>
            </w:r>
          </w:p>
        </w:tc>
        <w:tc>
          <w:tcPr>
            <w:tcW w:type="dxa" w:w="5839"/>
            <w:vAlign w:val="center"/>
            <w:tcMar>
              <w:top w:w="100" w:type="dxa"/>
              <w:start w:w="120" w:type="dxa"/>
              <w:bottom w:w="100" w:type="dxa"/>
              <w:end w:w="120" w:type="dxa"/>
            </w:tcMar>
            <w:shd w:fill="F2F6FA"/>
          </w:tcPr>
          <w:p>
            <w:pPr>
              <w:spacing w:after="20" w:line="264" w:lineRule="auto"/>
            </w:pPr>
            <w:r>
              <w:rPr>
                <w:sz w:val="17"/>
              </w:rPr>
              <w:t>可能存在同一路段数据泄漏、标签由模型自生成或数据来源单一</w:t>
            </w:r>
          </w:p>
        </w:tc>
      </w:tr>
    </w:tbl>
    <w:p>
      <w:pPr>
        <w:spacing w:after="20"/>
      </w:pPr>
    </w:p>
    <w:p>
      <w:pPr>
        <w:pStyle w:val="Heading1"/>
      </w:pPr>
      <w:r>
        <w:t>六 训练完成后的验证</w:t>
      </w:r>
    </w:p>
    <w:p>
      <w:pPr>
        <w:pStyle w:val="Heading2"/>
      </w:pPr>
      <w:r>
        <w:t>6.1 运行预测</w:t>
      </w:r>
    </w:p>
    <w:p>
      <w:pPr>
        <w:spacing w:before="60" w:after="140" w:line="252" w:lineRule="auto"/>
        <w:ind w:left="255" w:right="142"/>
        <w:shd w:fill="F3F5F7"/>
      </w:pPr>
      <w:r>
        <w:rPr>
          <w:rFonts w:ascii="Consolas" w:hAnsi="Consolas" w:eastAsia="Microsoft YaHei"/>
          <w:color w:val="191919"/>
          <w:sz w:val="17"/>
        </w:rPr>
        <w:t>python pavement_detection.py predict --input data/test --weights runs/best.pt --output runs/predictions --device cuda</w:t>
        <w:br/>
      </w:r>
    </w:p>
    <w:p>
      <w:r>
        <w:t>默认扫描幅面为 10.2×11.5 cm，仅适用于论文对应的固定尺度数据。如果图片覆盖范围不同，应传入真实宽度和高度：</w:t>
      </w:r>
    </w:p>
    <w:p>
      <w:pPr>
        <w:spacing w:before="60" w:after="140" w:line="252" w:lineRule="auto"/>
        <w:ind w:left="255" w:right="142"/>
        <w:shd w:fill="F3F5F7"/>
      </w:pPr>
      <w:r>
        <w:rPr>
          <w:rFonts w:ascii="Consolas" w:hAnsi="Consolas" w:eastAsia="Microsoft YaHei"/>
          <w:color w:val="191919"/>
          <w:sz w:val="17"/>
        </w:rPr>
        <w:t>python pavement_detection.py predict --input data/test --weights runs/best.pt --output runs/predictions --width-cm 50 --height-cm 40 --device cuda</w:t>
        <w:br/>
      </w:r>
    </w:p>
    <w:p>
      <w:pPr>
        <w:pStyle w:val="Heading2"/>
      </w:pPr>
      <w:r>
        <w:t>6.2 检查输出</w:t>
      </w:r>
    </w:p>
    <w:p>
      <w:pPr>
        <w:pStyle w:val="ListBullet"/>
        <w:spacing w:after="60"/>
      </w:pPr>
      <w:r>
        <w:t>每张图应生成 *_mask.png，白色区域为预测的松散区域。</w:t>
      </w:r>
    </w:p>
    <w:p>
      <w:pPr>
        <w:pStyle w:val="ListBullet"/>
        <w:spacing w:after="60"/>
      </w:pPr>
      <w:r>
        <w:t>每张图应生成 *_overlay.jpg，用红色叠加预测区域。</w:t>
      </w:r>
    </w:p>
    <w:p>
      <w:pPr>
        <w:pStyle w:val="ListBullet"/>
        <w:spacing w:after="60"/>
      </w:pPr>
      <w:r>
        <w:t>analysis.csv 应包含松散像素比例、实际面积和轻度、中度、重度等级。</w:t>
      </w:r>
    </w:p>
    <w:p>
      <w:pPr>
        <w:pStyle w:val="ListBullet"/>
        <w:spacing w:after="60"/>
      </w:pPr>
      <w:r>
        <w:t>随机查看至少 50 张预测结果，并单独记录漏检和误检，不能只看总体指标。</w:t>
      </w:r>
    </w:p>
    <w:p>
      <w:pPr>
        <w:pStyle w:val="Heading1"/>
      </w:pPr>
      <w:r>
        <w:t>七 下载和备份</w:t>
      </w:r>
    </w:p>
    <w:p>
      <w:r>
        <w:t>关机前至少保存模型、日志和预测结果。若平台的数据盘不是永久盘，应先下载到本地。</w:t>
      </w:r>
    </w:p>
    <w:p>
      <w:pPr>
        <w:spacing w:before="60" w:after="140" w:line="252" w:lineRule="auto"/>
        <w:ind w:left="255" w:right="142"/>
        <w:shd w:fill="F3F5F7"/>
      </w:pPr>
      <w:r>
        <w:rPr>
          <w:rFonts w:ascii="Consolas" w:hAnsi="Consolas" w:eastAsia="Microsoft YaHei"/>
          <w:color w:val="191919"/>
          <w:sz w:val="17"/>
        </w:rPr>
        <w:t>cd $PROJECT_ROOT/code</w:t>
        <w:br/>
      </w:r>
      <w:r>
        <w:rPr>
          <w:rFonts w:ascii="Consolas" w:hAnsi="Consolas" w:eastAsia="Microsoft YaHei"/>
          <w:color w:val="191919"/>
          <w:sz w:val="17"/>
        </w:rPr>
        <w:t>tar -czf raveling_results.tar.gz runs/best.pt runs/train.log runs/predictions</w:t>
        <w:br/>
      </w:r>
    </w:p>
    <w:p>
      <w:r>
        <w:t>从本地 PowerShell 下载，替换实际连接信息：</w:t>
      </w:r>
    </w:p>
    <w:p>
      <w:pPr>
        <w:spacing w:before="60" w:after="140" w:line="252" w:lineRule="auto"/>
        <w:ind w:left="255" w:right="142"/>
        <w:shd w:fill="F3F5F7"/>
      </w:pPr>
      <w:r>
        <w:rPr>
          <w:rFonts w:ascii="Consolas" w:hAnsi="Consolas" w:eastAsia="Microsoft YaHei"/>
          <w:color w:val="191919"/>
          <w:sz w:val="17"/>
        </w:rPr>
        <w:t>scp -P 你的端口 用户名@服务器地址:/root/autodl-tmp/raveling/code/raveling_results.tar.gz 下载目录</w:t>
        <w:br/>
      </w:r>
    </w:p>
    <w:p>
      <w:r>
        <w:t>下载后在本地确认压缩包大小不为零且能够解压，再停止或释放实例。镜像保存不能替代结果下载；不同平台对镜像、系统盘和数据盘的保留规则不同。</w:t>
      </w:r>
    </w:p>
    <w:p>
      <w:pPr>
        <w:pStyle w:val="Heading1"/>
      </w:pPr>
      <w:r>
        <w:t>八 费用和时间控制</w:t>
      </w:r>
    </w:p>
    <w:p>
      <w:pPr>
        <w:pStyle w:val="ListNumber"/>
        <w:spacing w:after="60"/>
      </w:pPr>
      <w:r>
        <w:t>在本地完成文件配对、掩膜抽查和代码语法检查后再开机。</w:t>
      </w:r>
    </w:p>
    <w:p>
      <w:pPr>
        <w:pStyle w:val="ListNumber"/>
        <w:spacing w:after="60"/>
      </w:pPr>
      <w:r>
        <w:t>租卡后先做 1 epoch 试跑；只有确认 GPU、保存路径和指标正常，才开始 100 epochs。</w:t>
      </w:r>
    </w:p>
    <w:p>
      <w:pPr>
        <w:pStyle w:val="ListNumber"/>
        <w:spacing w:after="60"/>
      </w:pPr>
      <w:r>
        <w:t>用前 10 至 20 epochs 判断是否学习。如果 loss 不降或掩膜方向错误，应尽早停止。</w:t>
      </w:r>
    </w:p>
    <w:p>
      <w:pPr>
        <w:pStyle w:val="ListNumber"/>
        <w:spacing w:after="60"/>
      </w:pPr>
      <w:r>
        <w:t>训练结束立即压缩并下载产物；确认下载成功后再关机。</w:t>
      </w:r>
    </w:p>
    <w:p>
      <w:pPr>
        <w:pStyle w:val="ListNumber"/>
        <w:spacing w:after="60"/>
      </w:pPr>
      <w:r>
        <w:t>如果平台按开机时间计费，训练进程结束并不等于实例自动停止。</w:t>
      </w:r>
    </w:p>
    <w:p>
      <w:pPr>
        <w:pStyle w:val="Heading1"/>
      </w:pPr>
      <w:r>
        <w:t>九 常见问题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2"/>
        <w:gridCol w:w="4872"/>
      </w:tblGrid>
      <w:tr>
        <w:trPr>
          <w:tblHeader w:val="true"/>
        </w:trPr>
        <w:tc>
          <w:tcPr>
            <w:tcW w:type="dxa" w:w="2835"/>
            <w:shd w:fill="1F4E78"/>
            <w:vAlign w:val="center"/>
          </w:tcPr>
          <w:p>
            <w:r>
              <w:rPr>
                <w:b/>
                <w:color w:val="FFFFFF"/>
                <w:sz w:val="18"/>
              </w:rPr>
              <w:t>报错或问题</w:t>
            </w:r>
          </w:p>
        </w:tc>
        <w:tc>
          <w:tcPr>
            <w:tcW w:type="dxa" w:w="5953"/>
            <w:shd w:fill="1F4E78"/>
            <w:vAlign w:val="center"/>
          </w:tcPr>
          <w:p>
            <w:r>
              <w:rPr>
                <w:b/>
                <w:color w:val="FFFFFF"/>
                <w:sz w:val="18"/>
              </w:rPr>
              <w:t>解决方法</w:t>
            </w:r>
          </w:p>
        </w:tc>
      </w:tr>
      <w:tr>
        <w:tc>
          <w:tcPr>
            <w:tcW w:type="dxa" w:w="2835"/>
            <w:vAlign w:val="center"/>
            <w:tcMar>
              <w:top w:w="100" w:type="dxa"/>
              <w:start w:w="120" w:type="dxa"/>
              <w:bottom w:w="100" w:type="dxa"/>
              <w:end w:w="120" w:type="dxa"/>
            </w:tcMar>
          </w:tcPr>
          <w:p>
            <w:pPr>
              <w:spacing w:after="20" w:line="264" w:lineRule="auto"/>
            </w:pPr>
            <w:r>
              <w:rPr>
                <w:sz w:val="17"/>
              </w:rPr>
              <w:t>ModuleNotFoundError</w:t>
            </w:r>
          </w:p>
        </w:tc>
        <w:tc>
          <w:tcPr>
            <w:tcW w:type="dxa" w:w="5953"/>
            <w:vAlign w:val="center"/>
            <w:tcMar>
              <w:top w:w="100" w:type="dxa"/>
              <w:start w:w="120" w:type="dxa"/>
              <w:bottom w:w="100" w:type="dxa"/>
              <w:end w:w="120" w:type="dxa"/>
            </w:tcMar>
          </w:tcPr>
          <w:p>
            <w:pPr>
              <w:spacing w:after="20" w:line="264" w:lineRule="auto"/>
            </w:pPr>
            <w:r>
              <w:rPr>
                <w:sz w:val="17"/>
              </w:rPr>
              <w:t>确认已 source .venv/bin/activate，并执行 python -m pip install -r requirements.txt</w:t>
            </w:r>
          </w:p>
        </w:tc>
      </w:tr>
      <w:tr>
        <w:tc>
          <w:tcPr>
            <w:tcW w:type="dxa" w:w="2835"/>
            <w:vAlign w:val="center"/>
            <w:tcMar>
              <w:top w:w="100" w:type="dxa"/>
              <w:start w:w="120" w:type="dxa"/>
              <w:bottom w:w="100" w:type="dxa"/>
              <w:end w:w="120" w:type="dxa"/>
            </w:tcMar>
            <w:shd w:fill="F2F6FA"/>
          </w:tcPr>
          <w:p>
            <w:pPr>
              <w:spacing w:after="20" w:line="264" w:lineRule="auto"/>
            </w:pPr>
            <w:r>
              <w:rPr>
                <w:sz w:val="17"/>
              </w:rPr>
              <w:t>torch.cuda.is_available() 为 False</w:t>
            </w:r>
          </w:p>
        </w:tc>
        <w:tc>
          <w:tcPr>
            <w:tcW w:type="dxa" w:w="5953"/>
            <w:vAlign w:val="center"/>
            <w:tcMar>
              <w:top w:w="100" w:type="dxa"/>
              <w:start w:w="120" w:type="dxa"/>
              <w:bottom w:w="100" w:type="dxa"/>
              <w:end w:w="120" w:type="dxa"/>
            </w:tcMar>
            <w:shd w:fill="F2F6FA"/>
          </w:tcPr>
          <w:p>
            <w:pPr>
              <w:spacing w:after="20" w:line="264" w:lineRule="auto"/>
            </w:pPr>
            <w:r>
              <w:rPr>
                <w:sz w:val="17"/>
              </w:rPr>
              <w:t>使用带 CUDA 的 PyTorch 镜像；根据平台驱动版本安装官方兼容构建，不要继续 CPU 训练</w:t>
            </w:r>
          </w:p>
        </w:tc>
      </w:tr>
      <w:tr>
        <w:tc>
          <w:tcPr>
            <w:tcW w:type="dxa" w:w="2835"/>
            <w:vAlign w:val="center"/>
            <w:tcMar>
              <w:top w:w="100" w:type="dxa"/>
              <w:start w:w="120" w:type="dxa"/>
              <w:bottom w:w="100" w:type="dxa"/>
              <w:end w:w="120" w:type="dxa"/>
            </w:tcMar>
          </w:tcPr>
          <w:p>
            <w:pPr>
              <w:spacing w:after="20" w:line="264" w:lineRule="auto"/>
            </w:pPr>
            <w:r>
              <w:rPr>
                <w:sz w:val="17"/>
              </w:rPr>
              <w:t>No matching image mask pairs</w:t>
            </w:r>
          </w:p>
        </w:tc>
        <w:tc>
          <w:tcPr>
            <w:tcW w:type="dxa" w:w="5953"/>
            <w:vAlign w:val="center"/>
            <w:tcMar>
              <w:top w:w="100" w:type="dxa"/>
              <w:start w:w="120" w:type="dxa"/>
              <w:bottom w:w="100" w:type="dxa"/>
              <w:end w:w="120" w:type="dxa"/>
            </w:tcMar>
          </w:tcPr>
          <w:p>
            <w:pPr>
              <w:spacing w:after="20" w:line="264" w:lineRule="auto"/>
            </w:pPr>
            <w:r>
              <w:rPr>
                <w:sz w:val="17"/>
              </w:rPr>
              <w:t>确保 data/images 与 data/masks 中文件主名一致，例如 road_01.jpg 对应 road_01.png</w:t>
            </w:r>
          </w:p>
        </w:tc>
      </w:tr>
      <w:tr>
        <w:tc>
          <w:tcPr>
            <w:tcW w:type="dxa" w:w="2835"/>
            <w:vAlign w:val="center"/>
            <w:tcMar>
              <w:top w:w="100" w:type="dxa"/>
              <w:start w:w="120" w:type="dxa"/>
              <w:bottom w:w="100" w:type="dxa"/>
              <w:end w:w="120" w:type="dxa"/>
            </w:tcMar>
            <w:shd w:fill="F2F6FA"/>
          </w:tcPr>
          <w:p>
            <w:pPr>
              <w:spacing w:after="20" w:line="264" w:lineRule="auto"/>
            </w:pPr>
            <w:r>
              <w:rPr>
                <w:sz w:val="17"/>
              </w:rPr>
              <w:t>DataLoader worker exited</w:t>
            </w:r>
          </w:p>
        </w:tc>
        <w:tc>
          <w:tcPr>
            <w:tcW w:type="dxa" w:w="5953"/>
            <w:vAlign w:val="center"/>
            <w:tcMar>
              <w:top w:w="100" w:type="dxa"/>
              <w:start w:w="120" w:type="dxa"/>
              <w:bottom w:w="100" w:type="dxa"/>
              <w:end w:w="120" w:type="dxa"/>
            </w:tcMar>
            <w:shd w:fill="F2F6FA"/>
          </w:tcPr>
          <w:p>
            <w:pPr>
              <w:spacing w:after="20" w:line="264" w:lineRule="auto"/>
            </w:pPr>
            <w:r>
              <w:rPr>
                <w:sz w:val="17"/>
              </w:rPr>
              <w:t>把 --workers 改为 0；再检查是否有损坏图片</w:t>
            </w:r>
          </w:p>
        </w:tc>
      </w:tr>
      <w:tr>
        <w:tc>
          <w:tcPr>
            <w:tcW w:type="dxa" w:w="2835"/>
            <w:vAlign w:val="center"/>
            <w:tcMar>
              <w:top w:w="100" w:type="dxa"/>
              <w:start w:w="120" w:type="dxa"/>
              <w:bottom w:w="100" w:type="dxa"/>
              <w:end w:w="120" w:type="dxa"/>
            </w:tcMar>
          </w:tcPr>
          <w:p>
            <w:pPr>
              <w:spacing w:after="20" w:line="264" w:lineRule="auto"/>
            </w:pPr>
            <w:r>
              <w:rPr>
                <w:sz w:val="17"/>
              </w:rPr>
              <w:t>CUDA out of memory</w:t>
            </w:r>
          </w:p>
        </w:tc>
        <w:tc>
          <w:tcPr>
            <w:tcW w:type="dxa" w:w="5953"/>
            <w:vAlign w:val="center"/>
            <w:tcMar>
              <w:top w:w="100" w:type="dxa"/>
              <w:start w:w="120" w:type="dxa"/>
              <w:bottom w:w="100" w:type="dxa"/>
              <w:end w:w="120" w:type="dxa"/>
            </w:tcMar>
          </w:tcPr>
          <w:p>
            <w:pPr>
              <w:spacing w:after="20" w:line="264" w:lineRule="auto"/>
            </w:pPr>
            <w:r>
              <w:rPr>
                <w:sz w:val="17"/>
              </w:rPr>
              <w:t>降低 batch size；关闭占用 GPU 的其他进程；必要时降低输入 size</w:t>
            </w:r>
          </w:p>
        </w:tc>
      </w:tr>
      <w:tr>
        <w:tc>
          <w:tcPr>
            <w:tcW w:type="dxa" w:w="2835"/>
            <w:vAlign w:val="center"/>
            <w:tcMar>
              <w:top w:w="100" w:type="dxa"/>
              <w:start w:w="120" w:type="dxa"/>
              <w:bottom w:w="100" w:type="dxa"/>
              <w:end w:w="120" w:type="dxa"/>
            </w:tcMar>
            <w:shd w:fill="F2F6FA"/>
          </w:tcPr>
          <w:p>
            <w:pPr>
              <w:spacing w:after="20" w:line="264" w:lineRule="auto"/>
            </w:pPr>
            <w:r>
              <w:rPr>
                <w:sz w:val="17"/>
              </w:rPr>
              <w:t>预测面积不可信</w:t>
            </w:r>
          </w:p>
        </w:tc>
        <w:tc>
          <w:tcPr>
            <w:tcW w:type="dxa" w:w="5953"/>
            <w:vAlign w:val="center"/>
            <w:tcMar>
              <w:top w:w="100" w:type="dxa"/>
              <w:start w:w="120" w:type="dxa"/>
              <w:bottom w:w="100" w:type="dxa"/>
              <w:end w:w="120" w:type="dxa"/>
            </w:tcMar>
            <w:shd w:fill="F2F6FA"/>
          </w:tcPr>
          <w:p>
            <w:pPr>
              <w:spacing w:after="20" w:line="264" w:lineRule="auto"/>
            </w:pPr>
            <w:r>
              <w:rPr>
                <w:sz w:val="17"/>
              </w:rPr>
              <w:t>只有像素比例可信；实际 cm² 需要固定扫描幅面、标尺、相机标定或深度设备数据</w:t>
            </w:r>
          </w:p>
        </w:tc>
      </w:tr>
      <w:tr>
        <w:tc>
          <w:tcPr>
            <w:tcW w:type="dxa" w:w="2835"/>
            <w:vAlign w:val="center"/>
            <w:tcMar>
              <w:top w:w="100" w:type="dxa"/>
              <w:start w:w="120" w:type="dxa"/>
              <w:bottom w:w="100" w:type="dxa"/>
              <w:end w:w="120" w:type="dxa"/>
            </w:tcMar>
          </w:tcPr>
          <w:p>
            <w:pPr>
              <w:spacing w:after="20" w:line="264" w:lineRule="auto"/>
            </w:pPr>
            <w:r>
              <w:rPr>
                <w:sz w:val="17"/>
              </w:rPr>
              <w:t>模型只预测背景</w:t>
            </w:r>
          </w:p>
        </w:tc>
        <w:tc>
          <w:tcPr>
            <w:tcW w:type="dxa" w:w="5953"/>
            <w:vAlign w:val="center"/>
            <w:tcMar>
              <w:top w:w="100" w:type="dxa"/>
              <w:start w:w="120" w:type="dxa"/>
              <w:bottom w:w="100" w:type="dxa"/>
              <w:end w:w="120" w:type="dxa"/>
            </w:tcMar>
          </w:tcPr>
          <w:p>
            <w:pPr>
              <w:spacing w:after="20" w:line="264" w:lineRule="auto"/>
            </w:pPr>
            <w:r>
              <w:rPr>
                <w:sz w:val="17"/>
              </w:rPr>
              <w:t>检查正样本比例和掩膜方向；增加松散样本；避免背景数量压倒正样本</w:t>
            </w:r>
          </w:p>
        </w:tc>
      </w:tr>
      <w:tr>
        <w:tc>
          <w:tcPr>
            <w:tcW w:type="dxa" w:w="2835"/>
            <w:vAlign w:val="center"/>
            <w:tcMar>
              <w:top w:w="100" w:type="dxa"/>
              <w:start w:w="120" w:type="dxa"/>
              <w:bottom w:w="100" w:type="dxa"/>
              <w:end w:w="120" w:type="dxa"/>
            </w:tcMar>
            <w:shd w:fill="F2F6FA"/>
          </w:tcPr>
          <w:p>
            <w:pPr>
              <w:spacing w:after="20" w:line="264" w:lineRule="auto"/>
            </w:pPr>
            <w:r>
              <w:rPr>
                <w:sz w:val="17"/>
              </w:rPr>
              <w:t>模型把阴影当松散</w:t>
            </w:r>
          </w:p>
        </w:tc>
        <w:tc>
          <w:tcPr>
            <w:tcW w:type="dxa" w:w="5953"/>
            <w:vAlign w:val="center"/>
            <w:tcMar>
              <w:top w:w="100" w:type="dxa"/>
              <w:start w:w="120" w:type="dxa"/>
              <w:bottom w:w="100" w:type="dxa"/>
              <w:end w:w="120" w:type="dxa"/>
            </w:tcMar>
            <w:shd w:fill="F2F6FA"/>
          </w:tcPr>
          <w:p>
            <w:pPr>
              <w:spacing w:after="20" w:line="264" w:lineRule="auto"/>
            </w:pPr>
            <w:r>
              <w:rPr>
                <w:sz w:val="17"/>
              </w:rPr>
              <w:t>加入阴影困难负样本，修正相关标签，并使用现场图像进行微调</w:t>
            </w:r>
          </w:p>
        </w:tc>
      </w:tr>
    </w:tbl>
    <w:p>
      <w:pPr>
        <w:spacing w:after="20"/>
      </w:pPr>
    </w:p>
    <w:p>
      <w:pPr>
        <w:pStyle w:val="Heading1"/>
      </w:pPr>
      <w:r>
        <w:t>十 推荐实验记录</w:t>
      </w:r>
    </w:p>
    <w:p>
      <w:r>
        <w:t>每次正式训练复制下面信息到实验记录中。没有记录的模型很难比较，也无法可靠复现。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2"/>
        <w:gridCol w:w="4872"/>
      </w:tblGrid>
      <w:tr>
        <w:trPr>
          <w:tblHeader w:val="true"/>
        </w:trPr>
        <w:tc>
          <w:tcPr>
            <w:tcW w:type="dxa" w:w="2381"/>
            <w:shd w:fill="1F4E78"/>
            <w:vAlign w:val="center"/>
          </w:tcPr>
          <w:p>
            <w:r>
              <w:rPr>
                <w:b/>
                <w:color w:val="FFFFFF"/>
                <w:sz w:val="18"/>
              </w:rPr>
              <w:t>字段</w:t>
            </w:r>
          </w:p>
        </w:tc>
        <w:tc>
          <w:tcPr>
            <w:tcW w:type="dxa" w:w="6406"/>
            <w:shd w:fill="1F4E78"/>
            <w:vAlign w:val="center"/>
          </w:tcPr>
          <w:p>
            <w:r>
              <w:rPr>
                <w:b/>
                <w:color w:val="FFFFFF"/>
                <w:sz w:val="18"/>
              </w:rPr>
              <w:t>记录内容</w:t>
            </w:r>
          </w:p>
        </w:tc>
      </w:tr>
      <w:tr>
        <w:tc>
          <w:tcPr>
            <w:tcW w:type="dxa" w:w="2381"/>
            <w:vAlign w:val="center"/>
            <w:tcMar>
              <w:top w:w="100" w:type="dxa"/>
              <w:start w:w="120" w:type="dxa"/>
              <w:bottom w:w="100" w:type="dxa"/>
              <w:end w:w="120" w:type="dxa"/>
            </w:tcMar>
          </w:tcPr>
          <w:p>
            <w:pPr>
              <w:spacing w:after="20" w:line="264" w:lineRule="auto"/>
            </w:pPr>
            <w:r>
              <w:rPr>
                <w:sz w:val="17"/>
              </w:rPr>
              <w:t>实验编号</w:t>
            </w:r>
          </w:p>
        </w:tc>
        <w:tc>
          <w:tcPr>
            <w:tcW w:type="dxa" w:w="6406"/>
            <w:vAlign w:val="center"/>
            <w:tcMar>
              <w:top w:w="100" w:type="dxa"/>
              <w:start w:w="120" w:type="dxa"/>
              <w:bottom w:w="100" w:type="dxa"/>
              <w:end w:w="120" w:type="dxa"/>
            </w:tcMar>
          </w:tcPr>
          <w:p>
            <w:pPr>
              <w:spacing w:after="20" w:line="264" w:lineRule="auto"/>
            </w:pPr>
            <w:r>
              <w:rPr>
                <w:sz w:val="17"/>
              </w:rPr>
              <w:t>例如 EXP 001</w:t>
            </w:r>
          </w:p>
        </w:tc>
      </w:tr>
      <w:tr>
        <w:tc>
          <w:tcPr>
            <w:tcW w:type="dxa" w:w="2381"/>
            <w:vAlign w:val="center"/>
            <w:tcMar>
              <w:top w:w="100" w:type="dxa"/>
              <w:start w:w="120" w:type="dxa"/>
              <w:bottom w:w="100" w:type="dxa"/>
              <w:end w:w="120" w:type="dxa"/>
            </w:tcMar>
            <w:shd w:fill="F2F6FA"/>
          </w:tcPr>
          <w:p>
            <w:pPr>
              <w:spacing w:after="20" w:line="264" w:lineRule="auto"/>
            </w:pPr>
            <w:r>
              <w:rPr>
                <w:sz w:val="17"/>
              </w:rPr>
              <w:t>GPU 与显存</w:t>
            </w:r>
          </w:p>
        </w:tc>
        <w:tc>
          <w:tcPr>
            <w:tcW w:type="dxa" w:w="6406"/>
            <w:vAlign w:val="center"/>
            <w:tcMar>
              <w:top w:w="100" w:type="dxa"/>
              <w:start w:w="120" w:type="dxa"/>
              <w:bottom w:w="100" w:type="dxa"/>
              <w:end w:w="120" w:type="dxa"/>
            </w:tcMar>
            <w:shd w:fill="F2F6FA"/>
          </w:tcPr>
          <w:p>
            <w:pPr>
              <w:spacing w:after="20" w:line="264" w:lineRule="auto"/>
            </w:pPr>
            <w:r>
              <w:rPr>
                <w:sz w:val="17"/>
              </w:rPr>
              <w:t>例如 RTX 4090 24 GB</w:t>
            </w:r>
          </w:p>
        </w:tc>
      </w:tr>
      <w:tr>
        <w:tc>
          <w:tcPr>
            <w:tcW w:type="dxa" w:w="2381"/>
            <w:vAlign w:val="center"/>
            <w:tcMar>
              <w:top w:w="100" w:type="dxa"/>
              <w:start w:w="120" w:type="dxa"/>
              <w:bottom w:w="100" w:type="dxa"/>
              <w:end w:w="120" w:type="dxa"/>
            </w:tcMar>
          </w:tcPr>
          <w:p>
            <w:pPr>
              <w:spacing w:after="20" w:line="264" w:lineRule="auto"/>
            </w:pPr>
            <w:r>
              <w:rPr>
                <w:sz w:val="17"/>
              </w:rPr>
              <w:t>数据版本</w:t>
            </w:r>
          </w:p>
        </w:tc>
        <w:tc>
          <w:tcPr>
            <w:tcW w:type="dxa" w:w="6406"/>
            <w:vAlign w:val="center"/>
            <w:tcMar>
              <w:top w:w="100" w:type="dxa"/>
              <w:start w:w="120" w:type="dxa"/>
              <w:bottom w:w="100" w:type="dxa"/>
              <w:end w:w="120" w:type="dxa"/>
            </w:tcMar>
          </w:tcPr>
          <w:p>
            <w:pPr>
              <w:spacing w:after="20" w:line="264" w:lineRule="auto"/>
            </w:pPr>
            <w:r>
              <w:rPr>
                <w:sz w:val="17"/>
              </w:rPr>
              <w:t>样本总数、各来源数量、掩膜版本</w:t>
            </w:r>
          </w:p>
        </w:tc>
      </w:tr>
      <w:tr>
        <w:tc>
          <w:tcPr>
            <w:tcW w:type="dxa" w:w="2381"/>
            <w:vAlign w:val="center"/>
            <w:tcMar>
              <w:top w:w="100" w:type="dxa"/>
              <w:start w:w="120" w:type="dxa"/>
              <w:bottom w:w="100" w:type="dxa"/>
              <w:end w:w="120" w:type="dxa"/>
            </w:tcMar>
            <w:shd w:fill="F2F6FA"/>
          </w:tcPr>
          <w:p>
            <w:pPr>
              <w:spacing w:after="20" w:line="264" w:lineRule="auto"/>
            </w:pPr>
            <w:r>
              <w:rPr>
                <w:sz w:val="17"/>
              </w:rPr>
              <w:t>数据划分</w:t>
            </w:r>
          </w:p>
        </w:tc>
        <w:tc>
          <w:tcPr>
            <w:tcW w:type="dxa" w:w="6406"/>
            <w:vAlign w:val="center"/>
            <w:tcMar>
              <w:top w:w="100" w:type="dxa"/>
              <w:start w:w="120" w:type="dxa"/>
              <w:bottom w:w="100" w:type="dxa"/>
              <w:end w:w="120" w:type="dxa"/>
            </w:tcMar>
            <w:shd w:fill="F2F6FA"/>
          </w:tcPr>
          <w:p>
            <w:pPr>
              <w:spacing w:after="20" w:line="264" w:lineRule="auto"/>
            </w:pPr>
            <w:r>
              <w:rPr>
                <w:sz w:val="17"/>
              </w:rPr>
              <w:t>训练和验证比例、随机种子、是否按道路或采集批次隔离</w:t>
            </w:r>
          </w:p>
        </w:tc>
      </w:tr>
      <w:tr>
        <w:tc>
          <w:tcPr>
            <w:tcW w:type="dxa" w:w="2381"/>
            <w:vAlign w:val="center"/>
            <w:tcMar>
              <w:top w:w="100" w:type="dxa"/>
              <w:start w:w="120" w:type="dxa"/>
              <w:bottom w:w="100" w:type="dxa"/>
              <w:end w:w="120" w:type="dxa"/>
            </w:tcMar>
          </w:tcPr>
          <w:p>
            <w:pPr>
              <w:spacing w:after="20" w:line="264" w:lineRule="auto"/>
            </w:pPr>
            <w:r>
              <w:rPr>
                <w:sz w:val="17"/>
              </w:rPr>
              <w:t>训练参数</w:t>
            </w:r>
          </w:p>
        </w:tc>
        <w:tc>
          <w:tcPr>
            <w:tcW w:type="dxa" w:w="6406"/>
            <w:vAlign w:val="center"/>
            <w:tcMar>
              <w:top w:w="100" w:type="dxa"/>
              <w:start w:w="120" w:type="dxa"/>
              <w:bottom w:w="100" w:type="dxa"/>
              <w:end w:w="120" w:type="dxa"/>
            </w:tcMar>
          </w:tcPr>
          <w:p>
            <w:pPr>
              <w:spacing w:after="20" w:line="264" w:lineRule="auto"/>
            </w:pPr>
            <w:r>
              <w:rPr>
                <w:sz w:val="17"/>
              </w:rPr>
              <w:t>size、batch、epochs、lr、weight decay</w:t>
            </w:r>
          </w:p>
        </w:tc>
      </w:tr>
      <w:tr>
        <w:tc>
          <w:tcPr>
            <w:tcW w:type="dxa" w:w="2381"/>
            <w:vAlign w:val="center"/>
            <w:tcMar>
              <w:top w:w="100" w:type="dxa"/>
              <w:start w:w="120" w:type="dxa"/>
              <w:bottom w:w="100" w:type="dxa"/>
              <w:end w:w="120" w:type="dxa"/>
            </w:tcMar>
            <w:shd w:fill="F2F6FA"/>
          </w:tcPr>
          <w:p>
            <w:pPr>
              <w:spacing w:after="20" w:line="264" w:lineRule="auto"/>
            </w:pPr>
            <w:r>
              <w:rPr>
                <w:sz w:val="17"/>
              </w:rPr>
              <w:t>最佳结果</w:t>
            </w:r>
          </w:p>
        </w:tc>
        <w:tc>
          <w:tcPr>
            <w:tcW w:type="dxa" w:w="6406"/>
            <w:vAlign w:val="center"/>
            <w:tcMar>
              <w:top w:w="100" w:type="dxa"/>
              <w:start w:w="120" w:type="dxa"/>
              <w:bottom w:w="100" w:type="dxa"/>
              <w:end w:w="120" w:type="dxa"/>
            </w:tcMar>
            <w:shd w:fill="F2F6FA"/>
          </w:tcPr>
          <w:p>
            <w:pPr>
              <w:spacing w:after="20" w:line="264" w:lineRule="auto"/>
            </w:pPr>
            <w:r>
              <w:rPr>
                <w:sz w:val="17"/>
              </w:rPr>
              <w:t>epoch、mIoU、F1、Recall、Pixel Accuracy</w:t>
            </w:r>
          </w:p>
        </w:tc>
      </w:tr>
      <w:tr>
        <w:tc>
          <w:tcPr>
            <w:tcW w:type="dxa" w:w="2381"/>
            <w:vAlign w:val="center"/>
            <w:tcMar>
              <w:top w:w="100" w:type="dxa"/>
              <w:start w:w="120" w:type="dxa"/>
              <w:bottom w:w="100" w:type="dxa"/>
              <w:end w:w="120" w:type="dxa"/>
            </w:tcMar>
          </w:tcPr>
          <w:p>
            <w:pPr>
              <w:spacing w:after="20" w:line="264" w:lineRule="auto"/>
            </w:pPr>
            <w:r>
              <w:rPr>
                <w:sz w:val="17"/>
              </w:rPr>
              <w:t>模型文件</w:t>
            </w:r>
          </w:p>
        </w:tc>
        <w:tc>
          <w:tcPr>
            <w:tcW w:type="dxa" w:w="6406"/>
            <w:vAlign w:val="center"/>
            <w:tcMar>
              <w:top w:w="100" w:type="dxa"/>
              <w:start w:w="120" w:type="dxa"/>
              <w:bottom w:w="100" w:type="dxa"/>
              <w:end w:w="120" w:type="dxa"/>
            </w:tcMar>
          </w:tcPr>
          <w:p>
            <w:pPr>
              <w:spacing w:after="20" w:line="264" w:lineRule="auto"/>
            </w:pPr>
            <w:r>
              <w:rPr>
                <w:sz w:val="17"/>
              </w:rPr>
              <w:t>best.pt 的路径、大小和校验值</w:t>
            </w:r>
          </w:p>
        </w:tc>
      </w:tr>
      <w:tr>
        <w:tc>
          <w:tcPr>
            <w:tcW w:type="dxa" w:w="2381"/>
            <w:vAlign w:val="center"/>
            <w:tcMar>
              <w:top w:w="100" w:type="dxa"/>
              <w:start w:w="120" w:type="dxa"/>
              <w:bottom w:w="100" w:type="dxa"/>
              <w:end w:w="120" w:type="dxa"/>
            </w:tcMar>
            <w:shd w:fill="F2F6FA"/>
          </w:tcPr>
          <w:p>
            <w:pPr>
              <w:spacing w:after="20" w:line="264" w:lineRule="auto"/>
            </w:pPr>
            <w:r>
              <w:rPr>
                <w:sz w:val="17"/>
              </w:rPr>
              <w:t>现场观察</w:t>
            </w:r>
          </w:p>
        </w:tc>
        <w:tc>
          <w:tcPr>
            <w:tcW w:type="dxa" w:w="6406"/>
            <w:vAlign w:val="center"/>
            <w:tcMar>
              <w:top w:w="100" w:type="dxa"/>
              <w:start w:w="120" w:type="dxa"/>
              <w:bottom w:w="100" w:type="dxa"/>
              <w:end w:w="120" w:type="dxa"/>
            </w:tcMar>
            <w:shd w:fill="F2F6FA"/>
          </w:tcPr>
          <w:p>
            <w:pPr>
              <w:spacing w:after="20" w:line="264" w:lineRule="auto"/>
            </w:pPr>
            <w:r>
              <w:rPr>
                <w:sz w:val="17"/>
              </w:rPr>
              <w:t>主要漏检、误检和下一轮改进</w:t>
            </w:r>
          </w:p>
        </w:tc>
      </w:tr>
    </w:tbl>
    <w:p>
      <w:pPr>
        <w:spacing w:after="20"/>
      </w:pPr>
    </w:p>
    <w:p>
      <w:pPr>
        <w:pStyle w:val="Heading1"/>
      </w:pPr>
      <w:r>
        <w:t>十一 完成检查表</w:t>
      </w:r>
    </w:p>
    <w:p>
      <w:pPr>
        <w:pStyle w:val="ListBullet"/>
        <w:spacing w:after="60"/>
      </w:pPr>
      <w:r>
        <w:t>□ 图像和掩膜可以按文件主名一一配对</w:t>
      </w:r>
    </w:p>
    <w:p>
      <w:pPr>
        <w:pStyle w:val="ListBullet"/>
        <w:spacing w:after="60"/>
      </w:pPr>
      <w:r>
        <w:t>□ 随机抽查的掩膜黑白方向正确</w:t>
      </w:r>
    </w:p>
    <w:p>
      <w:pPr>
        <w:pStyle w:val="ListBullet"/>
        <w:spacing w:after="60"/>
      </w:pPr>
      <w:r>
        <w:t>□ nvidia-smi 能识别租用的 GPU</w:t>
      </w:r>
    </w:p>
    <w:p>
      <w:pPr>
        <w:pStyle w:val="ListBullet"/>
        <w:spacing w:after="60"/>
      </w:pPr>
      <w:r>
        <w:t>□ torch.cuda.is_available() 返回 True</w:t>
      </w:r>
    </w:p>
    <w:p>
      <w:pPr>
        <w:pStyle w:val="ListBullet"/>
        <w:spacing w:after="60"/>
      </w:pPr>
      <w:r>
        <w:t>□ 1 epoch 试跑成功并生成 smoke.pt</w:t>
      </w:r>
    </w:p>
    <w:p>
      <w:pPr>
        <w:pStyle w:val="ListBullet"/>
        <w:spacing w:after="60"/>
      </w:pPr>
      <w:r>
        <w:t>□ 正式训练日志已保存到 runs/train.log</w:t>
      </w:r>
    </w:p>
    <w:p>
      <w:pPr>
        <w:pStyle w:val="ListBullet"/>
        <w:spacing w:after="60"/>
      </w:pPr>
      <w:r>
        <w:t>□ best.pt 已生成且大小不为零</w:t>
      </w:r>
    </w:p>
    <w:p>
      <w:pPr>
        <w:pStyle w:val="ListBullet"/>
        <w:spacing w:after="60"/>
      </w:pPr>
      <w:r>
        <w:t>□ 预测掩膜和叠加图已经人工抽查</w:t>
      </w:r>
    </w:p>
    <w:p>
      <w:pPr>
        <w:pStyle w:val="ListBullet"/>
        <w:spacing w:after="60"/>
      </w:pPr>
      <w:r>
        <w:t>□ 模型、日志和预测结果已经下载到本地</w:t>
      </w:r>
    </w:p>
    <w:p>
      <w:pPr>
        <w:pStyle w:val="ListBullet"/>
        <w:spacing w:after="60"/>
      </w:pPr>
      <w:r>
        <w:t>□ 确认下载文件可用后已停止计费实例</w:t>
      </w:r>
    </w:p>
    <w:p>
      <w:r>
        <w:br w:type="page"/>
      </w:r>
    </w:p>
    <w:p>
      <w:pPr>
        <w:pStyle w:val="Heading1"/>
      </w:pPr>
      <w:r>
        <w:t>附录 当前项目关键参数</w:t>
      </w:r>
    </w:p>
    <w:p>
      <w:r>
        <w:t>当前实现依据 Peng 等提出的 CFDSLite-UNet：四层编码与解码、每个块两层深度可分离卷积、双线性插值上采样、BCEWithLogitsLoss 和 Adam。模型约 3.55 M 参数。论文报告的精度不能在缺少其原始数据和专家终审标签时直接视为本项目结果，应以自己的独立测试集重新测量。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2"/>
        <w:gridCol w:w="4872"/>
      </w:tblGrid>
      <w:tr>
        <w:trPr>
          <w:tblHeader w:val="true"/>
        </w:trPr>
        <w:tc>
          <w:tcPr>
            <w:tcW w:type="dxa" w:w="2835"/>
            <w:shd w:fill="1F4E78"/>
            <w:vAlign w:val="center"/>
          </w:tcPr>
          <w:p>
            <w:r>
              <w:rPr>
                <w:b/>
                <w:color w:val="FFFFFF"/>
                <w:sz w:val="18"/>
              </w:rPr>
              <w:t>参数</w:t>
            </w:r>
          </w:p>
        </w:tc>
        <w:tc>
          <w:tcPr>
            <w:tcW w:type="dxa" w:w="5953"/>
            <w:shd w:fill="1F4E78"/>
            <w:vAlign w:val="center"/>
          </w:tcPr>
          <w:p>
            <w:r>
              <w:rPr>
                <w:b/>
                <w:color w:val="FFFFFF"/>
                <w:sz w:val="18"/>
              </w:rPr>
              <w:t>默认值</w:t>
            </w:r>
          </w:p>
        </w:tc>
      </w:tr>
      <w:tr>
        <w:tc>
          <w:tcPr>
            <w:tcW w:type="dxa" w:w="2835"/>
            <w:vAlign w:val="center"/>
            <w:tcMar>
              <w:top w:w="100" w:type="dxa"/>
              <w:start w:w="120" w:type="dxa"/>
              <w:bottom w:w="100" w:type="dxa"/>
              <w:end w:w="120" w:type="dxa"/>
            </w:tcMar>
          </w:tcPr>
          <w:p>
            <w:pPr>
              <w:spacing w:after="20" w:line="264" w:lineRule="auto"/>
            </w:pPr>
            <w:r>
              <w:rPr>
                <w:sz w:val="17"/>
              </w:rPr>
              <w:t>输入尺寸</w:t>
            </w:r>
          </w:p>
        </w:tc>
        <w:tc>
          <w:tcPr>
            <w:tcW w:type="dxa" w:w="5953"/>
            <w:vAlign w:val="center"/>
            <w:tcMar>
              <w:top w:w="100" w:type="dxa"/>
              <w:start w:w="120" w:type="dxa"/>
              <w:bottom w:w="100" w:type="dxa"/>
              <w:end w:w="120" w:type="dxa"/>
            </w:tcMar>
          </w:tcPr>
          <w:p>
            <w:pPr>
              <w:spacing w:after="20" w:line="264" w:lineRule="auto"/>
            </w:pPr>
            <w:r>
              <w:rPr>
                <w:sz w:val="17"/>
              </w:rPr>
              <w:t>512×512</w:t>
            </w:r>
          </w:p>
        </w:tc>
      </w:tr>
      <w:tr>
        <w:tc>
          <w:tcPr>
            <w:tcW w:type="dxa" w:w="2835"/>
            <w:vAlign w:val="center"/>
            <w:tcMar>
              <w:top w:w="100" w:type="dxa"/>
              <w:start w:w="120" w:type="dxa"/>
              <w:bottom w:w="100" w:type="dxa"/>
              <w:end w:w="120" w:type="dxa"/>
            </w:tcMar>
            <w:shd w:fill="F2F6FA"/>
          </w:tcPr>
          <w:p>
            <w:pPr>
              <w:spacing w:after="20" w:line="264" w:lineRule="auto"/>
            </w:pPr>
            <w:r>
              <w:rPr>
                <w:sz w:val="17"/>
              </w:rPr>
              <w:t>训练和验证</w:t>
            </w:r>
          </w:p>
        </w:tc>
        <w:tc>
          <w:tcPr>
            <w:tcW w:type="dxa" w:w="5953"/>
            <w:vAlign w:val="center"/>
            <w:tcMar>
              <w:top w:w="100" w:type="dxa"/>
              <w:start w:w="120" w:type="dxa"/>
              <w:bottom w:w="100" w:type="dxa"/>
              <w:end w:w="120" w:type="dxa"/>
            </w:tcMar>
            <w:shd w:fill="F2F6FA"/>
          </w:tcPr>
          <w:p>
            <w:pPr>
              <w:spacing w:after="20" w:line="264" w:lineRule="auto"/>
            </w:pPr>
            <w:r>
              <w:rPr>
                <w:sz w:val="17"/>
              </w:rPr>
              <w:t>80% 和 20%</w:t>
            </w:r>
          </w:p>
        </w:tc>
      </w:tr>
      <w:tr>
        <w:tc>
          <w:tcPr>
            <w:tcW w:type="dxa" w:w="2835"/>
            <w:vAlign w:val="center"/>
            <w:tcMar>
              <w:top w:w="100" w:type="dxa"/>
              <w:start w:w="120" w:type="dxa"/>
              <w:bottom w:w="100" w:type="dxa"/>
              <w:end w:w="120" w:type="dxa"/>
            </w:tcMar>
          </w:tcPr>
          <w:p>
            <w:pPr>
              <w:spacing w:after="20" w:line="264" w:lineRule="auto"/>
            </w:pPr>
            <w:r>
              <w:rPr>
                <w:sz w:val="17"/>
              </w:rPr>
              <w:t>优化器</w:t>
            </w:r>
          </w:p>
        </w:tc>
        <w:tc>
          <w:tcPr>
            <w:tcW w:type="dxa" w:w="5953"/>
            <w:vAlign w:val="center"/>
            <w:tcMar>
              <w:top w:w="100" w:type="dxa"/>
              <w:start w:w="120" w:type="dxa"/>
              <w:bottom w:w="100" w:type="dxa"/>
              <w:end w:w="120" w:type="dxa"/>
            </w:tcMar>
          </w:tcPr>
          <w:p>
            <w:pPr>
              <w:spacing w:after="20" w:line="264" w:lineRule="auto"/>
            </w:pPr>
            <w:r>
              <w:rPr>
                <w:sz w:val="17"/>
              </w:rPr>
              <w:t>Adam</w:t>
            </w:r>
          </w:p>
        </w:tc>
      </w:tr>
      <w:tr>
        <w:tc>
          <w:tcPr>
            <w:tcW w:type="dxa" w:w="2835"/>
            <w:vAlign w:val="center"/>
            <w:tcMar>
              <w:top w:w="100" w:type="dxa"/>
              <w:start w:w="120" w:type="dxa"/>
              <w:bottom w:w="100" w:type="dxa"/>
              <w:end w:w="120" w:type="dxa"/>
            </w:tcMar>
            <w:shd w:fill="F2F6FA"/>
          </w:tcPr>
          <w:p>
            <w:pPr>
              <w:spacing w:after="20" w:line="264" w:lineRule="auto"/>
            </w:pPr>
            <w:r>
              <w:rPr>
                <w:sz w:val="17"/>
              </w:rPr>
              <w:t>学习率</w:t>
            </w:r>
          </w:p>
        </w:tc>
        <w:tc>
          <w:tcPr>
            <w:tcW w:type="dxa" w:w="5953"/>
            <w:vAlign w:val="center"/>
            <w:tcMar>
              <w:top w:w="100" w:type="dxa"/>
              <w:start w:w="120" w:type="dxa"/>
              <w:bottom w:w="100" w:type="dxa"/>
              <w:end w:w="120" w:type="dxa"/>
            </w:tcMar>
            <w:shd w:fill="F2F6FA"/>
          </w:tcPr>
          <w:p>
            <w:pPr>
              <w:spacing w:after="20" w:line="264" w:lineRule="auto"/>
            </w:pPr>
            <w:r>
              <w:rPr>
                <w:sz w:val="17"/>
              </w:rPr>
              <w:t>1×10^-4</w:t>
            </w:r>
          </w:p>
        </w:tc>
      </w:tr>
      <w:tr>
        <w:tc>
          <w:tcPr>
            <w:tcW w:type="dxa" w:w="2835"/>
            <w:vAlign w:val="center"/>
            <w:tcMar>
              <w:top w:w="100" w:type="dxa"/>
              <w:start w:w="120" w:type="dxa"/>
              <w:bottom w:w="100" w:type="dxa"/>
              <w:end w:w="120" w:type="dxa"/>
            </w:tcMar>
          </w:tcPr>
          <w:p>
            <w:pPr>
              <w:spacing w:after="20" w:line="264" w:lineRule="auto"/>
            </w:pPr>
            <w:r>
              <w:rPr>
                <w:sz w:val="17"/>
              </w:rPr>
              <w:t>Batch size</w:t>
            </w:r>
          </w:p>
        </w:tc>
        <w:tc>
          <w:tcPr>
            <w:tcW w:type="dxa" w:w="5953"/>
            <w:vAlign w:val="center"/>
            <w:tcMar>
              <w:top w:w="100" w:type="dxa"/>
              <w:start w:w="120" w:type="dxa"/>
              <w:bottom w:w="100" w:type="dxa"/>
              <w:end w:w="120" w:type="dxa"/>
            </w:tcMar>
          </w:tcPr>
          <w:p>
            <w:pPr>
              <w:spacing w:after="20" w:line="264" w:lineRule="auto"/>
            </w:pPr>
            <w:r>
              <w:rPr>
                <w:sz w:val="17"/>
              </w:rPr>
              <w:t>4</w:t>
            </w:r>
          </w:p>
        </w:tc>
      </w:tr>
      <w:tr>
        <w:tc>
          <w:tcPr>
            <w:tcW w:type="dxa" w:w="2835"/>
            <w:vAlign w:val="center"/>
            <w:tcMar>
              <w:top w:w="100" w:type="dxa"/>
              <w:start w:w="120" w:type="dxa"/>
              <w:bottom w:w="100" w:type="dxa"/>
              <w:end w:w="120" w:type="dxa"/>
            </w:tcMar>
            <w:shd w:fill="F2F6FA"/>
          </w:tcPr>
          <w:p>
            <w:pPr>
              <w:spacing w:after="20" w:line="264" w:lineRule="auto"/>
            </w:pPr>
            <w:r>
              <w:rPr>
                <w:sz w:val="17"/>
              </w:rPr>
              <w:t>Epochs</w:t>
            </w:r>
          </w:p>
        </w:tc>
        <w:tc>
          <w:tcPr>
            <w:tcW w:type="dxa" w:w="5953"/>
            <w:vAlign w:val="center"/>
            <w:tcMar>
              <w:top w:w="100" w:type="dxa"/>
              <w:start w:w="120" w:type="dxa"/>
              <w:bottom w:w="100" w:type="dxa"/>
              <w:end w:w="120" w:type="dxa"/>
            </w:tcMar>
            <w:shd w:fill="F2F6FA"/>
          </w:tcPr>
          <w:p>
            <w:pPr>
              <w:spacing w:after="20" w:line="264" w:lineRule="auto"/>
            </w:pPr>
            <w:r>
              <w:rPr>
                <w:sz w:val="17"/>
              </w:rPr>
              <w:t>100</w:t>
            </w:r>
          </w:p>
        </w:tc>
      </w:tr>
      <w:tr>
        <w:tc>
          <w:tcPr>
            <w:tcW w:type="dxa" w:w="2835"/>
            <w:vAlign w:val="center"/>
            <w:tcMar>
              <w:top w:w="100" w:type="dxa"/>
              <w:start w:w="120" w:type="dxa"/>
              <w:bottom w:w="100" w:type="dxa"/>
              <w:end w:w="120" w:type="dxa"/>
            </w:tcMar>
          </w:tcPr>
          <w:p>
            <w:pPr>
              <w:spacing w:after="20" w:line="264" w:lineRule="auto"/>
            </w:pPr>
            <w:r>
              <w:rPr>
                <w:sz w:val="17"/>
              </w:rPr>
              <w:t>Weight decay</w:t>
            </w:r>
          </w:p>
        </w:tc>
        <w:tc>
          <w:tcPr>
            <w:tcW w:type="dxa" w:w="5953"/>
            <w:vAlign w:val="center"/>
            <w:tcMar>
              <w:top w:w="100" w:type="dxa"/>
              <w:start w:w="120" w:type="dxa"/>
              <w:bottom w:w="100" w:type="dxa"/>
              <w:end w:w="120" w:type="dxa"/>
            </w:tcMar>
          </w:tcPr>
          <w:p>
            <w:pPr>
              <w:spacing w:after="20" w:line="264" w:lineRule="auto"/>
            </w:pPr>
            <w:r>
              <w:rPr>
                <w:sz w:val="17"/>
              </w:rPr>
              <w:t>1×10^-5</w:t>
            </w:r>
          </w:p>
        </w:tc>
      </w:tr>
      <w:tr>
        <w:tc>
          <w:tcPr>
            <w:tcW w:type="dxa" w:w="2835"/>
            <w:vAlign w:val="center"/>
            <w:tcMar>
              <w:top w:w="100" w:type="dxa"/>
              <w:start w:w="120" w:type="dxa"/>
              <w:bottom w:w="100" w:type="dxa"/>
              <w:end w:w="120" w:type="dxa"/>
            </w:tcMar>
            <w:shd w:fill="F2F6FA"/>
          </w:tcPr>
          <w:p>
            <w:pPr>
              <w:spacing w:after="20" w:line="264" w:lineRule="auto"/>
            </w:pPr>
            <w:r>
              <w:rPr>
                <w:sz w:val="17"/>
              </w:rPr>
              <w:t>数据增强</w:t>
            </w:r>
          </w:p>
        </w:tc>
        <w:tc>
          <w:tcPr>
            <w:tcW w:type="dxa" w:w="5953"/>
            <w:vAlign w:val="center"/>
            <w:tcMar>
              <w:top w:w="100" w:type="dxa"/>
              <w:start w:w="120" w:type="dxa"/>
              <w:bottom w:w="100" w:type="dxa"/>
              <w:end w:w="120" w:type="dxa"/>
            </w:tcMar>
            <w:shd w:fill="F2F6FA"/>
          </w:tcPr>
          <w:p>
            <w:pPr>
              <w:spacing w:after="20" w:line="264" w:lineRule="auto"/>
            </w:pPr>
            <w:r>
              <w:rPr>
                <w:sz w:val="17"/>
              </w:rPr>
              <w:t>水平翻转和垂直翻转</w:t>
            </w:r>
          </w:p>
        </w:tc>
      </w:tr>
    </w:tbl>
    <w:p>
      <w:pPr>
        <w:spacing w:after="20"/>
      </w:pPr>
    </w:p>
    <w:sectPr w:rsidR="00FC693F" w:rsidRPr="0006063C" w:rsidSect="00034616">
      <w:footerReference w:type="default" r:id="rId9"/>
      <w:pgSz w:w="12240" w:h="15840"/>
      <w:pgMar w:top="1191" w:right="1219"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第 </w:t>
    </w:r>
    <w:fldSimple w:instr="PAGE"/>
    <w:r>
      <w:rPr>
        <w:color w:val="646464"/>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CFDSLite UNet GPU租赁训练指南</dc:title>
  <dc:subject>路面松散检测模型云端GPU训练操作手册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