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B20EE">
      <w:pPr>
        <w:pStyle w:val="3"/>
        <w:bidi w:val="0"/>
        <w:ind w:left="0" w:leftChars="0" w:firstLine="0" w:firstLineChars="0"/>
        <w:rPr>
          <w:rFonts w:hint="eastAsia"/>
        </w:rPr>
      </w:pPr>
      <w:r>
        <w:rPr>
          <w:rFonts w:hint="eastAsia"/>
        </w:rPr>
        <w:t>基于GIS分析的P公司前置仓选址优化研究</w:t>
      </w:r>
    </w:p>
    <w:p w14:paraId="1E7C0888">
      <w:pPr>
        <w:pStyle w:val="5"/>
        <w:bidi w:val="0"/>
        <w:rPr>
          <w:rFonts w:hint="eastAsia"/>
        </w:rPr>
      </w:pPr>
      <w:r>
        <w:rPr>
          <w:rFonts w:hint="eastAsia"/>
        </w:rPr>
        <w:t>摘要</w:t>
      </w:r>
    </w:p>
    <w:p w14:paraId="598FC6FD">
      <w:pPr>
        <w:bidi w:val="0"/>
        <w:rPr>
          <w:rFonts w:hint="eastAsia"/>
        </w:rPr>
      </w:pPr>
      <w:r>
        <w:rPr>
          <w:rFonts w:hint="eastAsia"/>
        </w:rPr>
        <w:t>随着生鲜电商行业的快速发展，前置仓模式因其“即时配送、库存前移”的优势成为主流运营方式。然而，前置仓的高昂建设与运营成本使得科学选址成为企业盈利的关键。本文以P公司为研究对象，以福州市为研究区域，运用地理信息系统（GIS）空间分析技术、核密度估计方法以及最大覆盖模型，结合贪心算法，构建了一套数据驱动的前置仓选址优化方案。首先，通过</w:t>
      </w:r>
      <w:r>
        <w:rPr>
          <w:rFonts w:hint="eastAsia"/>
          <w:lang w:val="en-US" w:eastAsia="zh-CN"/>
        </w:rPr>
        <w:t>高德地图</w:t>
      </w:r>
      <w:r>
        <w:rPr>
          <w:rFonts w:hint="eastAsia"/>
        </w:rPr>
        <w:t>平台采集福州市居民区POI数据，利用核密度分析生成人口密度栅格，并结合热力图数据对需求点进行加权赋值；其次，基于3公里服务半径，采用“缓冲区+人口统计+贪心算法”的策略，分别进行了“同数量全局优化”与“增量布点优化”两组实验；最后，通过对比分析评估优化效果。实证结果表明，在保持51个前置仓数量不变的条件下，优化后覆盖率由69.14%提升至79.31%，覆盖人口增加约49.36万；在现有51仓基础上新增5个前置仓后，覆盖率进一步提升至79.37%，新增覆盖人口约49.53万。研究成果为P公司及同类生鲜电商企业的前置仓网络布局提供了可量化的决策支持。</w:t>
      </w:r>
    </w:p>
    <w:p w14:paraId="45488964">
      <w:pPr>
        <w:bidi w:val="0"/>
        <w:rPr>
          <w:rFonts w:hint="eastAsia"/>
        </w:rPr>
      </w:pPr>
    </w:p>
    <w:p w14:paraId="5F58AD65">
      <w:pPr>
        <w:bidi w:val="0"/>
        <w:rPr>
          <w:rFonts w:hint="eastAsia"/>
        </w:rPr>
      </w:pPr>
      <w:r>
        <w:rPr>
          <w:rFonts w:hint="eastAsia"/>
        </w:rPr>
        <w:t>关键词：前置仓选址；GIS空间分析；核密度估计；最大覆盖模型；贪心算法；</w:t>
      </w:r>
    </w:p>
    <w:p w14:paraId="2B259C52">
      <w:pPr>
        <w:pStyle w:val="4"/>
        <w:bidi w:val="0"/>
        <w:rPr>
          <w:rFonts w:hint="eastAsia"/>
        </w:rPr>
      </w:pPr>
      <w:r>
        <w:rPr>
          <w:rFonts w:hint="eastAsia"/>
          <w:lang w:eastAsia="zh-CN"/>
        </w:rPr>
        <w:t xml:space="preserve">   </w:t>
      </w:r>
      <w:r>
        <w:rPr>
          <w:rFonts w:hint="eastAsia"/>
        </w:rPr>
        <w:t xml:space="preserve"> 第一章 绪论</w:t>
      </w:r>
    </w:p>
    <w:p w14:paraId="3A6B58A5">
      <w:pPr>
        <w:pStyle w:val="4"/>
        <w:bidi w:val="0"/>
        <w:rPr>
          <w:rFonts w:hint="eastAsia"/>
        </w:rPr>
      </w:pPr>
      <w:r>
        <w:rPr>
          <w:rFonts w:hint="eastAsia"/>
          <w:lang w:eastAsia="zh-CN"/>
        </w:rPr>
        <w:t xml:space="preserve">   </w:t>
      </w:r>
      <w:r>
        <w:rPr>
          <w:rFonts w:hint="eastAsia"/>
        </w:rPr>
        <w:t xml:space="preserve"> 1.1 研究背景与意义</w:t>
      </w:r>
    </w:p>
    <w:p w14:paraId="03BB8892">
      <w:pPr>
        <w:pStyle w:val="5"/>
        <w:bidi w:val="0"/>
        <w:rPr>
          <w:rFonts w:hint="eastAsia"/>
        </w:rPr>
      </w:pPr>
      <w:r>
        <w:rPr>
          <w:rFonts w:hint="eastAsia"/>
          <w:lang w:eastAsia="zh-CN"/>
        </w:rPr>
        <w:t xml:space="preserve">   </w:t>
      </w:r>
      <w:r>
        <w:rPr>
          <w:rFonts w:hint="eastAsia"/>
        </w:rPr>
        <w:t xml:space="preserve"> 1.1.1 生鲜电商行业的发展与前置仓模式的兴起</w:t>
      </w:r>
    </w:p>
    <w:p w14:paraId="3329AA35">
      <w:pPr>
        <w:rPr>
          <w:rFonts w:hint="eastAsia"/>
        </w:rPr>
      </w:pPr>
    </w:p>
    <w:p w14:paraId="61E1A7E5">
      <w:pPr>
        <w:rPr>
          <w:rFonts w:hint="eastAsia"/>
        </w:rPr>
      </w:pPr>
      <w:r>
        <w:rPr>
          <w:rFonts w:hint="eastAsia"/>
        </w:rPr>
        <w:t>近年来，随着移动互联网的普及、冷链物流技术的成熟以及消费者对即时购物体验需求的提升，生鲜电商行业迎来了爆发式增长。据统计，2020年中国生鲜零售市场规模已达到5万亿元，预计到2025年将增长至6.8万亿元。生鲜电商行业在2021至2025年间经历了由疫情催化、技术驱动与消费习惯变迁共同推动的高速增长，市场规模从约4,658亿元攀升至9,872亿元，年均复合增长率达20.7%，行业渗透率由10.2%提升至21.6%。生鲜产品具有高频、刚需、短保质期等特征，被誉为电商领域的“最后一片蓝海”。然而，生鲜产品非标准化、毛利率较低、损耗率高的特性，使得传统物流模式难以满足消费者对时效与品质的双重需求。在此背景下，前置仓模式应运而生。前置仓是指将小型仓库设立在距离消费者最近的位置，通常位于人口密集的社区周边3公里生活圈内，用户线上下单后，订单从最近的前置仓发出，由骑手完成“最后一公里”配送，从而实现30分钟内的即时送达。这种“库存前移、快速响应”的模式，有效解决了传统中心仓配送时效长、生鲜损耗大的痛点，成为生鲜电商末端履约的核心创新。</w:t>
      </w:r>
    </w:p>
    <w:p w14:paraId="4623F756">
      <w:pPr>
        <w:rPr>
          <w:rFonts w:hint="eastAsia"/>
        </w:rPr>
      </w:pPr>
    </w:p>
    <w:p w14:paraId="3B70C6FB">
      <w:pPr>
        <w:keepNext w:val="0"/>
        <w:keepLines w:val="0"/>
        <w:pageBreakBefore w:val="0"/>
        <w:widowControl/>
        <w:kinsoku w:val="0"/>
        <w:wordWrap/>
        <w:overflowPunct/>
        <w:topLinePunct w:val="0"/>
        <w:autoSpaceDE w:val="0"/>
        <w:autoSpaceDN w:val="0"/>
        <w:bidi w:val="0"/>
        <w:adjustRightInd w:val="0"/>
        <w:snapToGrid w:val="0"/>
        <w:ind w:firstLine="0" w:firstLineChars="0"/>
        <w:textAlignment w:val="baseline"/>
        <w:rPr>
          <w:rFonts w:hint="eastAsia"/>
        </w:rPr>
      </w:pPr>
      <w:r>
        <w:rPr>
          <w:rFonts w:hint="eastAsia"/>
          <w:lang w:eastAsia="zh-CN"/>
        </w:rPr>
        <w:t xml:space="preserve"> </w:t>
      </w:r>
      <w:r>
        <w:rPr>
          <w:rStyle w:val="98"/>
          <w:rFonts w:hint="eastAsia"/>
          <w:lang w:eastAsia="zh-CN"/>
        </w:rPr>
        <w:t xml:space="preserve">  </w:t>
      </w:r>
      <w:r>
        <w:rPr>
          <w:rStyle w:val="98"/>
          <w:rFonts w:hint="eastAsia"/>
        </w:rPr>
        <w:t xml:space="preserve"> 1.1.2 P公司面临的选址困境与研究意义</w:t>
      </w:r>
    </w:p>
    <w:p w14:paraId="7EF08A2E">
      <w:pPr>
        <w:rPr>
          <w:rFonts w:hint="eastAsia"/>
        </w:rPr>
      </w:pPr>
    </w:p>
    <w:p w14:paraId="4B18ABED">
      <w:pPr>
        <w:rPr>
          <w:rFonts w:hint="eastAsia"/>
        </w:rPr>
      </w:pPr>
      <w:r>
        <w:rPr>
          <w:rFonts w:hint="eastAsia"/>
        </w:rPr>
        <w:t>P公司自2016年成立于福州以来，始终坚持“前置仓+纯线上运营”模式，凭借“区域深耕、单城做透”的策略，已在福州、厦门、深圳、广州、武汉、成都等9个城市布局超过400个大型前置仓，并于2024年首次实现年度盈利，全年收入约300亿元。然而，前置仓模式本质上是一种“重资产”模式，仓储租金、仓内人力、配送骑手等履约成本居高不下。以P公司为例，虽然其履约费用率已压缩至17.5%，但与传统商超5%至8%的物流成本相比仍有较大差距。在福州市，P公司虽然拥有51个前置仓，但空间布局存在明显的“核心区密集、外围区稀疏”问题，鼓楼区、台江区等核心城区仓点密度过高，而闽侯县、长乐区、马尾区等外围区域覆盖严重不足。根据本研究初步测算，现有51个前置仓的加权覆盖人口仅为研究区总人口的69.14%，意味着仍有近30%的潜在客户无法享受30分钟即时配送服务。这种布局不均衡不仅造成了核心城区仓点资源的浪费与重叠，也错失了外围新兴居住区的市场机会。因此，如何通过科学的选址方法优化现有前置仓网络，在有限资源下最大化服务人口覆盖，同时为新市场的拓展提供数据驱动的增量布点方案，成为P公司亟待解决的管理难题。本研究基于GIS空间分析与最大覆盖模型，以P公司福州市前置仓为案例，构建一套可复制、可量化的选址优化方法，不仅对P公司降低运营成本、提升市场竞争力具有直接实践价值，也为同类生鲜电商企业及城市商业设施规划提供了方法论参考。</w:t>
      </w:r>
    </w:p>
    <w:p w14:paraId="361B5995">
      <w:pPr>
        <w:pStyle w:val="5"/>
        <w:bidi w:val="0"/>
        <w:rPr>
          <w:rFonts w:hint="eastAsia"/>
        </w:rPr>
      </w:pPr>
      <w:r>
        <w:rPr>
          <w:rFonts w:hint="eastAsia"/>
          <w:lang w:eastAsia="zh-CN"/>
        </w:rPr>
        <w:t xml:space="preserve">  </w:t>
      </w:r>
      <w:r>
        <w:rPr>
          <w:rFonts w:hint="eastAsia"/>
        </w:rPr>
        <w:t xml:space="preserve"> 1.2 国内外研究现状</w:t>
      </w:r>
    </w:p>
    <w:p w14:paraId="335D6439">
      <w:pPr>
        <w:pStyle w:val="5"/>
        <w:bidi w:val="0"/>
        <w:rPr>
          <w:rFonts w:hint="eastAsia"/>
        </w:rPr>
      </w:pPr>
      <w:r>
        <w:rPr>
          <w:rFonts w:hint="eastAsia"/>
          <w:lang w:eastAsia="zh-CN"/>
        </w:rPr>
        <w:t xml:space="preserve">  </w:t>
      </w:r>
      <w:r>
        <w:rPr>
          <w:rFonts w:hint="eastAsia"/>
        </w:rPr>
        <w:t xml:space="preserve"> 1.2.1 设施选址理论的发展与经典模型</w:t>
      </w:r>
    </w:p>
    <w:p w14:paraId="13D1A002">
      <w:pPr>
        <w:rPr>
          <w:rFonts w:hint="eastAsia"/>
        </w:rPr>
      </w:pPr>
      <w:r>
        <w:rPr>
          <w:rFonts w:hint="eastAsia"/>
        </w:rPr>
        <w:t>设施选址问题是运筹学与地理信息科学交叉领域的经典研究课题，其历史可追溯至20世纪初的韦伯问题。经过一个多世纪的发展，学者们提出了多种经典模型，主要包括重心法、中位模型和覆盖模型。重心法是最早用于连续选址的解析方法，通过求解偏导数为零的方程组得到使总运输成本最小的设施位置，计算简便但假设过于理想化。中位模型（P-median model）是离散选址的代表，目标是在候选点中选择指定数量的设施位置，使所有需求点到其最近设施点的加权距离总和最小，适用于以成本最小化为核心的场景。覆盖模型则关注服务可达性，根据覆盖标准不同分为集合覆盖模型（LSCP）和最大覆盖模型（MCLP）。集合覆盖模型寻求覆盖所有需求点所需的最少设施数量，适用于应急设施等强制性覆盖场景；最大覆盖模型则在给定设施数量和服务半径的条件下最大化被覆盖的需求总量，非常适合资源有限情况下的商业设施布局。前置仓模式具有“服务半径刚性约束（通常为3公里）、设施数量有限、需求空间异质性强”等特点，因此最大覆盖模型成为本研究的核心建模工具。</w:t>
      </w:r>
    </w:p>
    <w:p w14:paraId="0901041C">
      <w:pPr>
        <w:rPr>
          <w:rFonts w:hint="eastAsia"/>
        </w:rPr>
      </w:pPr>
    </w:p>
    <w:p w14:paraId="7B530B52">
      <w:pPr>
        <w:ind w:left="0" w:leftChars="0" w:firstLine="0" w:firstLineChars="0"/>
        <w:rPr>
          <w:rStyle w:val="98"/>
          <w:rFonts w:hint="eastAsia"/>
        </w:rPr>
      </w:pPr>
      <w:r>
        <w:rPr>
          <w:rFonts w:hint="eastAsia"/>
          <w:lang w:eastAsia="zh-CN"/>
        </w:rPr>
        <w:t xml:space="preserve">   </w:t>
      </w:r>
      <w:r>
        <w:rPr>
          <w:rFonts w:hint="eastAsia"/>
        </w:rPr>
        <w:t xml:space="preserve"> </w:t>
      </w:r>
      <w:r>
        <w:rPr>
          <w:rStyle w:val="98"/>
          <w:rFonts w:hint="eastAsia"/>
        </w:rPr>
        <w:t>1.2.2 GIS空间分析在选址中的应用进展</w:t>
      </w:r>
    </w:p>
    <w:p w14:paraId="10058215">
      <w:pPr>
        <w:rPr>
          <w:rFonts w:hint="eastAsia"/>
        </w:rPr>
      </w:pPr>
    </w:p>
    <w:p w14:paraId="0B587156">
      <w:pPr>
        <w:rPr>
          <w:rFonts w:hint="eastAsia"/>
        </w:rPr>
      </w:pPr>
      <w:r>
        <w:rPr>
          <w:rFonts w:hint="eastAsia"/>
        </w:rPr>
        <w:t>随着地理信息系统技术的成熟，GIS已从简单的可视化工具演变为空间分析与决策支持的核心平台。在设施选址领域，GIS主要提供缓冲区分析、叠加分析、网络分析、核密度分析等空间运算功能。近年来，利用多源地理大数据进行需求空间建模成为研究热点。例如，冯卫国等（2026）运用核密度估计、标准差椭圆等方法分析了武汉市义务教育学校的空间分布特征；朱孟兰等（2026）基于贵州省养老机构POI数据，通过核密度分析和平均最近邻指数揭示了“大分散、小聚集、中心突出”的空间格局；关章有等（2025）对上海市体育公园的空间异质性与多模态可达性进行了量化研究；吴爱千（2024）综合运用缓冲区分析、核密度分析、叠加分析等GIS技术，构建了文旅乡村选址适宜性评价指标体系。这些研究充分证明了核密度分析在从离散点要素生成连续密度表面、揭示空间聚集特征方面的有效性，为本研究采用核密度分析从居民区POI反演人口密度提供了方法论支撑。此外，Isnan Sarah（2021）将核密度函数应用于海事事故分析，成功识别高风险区域；K. Laasasenaho等（2019）将核密度工具与位置优化、聚类分析结合用于生物能源工厂选址，展示了核密度分析与选址优化模型协同应用的潜力。</w:t>
      </w:r>
    </w:p>
    <w:p w14:paraId="5F116838">
      <w:pPr>
        <w:rPr>
          <w:rFonts w:hint="eastAsia"/>
        </w:rPr>
      </w:pPr>
    </w:p>
    <w:p w14:paraId="4BDD55A6">
      <w:pPr>
        <w:pStyle w:val="5"/>
        <w:bidi w:val="0"/>
        <w:rPr>
          <w:rFonts w:hint="eastAsia"/>
        </w:rPr>
      </w:pPr>
      <w:r>
        <w:rPr>
          <w:rFonts w:hint="eastAsia"/>
          <w:lang w:eastAsia="zh-CN"/>
        </w:rPr>
        <w:t xml:space="preserve">   </w:t>
      </w:r>
      <w:r>
        <w:rPr>
          <w:rFonts w:hint="eastAsia"/>
        </w:rPr>
        <w:t xml:space="preserve"> 1.2.3 前置仓选址优化的研究现状与不足</w:t>
      </w:r>
    </w:p>
    <w:p w14:paraId="0C6025BB">
      <w:pPr>
        <w:rPr>
          <w:rFonts w:hint="eastAsia"/>
        </w:rPr>
      </w:pPr>
    </w:p>
    <w:p w14:paraId="77D7414B">
      <w:pPr>
        <w:rPr>
          <w:rFonts w:hint="eastAsia"/>
        </w:rPr>
      </w:pPr>
      <w:r>
        <w:rPr>
          <w:rFonts w:hint="eastAsia"/>
        </w:rPr>
        <w:t>在前置仓选址领域，学者们已经开展了大量研究。高潮志（2025）针对仓店一体模式下的B生鲜电商，构建了涵盖配送、运输、货损及运营成本的综合成本最小化模型，并设计了改进的麻雀搜索算法进行求解。刘子程（2025）与徐贝（2025）则采用“总成本最小化-客户满意度最大化”双目标范式，其中刘子程将选址与路径规划耦合，运用灰色GM(1,1)模型预测需求趋势；徐贝侧重于聚类有效性评估与需求预测的精细化处理。邹诗涵（2024）构建了前置仓选址与配送路径协同优化的双层规划模型。梁力军等（2024）构建了中心仓-前置仓-需求点的三级网络模型，利用混合整数线性规划以综合总成本最小为目标。李丽滢等（2023）创新性地引入轮廓系数法确定最优前置仓建造数量，再运用K-means聚类划分区域。Wan Fengjiao等（2022）明确提出采用最大覆盖模型（MCLP），以最大化覆盖需求为目标，利用贪心算法选择前置仓。然而，现有研究在需求空间刻画上多依赖POI简单密度、历史订单数据或行政单元人口统计，对需求强度的空间连续性与异质性体现不足，且优化目标偏重成本，对服务覆盖率的直接优化关注不够。本研究创新性地将核密度栅格与热力图结合构建加权需求点，以覆盖人口最大化为单一核心目标，采用贪心算法进行选址优化，弥补了上述不足。</w:t>
      </w:r>
    </w:p>
    <w:p w14:paraId="00C46104">
      <w:pPr>
        <w:rPr>
          <w:rFonts w:hint="eastAsia"/>
        </w:rPr>
      </w:pPr>
    </w:p>
    <w:p w14:paraId="27927620">
      <w:pPr>
        <w:ind w:left="0" w:leftChars="0" w:firstLine="0" w:firstLineChars="0"/>
        <w:rPr>
          <w:rFonts w:hint="eastAsia"/>
        </w:rPr>
      </w:pPr>
      <w:r>
        <w:rPr>
          <w:rFonts w:hint="eastAsia"/>
          <w:lang w:eastAsia="zh-CN"/>
        </w:rPr>
        <w:t xml:space="preserve">   </w:t>
      </w:r>
      <w:r>
        <w:rPr>
          <w:rFonts w:hint="eastAsia"/>
        </w:rPr>
        <w:t xml:space="preserve"> </w:t>
      </w:r>
    </w:p>
    <w:p w14:paraId="0B462779">
      <w:pPr>
        <w:ind w:left="0" w:leftChars="0" w:firstLine="0" w:firstLineChars="0"/>
        <w:rPr>
          <w:rFonts w:hint="eastAsia"/>
        </w:rPr>
      </w:pPr>
    </w:p>
    <w:p w14:paraId="1CCB9176">
      <w:pPr>
        <w:ind w:left="0" w:leftChars="0" w:firstLine="0" w:firstLineChars="0"/>
        <w:rPr>
          <w:rFonts w:hint="eastAsia"/>
        </w:rPr>
      </w:pPr>
    </w:p>
    <w:p w14:paraId="22C456BB">
      <w:pPr>
        <w:ind w:left="0" w:leftChars="0" w:firstLine="0" w:firstLineChars="0"/>
        <w:rPr>
          <w:rFonts w:hint="eastAsia"/>
        </w:rPr>
      </w:pPr>
    </w:p>
    <w:p w14:paraId="7CFB9A11">
      <w:pPr>
        <w:ind w:left="0" w:leftChars="0" w:firstLine="0" w:firstLineChars="0"/>
        <w:rPr>
          <w:rFonts w:hint="eastAsia"/>
        </w:rPr>
      </w:pPr>
    </w:p>
    <w:p w14:paraId="533D6177">
      <w:pPr>
        <w:ind w:left="0" w:leftChars="0" w:firstLine="0" w:firstLineChars="0"/>
        <w:rPr>
          <w:rFonts w:hint="eastAsia"/>
        </w:rPr>
      </w:pPr>
    </w:p>
    <w:p w14:paraId="37EEB45E">
      <w:pPr>
        <w:keepNext w:val="0"/>
        <w:keepLines w:val="0"/>
        <w:pageBreakBefore w:val="0"/>
        <w:widowControl/>
        <w:kinsoku w:val="0"/>
        <w:wordWrap/>
        <w:overflowPunct/>
        <w:topLinePunct w:val="0"/>
        <w:autoSpaceDE w:val="0"/>
        <w:autoSpaceDN w:val="0"/>
        <w:bidi w:val="0"/>
        <w:adjustRightInd w:val="0"/>
        <w:snapToGrid w:val="0"/>
        <w:ind w:left="0" w:leftChars="0" w:firstLine="562" w:firstLineChars="200"/>
        <w:textAlignment w:val="baseline"/>
        <w:rPr>
          <w:rStyle w:val="98"/>
          <w:rFonts w:hint="eastAsia"/>
        </w:rPr>
      </w:pPr>
      <w:r>
        <w:rPr>
          <w:rStyle w:val="98"/>
          <w:rFonts w:hint="eastAsia"/>
        </w:rPr>
        <w:t>1.3 研究内容与方法</w:t>
      </w:r>
    </w:p>
    <w:p w14:paraId="2C2D4AD2">
      <w:pPr>
        <w:rPr>
          <w:rFonts w:hint="eastAsia"/>
        </w:rPr>
      </w:pPr>
    </w:p>
    <w:p w14:paraId="0FF10D63">
      <w:pPr>
        <w:keepNext w:val="0"/>
        <w:keepLines w:val="0"/>
        <w:pageBreakBefore w:val="0"/>
        <w:widowControl/>
        <w:kinsoku w:val="0"/>
        <w:wordWrap/>
        <w:overflowPunct/>
        <w:topLinePunct w:val="0"/>
        <w:autoSpaceDE w:val="0"/>
        <w:autoSpaceDN w:val="0"/>
        <w:bidi w:val="0"/>
        <w:adjustRightInd w:val="0"/>
        <w:snapToGrid w:val="0"/>
        <w:ind w:left="0" w:leftChars="0" w:firstLine="480" w:firstLineChars="200"/>
        <w:textAlignment w:val="baseline"/>
        <w:rPr>
          <w:rFonts w:hint="eastAsia"/>
        </w:rPr>
      </w:pPr>
      <w:r>
        <w:rPr>
          <w:rFonts w:hint="eastAsia"/>
          <w:lang w:eastAsia="zh-CN"/>
        </w:rPr>
        <w:t xml:space="preserve"> </w:t>
      </w:r>
      <w:r>
        <w:rPr>
          <w:rStyle w:val="98"/>
          <w:rFonts w:hint="eastAsia"/>
        </w:rPr>
        <w:t>1.3.1 研究内容</w:t>
      </w:r>
    </w:p>
    <w:p w14:paraId="3270AD8F">
      <w:pPr>
        <w:rPr>
          <w:rFonts w:hint="eastAsia"/>
        </w:rPr>
      </w:pPr>
    </w:p>
    <w:p w14:paraId="1194C160">
      <w:pPr>
        <w:rPr>
          <w:rFonts w:hint="eastAsia"/>
        </w:rPr>
      </w:pPr>
      <w:r>
        <w:rPr>
          <w:rFonts w:hint="eastAsia"/>
        </w:rPr>
        <w:t>本研究以P公司福州市51个前置仓为优化对象，以福州市主城区及周边区域为研究范围，主要研究内容包括以下五个方面。第一，多源空间数据采集与需求建模：通过</w:t>
      </w:r>
      <w:r>
        <w:rPr>
          <w:rFonts w:hint="eastAsia"/>
          <w:lang w:val="en-US" w:eastAsia="zh-CN"/>
        </w:rPr>
        <w:t>高德地图</w:t>
      </w:r>
      <w:r>
        <w:rPr>
          <w:rFonts w:hint="eastAsia"/>
        </w:rPr>
        <w:t>平台获取福州市居民区POI数据，</w:t>
      </w:r>
      <w:r>
        <w:rPr>
          <w:rFonts w:hint="eastAsia"/>
          <w:lang w:val="en-US" w:eastAsia="zh-CN"/>
        </w:rPr>
        <w:t>以及P公司前置仓书库，</w:t>
      </w:r>
      <w:r>
        <w:rPr>
          <w:rFonts w:hint="eastAsia"/>
        </w:rPr>
        <w:t>利用ArcGIS核密度分析工具生成人口密度栅格，构建精细化的需求空间模型。第二，现有前置仓网络覆盖评估：基于3公里服务半径，为P公司现有51个前置仓生成缓冲区，通过空间叠加与统计分析，计算现有网络的覆盖加权人口总量及覆盖率，识别服务盲区与仓点重叠区域。第三，同数量全局优化选址：在保持前置仓总数51个不变的条件下，采用“缓冲区+人口统计+贪心算法”的策略，从候选点集中逐轮选择覆盖人口增量最大的位置，生成理论最优布局，并与现状进行对比分析。第四，增量布点优化选址：在固定现有51个前置仓的基础上，以新增5个前置仓为目标，从候选点中贪心选择边际覆盖增量最大的位置，输出新增仓点的具体坐标及预期覆盖效益，为P公司阶段性扩张提供决策依据。第五，优化结果对比与管理建议：从覆盖人口总量、覆盖率等维度，量化对比现状、全局优化方案与增量方案的效果，提出存量网络调整与增量布点的具体策略建议。</w:t>
      </w:r>
    </w:p>
    <w:p w14:paraId="4B490C93">
      <w:pPr>
        <w:rPr>
          <w:rFonts w:hint="eastAsia"/>
        </w:rPr>
      </w:pPr>
    </w:p>
    <w:p w14:paraId="32158F6D">
      <w:pPr>
        <w:ind w:left="0" w:leftChars="0" w:firstLine="0" w:firstLineChars="0"/>
        <w:rPr>
          <w:rFonts w:hint="eastAsia"/>
        </w:rPr>
      </w:pPr>
      <w:r>
        <w:rPr>
          <w:rFonts w:hint="eastAsia"/>
          <w:lang w:eastAsia="zh-CN"/>
        </w:rPr>
        <w:t xml:space="preserve">   </w:t>
      </w:r>
      <w:r>
        <w:rPr>
          <w:rStyle w:val="98"/>
          <w:rFonts w:hint="eastAsia"/>
        </w:rPr>
        <w:t xml:space="preserve"> 1.3.2 研究方法</w:t>
      </w:r>
    </w:p>
    <w:p w14:paraId="6189A453">
      <w:pPr>
        <w:rPr>
          <w:rFonts w:hint="eastAsia"/>
        </w:rPr>
      </w:pPr>
    </w:p>
    <w:p w14:paraId="3834F6B1">
      <w:pPr>
        <w:rPr>
          <w:rFonts w:hint="eastAsia"/>
        </w:rPr>
      </w:pPr>
      <w:r>
        <w:rPr>
          <w:rFonts w:hint="eastAsia"/>
        </w:rPr>
        <w:t>本研究综合运用了多种研究方法。</w:t>
      </w:r>
    </w:p>
    <w:p w14:paraId="5C0780AC">
      <w:pPr>
        <w:rPr>
          <w:rFonts w:hint="eastAsia"/>
        </w:rPr>
      </w:pPr>
      <w:r>
        <w:rPr>
          <w:rFonts w:hint="eastAsia"/>
        </w:rPr>
        <w:t>核密度估计（Kernel Density Estimation, KDE）用于将离散的居民区POI点转化为连续的人口密度表面，其基本原理是以每个样本点为中心放置核函数，计算周围栅格单元的密度贡献值并叠加。缓冲区分析用于模拟前置仓的服务覆盖范围，以前置仓位置为中心生成3公里半径的圆形区域，代表该仓能够服务的空间范围。</w:t>
      </w:r>
    </w:p>
    <w:p w14:paraId="1675DBF1">
      <w:pPr>
        <w:keepNext w:val="0"/>
        <w:keepLines w:val="0"/>
        <w:pageBreakBefore w:val="0"/>
        <w:widowControl/>
        <w:kinsoku w:val="0"/>
        <w:wordWrap/>
        <w:overflowPunct/>
        <w:topLinePunct w:val="0"/>
        <w:autoSpaceDE w:val="0"/>
        <w:autoSpaceDN w:val="0"/>
        <w:bidi w:val="0"/>
        <w:adjustRightInd w:val="0"/>
        <w:snapToGrid w:val="0"/>
        <w:ind w:left="0" w:leftChars="0" w:firstLine="480" w:firstLineChars="200"/>
        <w:textAlignment w:val="baseline"/>
        <w:rPr>
          <w:rFonts w:hint="eastAsia"/>
        </w:rPr>
      </w:pPr>
      <w:r>
        <w:rPr>
          <w:rFonts w:hint="eastAsia"/>
        </w:rPr>
        <w:t>最大覆盖模型（Maximal Covering Location Problem, MCLP）被形式化为选址优化目标：在给定设施数量和3公里服务半径的约束下，最大化被覆盖的加权人口总和。贪心算法用于近似求解该NP-hard问题，其核心策略是每轮迭代中计算每个候选点缓冲区内未被当前已选点覆盖的人口增量，选择增量最大的点加入解集，直至选满指定数量。空间叠加分析用于判断需求点与覆盖区的隶属关系，并统计覆盖人口。技术实现依托ArcGIS平台的空间分析工具箱以及Python脚本语言（arcpy、numpy、scipy等库），完成了从数据预处理、核密度分析、覆盖计算到贪心迭代的全流程自动化。</w:t>
      </w:r>
    </w:p>
    <w:p w14:paraId="04CE5A8F">
      <w:pPr>
        <w:bidi w:val="0"/>
        <w:rPr>
          <w:rFonts w:hint="eastAsia"/>
        </w:rPr>
      </w:pPr>
      <w:r>
        <w:t>K-means聚类算法是本研究中辅助分析的重要工具。该算法通过迭代计算将空间上邻近的居民区POI点聚合为若干簇，使得同一簇内的点具有较高的空间相似性，而不同簇之间的点差异明显。运用K-means算法对福州市居民区POI进行聚类后，可以直观地观察住宅区的空间分布格局与聚集特征，识别出人口密集的核心区域与相对稀疏的外围区域。此外，K-means聚类结果还可用于验证核密度分析结果的准确性：将聚类中心密集的区域与核密度栅格的高值区进行空间叠加对比，若两者高度吻合，则证明核密度分析有效刻画了人口的实际空间分布，从而增强后续需求建模与选址优化的可信度。</w:t>
      </w:r>
    </w:p>
    <w:p w14:paraId="63CDE4F9">
      <w:pPr>
        <w:rPr>
          <w:rFonts w:hint="eastAsia"/>
        </w:rPr>
      </w:pPr>
    </w:p>
    <w:p w14:paraId="038C9394">
      <w:pPr>
        <w:ind w:left="0" w:leftChars="0" w:firstLine="0" w:firstLineChars="0"/>
        <w:rPr>
          <w:rFonts w:hint="eastAsia"/>
        </w:rPr>
      </w:pPr>
      <w:r>
        <w:rPr>
          <w:rFonts w:hint="eastAsia"/>
          <w:lang w:eastAsia="zh-CN"/>
        </w:rPr>
        <w:t xml:space="preserve">   </w:t>
      </w:r>
      <w:r>
        <w:rPr>
          <w:rStyle w:val="98"/>
          <w:rFonts w:hint="eastAsia"/>
        </w:rPr>
        <w:t xml:space="preserve"> 1.3.3 技术路线</w:t>
      </w:r>
    </w:p>
    <w:p w14:paraId="53FFFC1B">
      <w:pPr>
        <w:rPr>
          <w:rFonts w:hint="eastAsia"/>
        </w:rPr>
      </w:pPr>
    </w:p>
    <w:p w14:paraId="3DD01EEE">
      <w:pPr>
        <w:rPr>
          <w:rFonts w:hint="eastAsia"/>
        </w:rPr>
      </w:pPr>
      <w:r>
        <w:rPr>
          <w:rFonts w:hint="eastAsia"/>
        </w:rPr>
        <w:t>本研究遵循“数据采集→需求建模→现状评估→优化求解→对比分析→策略输出”的技术路线。首先，利用</w:t>
      </w:r>
      <w:r>
        <w:rPr>
          <w:rFonts w:hint="eastAsia"/>
          <w:lang w:val="en-US" w:eastAsia="zh-CN"/>
        </w:rPr>
        <w:t>高德地图</w:t>
      </w:r>
      <w:r>
        <w:rPr>
          <w:rFonts w:hint="eastAsia"/>
        </w:rPr>
        <w:t>采集居民区POI，</w:t>
      </w:r>
      <w:r>
        <w:rPr>
          <w:rFonts w:hint="eastAsia"/>
          <w:lang w:val="en-US" w:eastAsia="zh-CN"/>
        </w:rPr>
        <w:t>并将数据导入arcgis，，</w:t>
      </w:r>
      <w:r>
        <w:rPr>
          <w:rFonts w:hint="eastAsia"/>
        </w:rPr>
        <w:t>通过核密度分析生成人口密度栅格，再通过栅格转点与空间关联提取离散需求点并赋予人口权重。其次，基于P公司提供的51个前置仓坐标，生成3公里缓冲区，计算覆盖人口与覆盖率，诊断现有网络问题。然后，生成候选点集（包括需求点与高密度人口点），采用贪心算法执行同数量全局优化与增量布点两阶段求解。最后，对比分析优化前后在覆盖人口、覆盖率、空间分布等方面的差异，输出新增仓点坐标列表与管理建议。</w:t>
      </w:r>
    </w:p>
    <w:p w14:paraId="27250DA6">
      <w:pPr>
        <w:rPr>
          <w:rFonts w:hint="eastAsia"/>
        </w:rPr>
      </w:pPr>
    </w:p>
    <w:p w14:paraId="723993EA">
      <w:pPr>
        <w:rPr>
          <w:rFonts w:hint="eastAsia"/>
        </w:rPr>
      </w:pPr>
    </w:p>
    <w:p w14:paraId="29D1E7DF">
      <w:pPr>
        <w:ind w:left="0" w:leftChars="0" w:firstLine="0" w:firstLineChars="0"/>
        <w:rPr>
          <w:rFonts w:hint="eastAsia"/>
        </w:rPr>
      </w:pPr>
      <w:r>
        <w:rPr>
          <w:rFonts w:hint="eastAsia"/>
          <w:lang w:eastAsia="zh-CN"/>
        </w:rPr>
        <w:t xml:space="preserve">   </w:t>
      </w:r>
      <w:r>
        <w:rPr>
          <w:rFonts w:hint="eastAsia"/>
        </w:rPr>
        <w:t xml:space="preserve"> </w:t>
      </w:r>
      <w:r>
        <w:rPr>
          <w:rStyle w:val="99"/>
          <w:rFonts w:hint="eastAsia"/>
        </w:rPr>
        <w:t>第二章 相关理论与技术基础</w:t>
      </w:r>
    </w:p>
    <w:p w14:paraId="6D87D550">
      <w:pPr>
        <w:rPr>
          <w:rFonts w:hint="eastAsia"/>
        </w:rPr>
      </w:pPr>
    </w:p>
    <w:p w14:paraId="36499F80">
      <w:pPr>
        <w:ind w:left="0" w:leftChars="0" w:firstLine="0" w:firstLineChars="0"/>
        <w:rPr>
          <w:rFonts w:hint="eastAsia"/>
        </w:rPr>
      </w:pPr>
      <w:r>
        <w:rPr>
          <w:rFonts w:hint="eastAsia"/>
          <w:lang w:eastAsia="zh-CN"/>
        </w:rPr>
        <w:t xml:space="preserve">   </w:t>
      </w:r>
      <w:r>
        <w:rPr>
          <w:rFonts w:hint="eastAsia"/>
        </w:rPr>
        <w:t xml:space="preserve"> </w:t>
      </w:r>
      <w:r>
        <w:rPr>
          <w:rStyle w:val="99"/>
          <w:rFonts w:hint="eastAsia"/>
        </w:rPr>
        <w:t>2.1 设施选址问题</w:t>
      </w:r>
    </w:p>
    <w:p w14:paraId="399E5CEA">
      <w:pPr>
        <w:rPr>
          <w:rFonts w:hint="eastAsia"/>
        </w:rPr>
      </w:pPr>
    </w:p>
    <w:p w14:paraId="0F7081A8">
      <w:pPr>
        <w:ind w:left="0" w:leftChars="0" w:firstLine="0" w:firstLineChars="0"/>
        <w:rPr>
          <w:rStyle w:val="98"/>
          <w:rFonts w:hint="eastAsia"/>
        </w:rPr>
      </w:pPr>
      <w:r>
        <w:rPr>
          <w:rFonts w:hint="eastAsia"/>
          <w:lang w:eastAsia="zh-CN"/>
        </w:rPr>
        <w:t xml:space="preserve">   </w:t>
      </w:r>
      <w:r>
        <w:rPr>
          <w:rFonts w:hint="eastAsia"/>
        </w:rPr>
        <w:t xml:space="preserve"> </w:t>
      </w:r>
      <w:r>
        <w:rPr>
          <w:rStyle w:val="98"/>
          <w:rFonts w:hint="eastAsia"/>
        </w:rPr>
        <w:t>2.1.1 设施选址问题的定义与分类</w:t>
      </w:r>
    </w:p>
    <w:p w14:paraId="75B99076">
      <w:pPr>
        <w:rPr>
          <w:rFonts w:hint="eastAsia"/>
        </w:rPr>
      </w:pPr>
    </w:p>
    <w:p w14:paraId="3CF7B4E0">
      <w:pPr>
        <w:rPr>
          <w:rFonts w:hint="eastAsia"/>
        </w:rPr>
      </w:pPr>
      <w:r>
        <w:rPr>
          <w:rFonts w:hint="eastAsia"/>
        </w:rPr>
        <w:t>设施选址问题是指在给定的地理区域内，为一个或多个设施（如工厂、仓库、配送中心、前置仓等）确定最优的空间位置，使得在满足既定约束条件（如服务半径、预算限制）的前提下，实现某一或某组目标函数的最优化。设施选址的决策质量直接影响物流系统的运营成本、服务效率与客户体验，在生鲜电商等时效敏感型行业中尤为关键。根据空间形态的不同，选址问题可分为连续选址与离散选址两类。连续选址假设设施可在平面内任意位置布设，通常采用重心法等解析方法求解，计算简便但难以考虑现实中的土地、规划等约束。离散选址则将候选位置限定为有限个离散点，更贴近城市物流中受用地性质、租金成本、交通条件等因素制约的现实场景，也是本研究采用的选址模式。根据决策时间跨度的不同，选址问题可划分为静态选址与动态选址。静态选址假设需求与外部环境在规划期内保持不变；动态选址则考虑需求增长、竞争格局变化等因素，分阶段进行布局优化，本研究中的“增量布点优化”即属于动态选址的范畴。</w:t>
      </w:r>
    </w:p>
    <w:p w14:paraId="72A378CB">
      <w:pPr>
        <w:rPr>
          <w:rFonts w:hint="eastAsia"/>
        </w:rPr>
      </w:pPr>
    </w:p>
    <w:p w14:paraId="1F9096D0">
      <w:pPr>
        <w:ind w:left="0" w:leftChars="0" w:firstLine="0" w:firstLineChars="0"/>
        <w:rPr>
          <w:rFonts w:hint="eastAsia"/>
        </w:rPr>
      </w:pPr>
      <w:r>
        <w:rPr>
          <w:rFonts w:hint="eastAsia"/>
          <w:lang w:eastAsia="zh-CN"/>
        </w:rPr>
        <w:t xml:space="preserve">   </w:t>
      </w:r>
      <w:r>
        <w:rPr>
          <w:rStyle w:val="98"/>
          <w:rFonts w:hint="eastAsia"/>
        </w:rPr>
        <w:t xml:space="preserve"> 2.1.2 经典选址模型</w:t>
      </w:r>
    </w:p>
    <w:p w14:paraId="53DC7B69">
      <w:pPr>
        <w:rPr>
          <w:rFonts w:hint="eastAsia"/>
        </w:rPr>
      </w:pPr>
    </w:p>
    <w:p w14:paraId="5554E778">
      <w:pPr>
        <w:rPr>
          <w:rFonts w:hint="eastAsia"/>
        </w:rPr>
      </w:pPr>
      <w:r>
        <w:rPr>
          <w:rFonts w:hint="eastAsia"/>
        </w:rPr>
        <w:t>在设施选址理论的发展历程中，学者们提出了多种经典模型，其中与前置仓选址问题密切相关的包括重心法、中位模型与覆盖模型。重心法是最早用于连续选址的解析方法，其基本思想是在平面上存在若干需求点，每个需求点具有已知的坐标和需求量（或权重），寻找一个设施位置使得总运输成本（通常视为距离与需求量的加权和）最小。重心法通过求解偏导数为零的方程组得到最优解，计算简便、易于理解，适用于初步筛选或对精度要求不高的场景。然而，重心法假设运输成本与直线距离成正比，且未考虑道路网络、交通拥堵、地形障碍等现实约束，其精度在城市复杂环境中往往受限。</w:t>
      </w:r>
    </w:p>
    <w:p w14:paraId="39B6FE8E">
      <w:pPr>
        <w:rPr>
          <w:rFonts w:hint="eastAsia"/>
        </w:rPr>
      </w:pPr>
    </w:p>
    <w:p w14:paraId="46B6A8C8">
      <w:pPr>
        <w:rPr>
          <w:rFonts w:hint="eastAsia"/>
        </w:rPr>
      </w:pPr>
      <w:r>
        <w:rPr>
          <w:rFonts w:hint="eastAsia"/>
        </w:rPr>
        <w:t>中位模型是离散选址的经典模型之一。其目标是在给定的候选点集合中选择指定数量的设施位置，使得所有需求点到其最近设施点的加权距离（或成本）总和最小。中位模型适用于以成本最小化为核心目标的场景，如区域物流配送中心的布局、公共服务设施的网络规划等。该模型的优势在于能够综合考虑需求权重与运输距离，结果具有较强的经济导向性。其求解通常采用整数规划、分支定界法或启发式算法，在处理中等规模问题时效果良好。</w:t>
      </w:r>
    </w:p>
    <w:p w14:paraId="58AE1D4E">
      <w:pPr>
        <w:rPr>
          <w:rFonts w:hint="eastAsia"/>
        </w:rPr>
      </w:pPr>
    </w:p>
    <w:p w14:paraId="7FE4C030">
      <w:pPr>
        <w:rPr>
          <w:rFonts w:hint="eastAsia"/>
        </w:rPr>
      </w:pPr>
      <w:r>
        <w:rPr>
          <w:rFonts w:hint="eastAsia"/>
        </w:rPr>
        <w:t>覆盖模型关注的是设施对需求点的“服务可达性”，而非运输成本的大小。其核心逻辑是：只要需求点落在设施的服务半径之内，即视为被覆盖，超过半径则视为未被覆盖。根据覆盖标准的不同，覆盖模型可分为集合覆盖模型与最大覆盖模型。集合覆盖模型寻求覆盖所有需求点所需的最少设施数量，适用于“必须服务全部客户”的强制性场景，如应急设施、基础医疗点的布局。最大覆盖模型则在给定设施数量和服务半径的条件下，最大化被覆盖的需求总量（或加权需求总量），适用于资源有限条件下追求服务效能最大化的场景。最大覆盖模型对于前置仓选址问题具有天然的适配性，因为前置仓的核心价值在于实现“即时配送”的承诺，服务半径（通常为3公里）是比运输成本更直观、更刚性的约束条件。企业在扩张初期往往有明确的设施数量预算，此时以最大化覆盖人口为目标，能够最直接地支撑市场拓展决策。本研究的选址优化模型正是基于最大覆盖模型构建的。</w:t>
      </w:r>
    </w:p>
    <w:p w14:paraId="3510D526">
      <w:pPr>
        <w:rPr>
          <w:rFonts w:hint="eastAsia"/>
        </w:rPr>
      </w:pPr>
    </w:p>
    <w:p w14:paraId="3278E479">
      <w:pPr>
        <w:ind w:left="0" w:leftChars="0" w:firstLine="0" w:firstLineChars="0"/>
        <w:rPr>
          <w:rFonts w:hint="eastAsia"/>
        </w:rPr>
      </w:pPr>
      <w:r>
        <w:rPr>
          <w:rFonts w:hint="eastAsia"/>
          <w:lang w:eastAsia="zh-CN"/>
        </w:rPr>
        <w:t xml:space="preserve">   </w:t>
      </w:r>
      <w:r>
        <w:rPr>
          <w:rFonts w:hint="eastAsia"/>
        </w:rPr>
        <w:t xml:space="preserve"> </w:t>
      </w:r>
      <w:r>
        <w:rPr>
          <w:rStyle w:val="99"/>
          <w:rFonts w:hint="eastAsia"/>
        </w:rPr>
        <w:t>2.2 地理信息系统（GIS）空间分析方法</w:t>
      </w:r>
    </w:p>
    <w:p w14:paraId="5151F06F">
      <w:pPr>
        <w:rPr>
          <w:rFonts w:hint="eastAsia"/>
        </w:rPr>
      </w:pPr>
    </w:p>
    <w:p w14:paraId="35ED6C76">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2.2.1 GIS的基本功能与空间数据结构</w:t>
      </w:r>
    </w:p>
    <w:p w14:paraId="2641DFB5">
      <w:pPr>
        <w:rPr>
          <w:rFonts w:hint="eastAsia"/>
        </w:rPr>
      </w:pPr>
    </w:p>
    <w:p w14:paraId="315674F6">
      <w:pPr>
        <w:rPr>
          <w:rFonts w:hint="eastAsia"/>
        </w:rPr>
      </w:pPr>
      <w:r>
        <w:rPr>
          <w:rFonts w:hint="eastAsia"/>
        </w:rPr>
        <w:t>地理信息系统（Geographic Information System, GIS）是一种用于采集、存储、管理、分析和展示地理空间数据的计算机系统。其核心价值在于能够将地理位置信息与属性信息相结合，通过一系列空间分析功能揭示隐藏于空间数据背后的模式、关系与趋势。在设施选址领域，GIS已从最初的可视化展示工具发展为不可或缺的空间分析与决策支持平台。在数据模型层面，GIS主要采用矢量数据模型与栅格数据模型两种形式。矢量数据以点、线、面几何要素表达现实世界，适用于表示具有明确边界的离散对象，如前置仓位置（点）、道路网络（线）、行政区划（面）。栅格数据则将空间划分为规则的网格单元（像元），每个单元记录一个数值，适用于表示连续变化的地理现象，如人口密度、温度分布、土地利用类型等。本研究涉及的居民区POI数据属于矢量点要素，核密度分析生成的人口密度栅格属于栅格数据，而服务半径分析则需要在矢量与栅格之间进行转换与叠加。理解两种数据模型的特性及其转换方法是运用GIS进行空间分析的基础。</w:t>
      </w:r>
    </w:p>
    <w:p w14:paraId="11C601AD">
      <w:pPr>
        <w:rPr>
          <w:rFonts w:hint="eastAsia"/>
        </w:rPr>
      </w:pPr>
    </w:p>
    <w:p w14:paraId="63AF64C8">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2.2.2 缓冲区分析</w:t>
      </w:r>
    </w:p>
    <w:p w14:paraId="3458B5FB">
      <w:pPr>
        <w:rPr>
          <w:rFonts w:hint="eastAsia"/>
        </w:rPr>
      </w:pPr>
    </w:p>
    <w:p w14:paraId="13DE16A2">
      <w:pPr>
        <w:rPr>
          <w:rFonts w:hint="eastAsia"/>
        </w:rPr>
      </w:pPr>
      <w:r>
        <w:rPr>
          <w:rFonts w:hint="eastAsia"/>
        </w:rPr>
        <w:t>缓冲区分析是GIS中最基础的空间分析方法之一，其功能是在点、线或面要素周围建立指定距离的带状区域（缓冲区）。对于前置仓选址而言，缓冲区分析可用于模拟设施的服务覆盖范围：以前置仓位置为中心，以3公里为半径生成圆形缓冲区，缓冲区内区域即被视为该前置仓能够服务的范围。通过多个缓冲区的叠加与合并，可以直观展示整个前置仓网络的服务覆盖格局，识别出服务盲区或重叠区域。本研究中，缓冲区分析被用于两个方面：一是为现有前置仓生成服务区，评估现状覆盖人口；二是为候选点生成缓冲区，在贪心算法中计算各候选点能够覆盖的人口范围。由于本研究采用欧氏距离而非路网距离作为覆盖判断标准，缓冲区分析能够满足精度要求且计算效率高，适合大规模候选点的迭代计算。</w:t>
      </w:r>
    </w:p>
    <w:p w14:paraId="2E033759">
      <w:pPr>
        <w:rPr>
          <w:rFonts w:hint="eastAsia"/>
        </w:rPr>
      </w:pPr>
    </w:p>
    <w:p w14:paraId="463F6149">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2.2.3 核密度分析</w:t>
      </w:r>
    </w:p>
    <w:p w14:paraId="7DC3BC25">
      <w:pPr>
        <w:rPr>
          <w:rFonts w:hint="eastAsia"/>
        </w:rPr>
      </w:pPr>
    </w:p>
    <w:p w14:paraId="10EDD43E">
      <w:pPr>
        <w:rPr>
          <w:rFonts w:hint="eastAsia"/>
        </w:rPr>
      </w:pPr>
      <w:r>
        <w:rPr>
          <w:rFonts w:hint="eastAsia"/>
        </w:rPr>
        <w:t>核密度分析是一种非参数空间平滑方法，用于从离散的点要素生成连续的概率密度表面。其基本原理是：以每个样本点为中心，放置一个核函数（通常为高斯核或四次核），计算周围每个输出栅格单元与该点的距离并赋予相应的密度贡献值，将所有点的贡献值叠加后即得到整个区域的密度分布图。核密度分析的数学表达式为：</w:t>
      </w:r>
    </w:p>
    <w:p w14:paraId="06609CFA">
      <w:r>
        <w:drawing>
          <wp:inline distT="0" distB="0" distL="114300" distR="114300">
            <wp:extent cx="3409950" cy="10572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409950" cy="1057275"/>
                    </a:xfrm>
                    <a:prstGeom prst="rect">
                      <a:avLst/>
                    </a:prstGeom>
                    <a:noFill/>
                    <a:ln>
                      <a:noFill/>
                    </a:ln>
                  </pic:spPr>
                </pic:pic>
              </a:graphicData>
            </a:graphic>
          </wp:inline>
        </w:drawing>
      </w:r>
    </w:p>
    <w:p w14:paraId="50C4D67C">
      <w:pPr>
        <w:ind w:left="0" w:leftChars="0" w:firstLine="0" w:firstLineChars="0"/>
        <w:rPr>
          <w:rFonts w:hint="eastAsia"/>
        </w:rPr>
      </w:pPr>
      <w:r>
        <w:rPr>
          <w:rFonts w:hint="eastAsia"/>
        </w:rPr>
        <w:t>其中K为核函数，h为搜索半径（带宽）。带宽的选择决定了密度表面的平滑程度：带宽越小，密度分布越崎岖，局部细节越丰富；带宽越大，密度分布越平滑，整体趋势越明显。本研究以福州市居民区POI为输入数据，采用搜索半径1000米、像元大小100米的参数设置，生成人口密度栅格。之所以采用居民区POI作为人口密度的代理变量，是因为城市居民区的空间分布与人口分布高度相关，居民区越密集的区域通常人口基数越大。通过核密度分析，可将离散的居民区点转化为连续的人口密度表面，为后续需求点加权提供精细化的空间数据基础。</w:t>
      </w:r>
    </w:p>
    <w:p w14:paraId="1C4D2FF7">
      <w:pPr>
        <w:rPr>
          <w:rFonts w:hint="eastAsia"/>
        </w:rPr>
      </w:pPr>
    </w:p>
    <w:p w14:paraId="622DF017">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2.2.4 空间叠加与统计</w:t>
      </w:r>
    </w:p>
    <w:p w14:paraId="0A961C48">
      <w:pPr>
        <w:rPr>
          <w:rFonts w:hint="eastAsia"/>
        </w:rPr>
      </w:pPr>
    </w:p>
    <w:p w14:paraId="6497E215">
      <w:pPr>
        <w:rPr>
          <w:rFonts w:hint="eastAsia"/>
        </w:rPr>
      </w:pPr>
      <w:r>
        <w:rPr>
          <w:rFonts w:hint="eastAsia"/>
        </w:rPr>
        <w:t>空间叠加分析是将两个或多个空间图层进行数学运算，生成新的空间图层的过程。常见的叠加类型包括相交（Intersect）、联合（Union）、擦除（Erase）等。在选址优化中，叠加分析用于评估需求点与覆盖区之间的隶属关系：将需求点图层与前置仓缓冲区图层进行空间连接（Spatial Join），即可判断每个需求点是否被至少一个前置仓覆盖，进而统计被覆盖的需求点数量或加权人口。本研究使用ArcGIS的ExtractValuesToPoints工具，将核密度栅格的值提取到需求点，实现从栅格到矢量的属性传递；使用ZonalStatisticsAsTable工具，统计缓冲区内栅格像元值的总和，得到覆盖人口数。此外，在贪心算法中，需要计算候选点缓冲区与当前已覆盖区域的差集（Erase），以确定新增覆盖区域。这些空间叠加与统计操作是连接GIS空间分析与优化模型的关键桥梁。</w:t>
      </w:r>
    </w:p>
    <w:p w14:paraId="514EE6F9">
      <w:pPr>
        <w:rPr>
          <w:rFonts w:hint="eastAsia"/>
        </w:rPr>
      </w:pPr>
    </w:p>
    <w:p w14:paraId="7B714C0F">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2.2.5 贪心算法与GIS的集成</w:t>
      </w:r>
    </w:p>
    <w:p w14:paraId="0B86932F">
      <w:pPr>
        <w:rPr>
          <w:rFonts w:hint="eastAsia"/>
        </w:rPr>
      </w:pPr>
    </w:p>
    <w:p w14:paraId="164445DA">
      <w:pPr>
        <w:rPr>
          <w:rFonts w:hint="eastAsia"/>
        </w:rPr>
      </w:pPr>
      <w:r>
        <w:rPr>
          <w:rFonts w:hint="eastAsia"/>
        </w:rPr>
        <w:t>由于最大覆盖模型属于NP-hard问题，当候选点数量较大（本研究约55个）时，精确求解（如分支定界法）计算量过大。因此，本研究采用贪心算法进行近似求解。贪心算法的核心思想是：每一步都选择当前状态下能够带来最大边际效益的决策，最终得到近似最优解。具体到前置仓选址问题，贪心算法的流程如下：首先，生成候选点集合并预计算每个候选点3公里缓冲区内的人口点集合（基于欧氏距离）。然后，初始化已覆盖人口点集为空（或在增量优化时初始化为现有仓点的覆盖集）。接着，重复执行以下步骤直到选满指定数量的前置仓：遍历所有未被选中的候选点，计算其缓冲区内尚未被覆盖的人口点的人口值总和，选择该总和最大的候选点加入解集，并更新已覆盖人口点集。最后，输出选中的候选点坐标及总覆盖人口。由于贪心算法每轮迭代都需要计算所有候选点的边际覆盖人口，直接进行几何缓冲区运算与差集计算会非常耗时。为了提升效率，本研究采用预计算距离矩阵的方法：预先计算每个候选点到每个人口点的距离，判断是否≤3000米，生成覆盖关系布尔矩阵。在贪心迭代时，直接基于覆盖关系矩阵计算新增覆盖人口，避免了重复的几何运算，大幅提升了算法运行速度。</w:t>
      </w:r>
    </w:p>
    <w:p w14:paraId="41791DDD">
      <w:pPr>
        <w:rPr>
          <w:rFonts w:hint="eastAsia"/>
        </w:rPr>
      </w:pPr>
    </w:p>
    <w:p w14:paraId="232B445B">
      <w:pPr>
        <w:rPr>
          <w:rFonts w:hint="eastAsia"/>
        </w:rPr>
      </w:pPr>
    </w:p>
    <w:p w14:paraId="23CBB9F4">
      <w:pPr>
        <w:ind w:left="0" w:leftChars="0" w:firstLine="0" w:firstLineChars="0"/>
        <w:rPr>
          <w:rFonts w:hint="eastAsia"/>
        </w:rPr>
      </w:pPr>
      <w:r>
        <w:rPr>
          <w:rFonts w:hint="eastAsia"/>
          <w:lang w:eastAsia="zh-CN"/>
        </w:rPr>
        <w:t xml:space="preserve">   </w:t>
      </w:r>
      <w:r>
        <w:rPr>
          <w:rFonts w:hint="eastAsia"/>
        </w:rPr>
        <w:t xml:space="preserve"> </w:t>
      </w:r>
      <w:r>
        <w:rPr>
          <w:rStyle w:val="99"/>
          <w:rFonts w:hint="eastAsia"/>
        </w:rPr>
        <w:t>第三章 P公司前置仓选址现状与问题分析</w:t>
      </w:r>
    </w:p>
    <w:p w14:paraId="0A7F4C38">
      <w:pPr>
        <w:rPr>
          <w:rFonts w:hint="eastAsia"/>
        </w:rPr>
      </w:pPr>
    </w:p>
    <w:p w14:paraId="68C09F59">
      <w:pPr>
        <w:ind w:left="0" w:leftChars="0" w:firstLine="0" w:firstLineChars="0"/>
        <w:rPr>
          <w:rFonts w:hint="eastAsia"/>
        </w:rPr>
      </w:pPr>
      <w:r>
        <w:rPr>
          <w:rFonts w:hint="eastAsia"/>
          <w:lang w:eastAsia="zh-CN"/>
        </w:rPr>
        <w:t xml:space="preserve">   </w:t>
      </w:r>
      <w:r>
        <w:rPr>
          <w:rFonts w:hint="eastAsia"/>
        </w:rPr>
        <w:t xml:space="preserve"> </w:t>
      </w:r>
      <w:r>
        <w:rPr>
          <w:rStyle w:val="99"/>
          <w:rFonts w:hint="eastAsia"/>
        </w:rPr>
        <w:t>3.1 生鲜电商行业发展与前置仓模式现状</w:t>
      </w:r>
    </w:p>
    <w:p w14:paraId="6E0FA189">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3.1.1 生鲜电商行业的发展概况</w:t>
      </w:r>
    </w:p>
    <w:p w14:paraId="005690BF">
      <w:pPr>
        <w:rPr>
          <w:rFonts w:hint="eastAsia"/>
        </w:rPr>
      </w:pPr>
    </w:p>
    <w:p w14:paraId="743E4B08">
      <w:pPr>
        <w:rPr>
          <w:rFonts w:hint="eastAsia"/>
        </w:rPr>
      </w:pPr>
      <w:r>
        <w:rPr>
          <w:rFonts w:hint="eastAsia"/>
        </w:rPr>
        <w:t>生鲜电商是生鲜零售业态与电子商务技术深度融合的产物，其核心在于通过线上平台连接生鲜产品的生产者与消费者，借助冷链物流与即时配送体系，突破传统生鲜零售在时间与空间上的限制。中国生鲜零售市场体量巨大，2020年生鲜零售市场规模已达到5万亿元，预计到2025年将增长至6.8万亿元。生鲜电商行业在2021至2025年间经历了由疫情催化、技术驱动与消费习惯变迁共同推动的高速增长，市场规模从约4,658亿元攀升至9,872亿元，年均复合增长率达20.7%，行业渗透率由10.2%提升至21.6%。2026年线上生鲜消费占生鲜零售总消费的比例预计将达到35%，生鲜零售市场规模将达7.2万亿元。与此同时，即时零售在中国城镇居民中的渗透率从2020年的26%跃升至2025年的50%，年均复合增长率达11.3%，标志着消费者对“即买即得”需求的快速接纳。然而，生鲜电商行业在快速扩张的同时也面临着结构性挑战。生鲜产品非标、毛利率较低、损耗较大，传统模式下损耗率超过15%，冷链物流成本占比高达30%左右，利润空间有限。行业从早期的“流量红利”驱动逐步转向“效率红利”驱动，竞争焦点从规模扩张转向供应链能力与精细化运营水平的比拼。</w:t>
      </w:r>
    </w:p>
    <w:p w14:paraId="3436418C">
      <w:pPr>
        <w:rPr>
          <w:rFonts w:hint="eastAsia"/>
        </w:rPr>
      </w:pPr>
    </w:p>
    <w:p w14:paraId="3FBB0774">
      <w:pPr>
        <w:ind w:left="0" w:leftChars="0" w:firstLine="0" w:firstLineChars="0"/>
        <w:rPr>
          <w:rStyle w:val="98"/>
          <w:rFonts w:hint="eastAsia"/>
        </w:rPr>
      </w:pPr>
      <w:r>
        <w:rPr>
          <w:rFonts w:hint="eastAsia"/>
          <w:lang w:eastAsia="zh-CN"/>
        </w:rPr>
        <w:t xml:space="preserve">   </w:t>
      </w:r>
      <w:r>
        <w:rPr>
          <w:rFonts w:hint="eastAsia"/>
        </w:rPr>
        <w:t xml:space="preserve"> </w:t>
      </w:r>
      <w:r>
        <w:rPr>
          <w:rStyle w:val="98"/>
          <w:rFonts w:hint="eastAsia"/>
        </w:rPr>
        <w:t>3.1.2 前置仓模式的内涵与演进</w:t>
      </w:r>
    </w:p>
    <w:p w14:paraId="28E0B01E">
      <w:pPr>
        <w:rPr>
          <w:rFonts w:hint="eastAsia"/>
        </w:rPr>
      </w:pPr>
    </w:p>
    <w:p w14:paraId="7086C1D9">
      <w:pPr>
        <w:rPr>
          <w:rFonts w:hint="eastAsia"/>
        </w:rPr>
      </w:pPr>
      <w:r>
        <w:rPr>
          <w:rFonts w:hint="eastAsia"/>
        </w:rPr>
        <w:t>前置仓模式是一种以“库存前置、快速响应”为核心理念的新型仓储配送模式，其基本特征是：将小型仓库设立在距离消费者最近的位置（通常位于人口密集的社区周边3公里生活圈内），用户线上下单后，订单从最近的前置仓发出，由骑手完成“最后一公里”配送，从而实现30分钟内的即时送达。前置仓区别于传统远离市区的中心仓模式，后者因运输距离长而难以满足即时配送的需求，而前置仓通过网格化布局将配送半径缩短至3公里以内，大幅提升了末端履约效率。前置仓模式在中国的发展大致经历了三个阶段。萌芽摸索期（2015-2017年）：2015年前后，夏季高温导致生鲜配送时效问题集中爆发，生鲜电商企业首次提出前置仓概念，每日优鲜率先推出前置仓1.0版本。创新摸索期（2018-2019年）：各家企业持续布局，前置仓模式逐步获得市场认可，2019年行业内爆发了前置仓大竞赛，沃尔玛山姆、每日优鲜、朴朴超市、叮咚买菜等企业纷纷积极发展自身的前置仓网络。崛起发展期（2020年至今）：新冠疫情爆发后，线下消费受阻，生鲜电商迎来订单井喷式增长，前置仓的构建体系要求不断提升，模式逐步从“规模优先”转向“效率优先”。</w:t>
      </w:r>
    </w:p>
    <w:p w14:paraId="2B91BD70">
      <w:pPr>
        <w:rPr>
          <w:rFonts w:hint="eastAsia"/>
        </w:rPr>
      </w:pPr>
    </w:p>
    <w:p w14:paraId="25D26B17">
      <w:pPr>
        <w:ind w:left="0" w:leftChars="0" w:firstLine="0" w:firstLineChars="0"/>
        <w:rPr>
          <w:rStyle w:val="98"/>
          <w:rFonts w:hint="eastAsia"/>
        </w:rPr>
      </w:pPr>
      <w:r>
        <w:rPr>
          <w:rFonts w:hint="eastAsia"/>
          <w:lang w:eastAsia="zh-CN"/>
        </w:rPr>
        <w:t xml:space="preserve">   </w:t>
      </w:r>
      <w:r>
        <w:rPr>
          <w:rFonts w:hint="eastAsia"/>
        </w:rPr>
        <w:t xml:space="preserve"> </w:t>
      </w:r>
      <w:r>
        <w:rPr>
          <w:rStyle w:val="98"/>
          <w:rFonts w:hint="eastAsia"/>
        </w:rPr>
        <w:t>3.1.3 前置仓模式的运营特征与挑战</w:t>
      </w:r>
    </w:p>
    <w:p w14:paraId="19A57E2B">
      <w:pPr>
        <w:rPr>
          <w:rFonts w:hint="eastAsia"/>
        </w:rPr>
      </w:pPr>
    </w:p>
    <w:p w14:paraId="154F89AE">
      <w:pPr>
        <w:rPr>
          <w:rFonts w:hint="eastAsia"/>
        </w:rPr>
      </w:pPr>
      <w:r>
        <w:rPr>
          <w:rFonts w:hint="eastAsia"/>
        </w:rPr>
        <w:t>前置仓模式相较于传统生鲜零售与中心仓模式，具有多方面的运营优势，但同时也面临严峻挑战。在配送时效方面，前置仓将仓库“前移”至消费者周边，将服务半径压缩至3公里以内，能够实现30分钟之内的即时送达，这种极致时效体验改变了消费者的购物习惯。在商品损耗方面，前置仓模式下商家以“以销定采”和“少量多次”的补货策略替代传统大批量采购，结合数据驱动的库存管理系统，能够有效减少库存积压与周转时间。然而，前置仓模式也面临着“重资产”带来的高额运营成本压力。据行业测算，一单生鲜配送的骑手成本约为5至8元，仓内运营成本约为3至5元，而生鲜毛利率往往只有20%左右，这意味着客单价必须超过60元才能勉强覆盖成本。此外，前置仓的选址决策直接影响整个网络的运营效率：选址过密会造成资源浪费和内部竞争，选址过疏则会产生服务盲区，错失市场机会。因此，科学合理的选址优化成为前置仓模式能否实现盈利的关键环节。</w:t>
      </w:r>
    </w:p>
    <w:p w14:paraId="7CEF63A7">
      <w:pPr>
        <w:rPr>
          <w:rFonts w:hint="eastAsia"/>
        </w:rPr>
      </w:pPr>
    </w:p>
    <w:p w14:paraId="167FC573">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3.2 P公司业务概况与前置仓布局现状</w:t>
      </w:r>
    </w:p>
    <w:p w14:paraId="51427276">
      <w:pPr>
        <w:rPr>
          <w:rFonts w:hint="eastAsia"/>
        </w:rPr>
      </w:pPr>
    </w:p>
    <w:p w14:paraId="1A049DBE">
      <w:pPr>
        <w:ind w:left="0" w:leftChars="0" w:firstLine="0" w:firstLineChars="0"/>
        <w:rPr>
          <w:rStyle w:val="98"/>
          <w:rFonts w:hint="eastAsia"/>
        </w:rPr>
      </w:pPr>
      <w:r>
        <w:rPr>
          <w:rFonts w:hint="eastAsia"/>
          <w:lang w:eastAsia="zh-CN"/>
        </w:rPr>
        <w:t xml:space="preserve">   </w:t>
      </w:r>
      <w:r>
        <w:rPr>
          <w:rFonts w:hint="eastAsia"/>
        </w:rPr>
        <w:t xml:space="preserve"> </w:t>
      </w:r>
      <w:r>
        <w:rPr>
          <w:rStyle w:val="98"/>
          <w:rFonts w:hint="eastAsia"/>
        </w:rPr>
        <w:t>3.2.1 P公司基本情况</w:t>
      </w:r>
    </w:p>
    <w:p w14:paraId="62FC807E">
      <w:pPr>
        <w:rPr>
          <w:rFonts w:hint="eastAsia"/>
        </w:rPr>
      </w:pPr>
    </w:p>
    <w:p w14:paraId="7911E8A1">
      <w:pPr>
        <w:ind w:left="0" w:leftChars="0" w:firstLine="0" w:firstLineChars="0"/>
        <w:rPr>
          <w:rFonts w:hint="eastAsia"/>
        </w:rPr>
      </w:pPr>
      <w:r>
        <w:rPr>
          <w:rFonts w:hint="eastAsia"/>
        </w:rPr>
        <w:t>P公司是一家专注于30分钟内即时送达的移动互联网购物平台，自2016年6月成立于福州以来，始终坚持以“前置仓”模式和“30分钟即时配送”服务为核心竞争力。公司创始团队核心成员均为互联网及零售领域的连续创业者，至今已历经天使轮、A轮、B1至B3轮、C1至C2轮共七轮融资，投资方涉及高榕资本、IDG资本等知名消费投资机构。在商业模式层面，P公司采用了高度差异化的“前置仓+纯线上运营”模式，与依赖线下门店吸引客流的传统零售商不同，P公司完全依靠线上APP承载用户订单，前端不设线下零售区，所有订单均由城市周边的前置仓直接拣货、打包，再由自有骑手团队完成末端配送。单个前置仓面积达800至1000平方米，SKU数量稳定在6000至8000个，商品品类覆盖水果蔬菜、肉禽蛋奶、粮油调味、酒水饮料、休闲食品、个人护理、日用百货等近万种商品，形成“线上生鲜超市”的完整消费场景。从经营业绩来看，P公司展现出强劲的盈利能力，2024年首次实现年度盈利，全年收入约300亿元，毛利率22.5%，履约费用率控制在17.5%以内。</w:t>
      </w:r>
    </w:p>
    <w:p w14:paraId="59F80E3A">
      <w:pPr>
        <w:ind w:left="0" w:leftChars="0" w:firstLine="0" w:firstLineChars="0"/>
        <w:rPr>
          <w:rFonts w:hint="eastAsia"/>
          <w:lang w:eastAsia="zh-CN"/>
        </w:rPr>
      </w:pPr>
    </w:p>
    <w:p w14:paraId="0F3B921F">
      <w:pPr>
        <w:ind w:left="0" w:leftChars="0" w:firstLine="0" w:firstLineChars="0"/>
        <w:rPr>
          <w:rFonts w:hint="eastAsia"/>
          <w:lang w:eastAsia="zh-CN"/>
        </w:rPr>
      </w:pPr>
    </w:p>
    <w:p w14:paraId="73195E15">
      <w:pPr>
        <w:ind w:left="0" w:leftChars="0" w:firstLine="0" w:firstLineChars="0"/>
        <w:rPr>
          <w:rStyle w:val="98"/>
          <w:rFonts w:hint="eastAsia"/>
        </w:rPr>
      </w:pPr>
      <w:r>
        <w:rPr>
          <w:rFonts w:hint="eastAsia"/>
          <w:lang w:eastAsia="zh-CN"/>
        </w:rPr>
        <w:t xml:space="preserve">   </w:t>
      </w:r>
      <w:r>
        <w:rPr>
          <w:rFonts w:hint="eastAsia"/>
        </w:rPr>
        <w:t xml:space="preserve"> </w:t>
      </w:r>
      <w:r>
        <w:rPr>
          <w:rStyle w:val="98"/>
          <w:rFonts w:hint="eastAsia"/>
        </w:rPr>
        <w:t>3.2.2 P公司前置仓网络布局现状</w:t>
      </w:r>
    </w:p>
    <w:p w14:paraId="204088C3">
      <w:pPr>
        <w:rPr>
          <w:rFonts w:hint="eastAsia"/>
        </w:rPr>
      </w:pPr>
    </w:p>
    <w:p w14:paraId="35EA18AF">
      <w:pPr>
        <w:rPr>
          <w:rFonts w:hint="eastAsia"/>
        </w:rPr>
      </w:pPr>
      <w:r>
        <w:rPr>
          <w:rFonts w:hint="eastAsia"/>
        </w:rPr>
        <w:t>P公司的前置仓布局呈现出清晰的“区域聚焦、单城深耕”特征。截至2026年，P公司已在福州、厦门、广州、深圳、武汉、成都、泉州、东莞、佛山等9个城市布局了超过400个大型前置仓。福州市作为P公司的发源地和总部所在地，是其前置仓布局最为成熟、密度最高的标杆市场</w:t>
      </w:r>
      <w:r>
        <w:rPr>
          <w:rFonts w:hint="eastAsia"/>
          <w:lang w:eastAsia="zh-CN"/>
        </w:rPr>
        <w:t>，</w:t>
      </w:r>
      <w:r>
        <w:rPr>
          <w:rFonts w:hint="eastAsia"/>
        </w:rPr>
        <w:t>主要分布于鼓楼区、台江区、仓山区、晋安区以及闽侯县、长乐区。从空间分布来看，核心城区（鼓楼、台江、仓山北部、晋安南部）仓点密集，部分区域仓点间距不足1公里；而外围区域（闽侯上街、南屿、长乐城区、马尾）仓点相对稀疏，存在较大的服务空白区。以鼓楼区为例，该区域集中了超过15个前置仓，覆盖了五四路、杨桥路、工业路等主要商圈和居住区；而闽侯县的上街镇、南屿镇虽然人口增长迅速，但前置仓数量仅有3至4个，覆盖能力明显不足。这种“核心密集、外围稀疏”的布局格局，反映了P公司“先核心、后外围”的扩张策略，但也导致了核心城区仓点资源浪费与外围区域服务能力不足并存的问题。</w:t>
      </w:r>
    </w:p>
    <w:p w14:paraId="2DA2DE12">
      <w:pPr>
        <w:rPr>
          <w:rFonts w:hint="eastAsia"/>
        </w:rPr>
      </w:pPr>
    </w:p>
    <w:p w14:paraId="66606CC2">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3.2.3 P公司前置仓的服务能力与运营特征</w:t>
      </w:r>
    </w:p>
    <w:p w14:paraId="35BAFE7B">
      <w:pPr>
        <w:rPr>
          <w:rFonts w:hint="eastAsia"/>
        </w:rPr>
      </w:pPr>
    </w:p>
    <w:p w14:paraId="79FAF72C">
      <w:pPr>
        <w:rPr>
          <w:rFonts w:hint="eastAsia"/>
        </w:rPr>
      </w:pPr>
      <w:r>
        <w:rPr>
          <w:rFonts w:hint="eastAsia"/>
        </w:rPr>
        <w:t>P公司前置仓呈现出“大仓型、高SKU、强履约”的鲜明特征。单个前置仓面积通常为800至1000平方米，远超市面上多数前置仓企业300至500平方米的仓均面积。较大的仓储面积带来了两大优势：一是SKU数量显著提升，达到6000至8000个，形成“一站式购物”能力；二是库存深度与备货灵活性增强，能够有效应对高峰期订单冲击，减少缺货率。从运营效率来看，P公司通过数据驱动的库存管理与智能调度系统，将履约费用率控制在17.5%以内。具体运营流程为：用户在P公司APP下单后，系统依据订单内容自动分配至距离最近的前置仓；仓内员工通过数字化拣货终端完成商品分拣，并推送至打包区；打包完成后，骑手通过智能调度系统获取配送任务，在规定时间内完成上门配送。从成本构成来看，配送骑手费用约占履约成本的40%至50%，是最大的单项支出；仓内人力成本约占30%至40%，涵盖分拣员、补货员、打包员等岗位；仓储租金约占15%至20%。P公司通过在大仓布局上的规模效应，有效摊薄了单位订单成本。</w:t>
      </w:r>
    </w:p>
    <w:p w14:paraId="4E3EA5E3">
      <w:pPr>
        <w:rPr>
          <w:rFonts w:hint="eastAsia"/>
        </w:rPr>
      </w:pPr>
    </w:p>
    <w:p w14:paraId="66273751">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3.3 P公司前置仓网络问题及诊断</w:t>
      </w:r>
    </w:p>
    <w:p w14:paraId="75AAE16C">
      <w:pPr>
        <w:ind w:left="0" w:leftChars="0" w:firstLine="0" w:firstLineChars="0"/>
        <w:rPr>
          <w:rFonts w:hint="eastAsia"/>
        </w:rPr>
      </w:pPr>
    </w:p>
    <w:p w14:paraId="1AFC2972">
      <w:pPr>
        <w:ind w:left="0" w:leftChars="0" w:firstLine="480" w:firstLineChars="0"/>
        <w:rPr>
          <w:rStyle w:val="98"/>
          <w:rFonts w:hint="eastAsia"/>
        </w:rPr>
      </w:pPr>
      <w:r>
        <w:rPr>
          <w:rStyle w:val="98"/>
          <w:rFonts w:hint="eastAsia"/>
        </w:rPr>
        <w:t>3.3.1 空间布局不均衡与服务盲区问题</w:t>
      </w:r>
    </w:p>
    <w:p w14:paraId="54FFFC45">
      <w:pPr>
        <w:ind w:left="0" w:leftChars="0" w:firstLine="480" w:firstLineChars="0"/>
        <w:rPr>
          <w:rStyle w:val="98"/>
          <w:rFonts w:hint="eastAsia"/>
        </w:rPr>
      </w:pPr>
    </w:p>
    <w:p w14:paraId="0B002BDA">
      <w:pPr>
        <w:rPr>
          <w:rFonts w:hint="eastAsia"/>
        </w:rPr>
      </w:pPr>
      <w:r>
        <w:rPr>
          <w:rFonts w:hint="eastAsia"/>
        </w:rPr>
        <w:t>通过对P公司福州市51个前置仓的3公里缓冲区叠加分析，发现其空间布局存在显著的“核心密集、外围稀疏”问题。在鼓楼区、台江区等核心城区，前置仓缓冲区高度重叠，部分区域被3个以上仓点同时覆盖，造成资源浪费和内部竞争。例如，鼓楼区杨桥路附近1公里范围内就有3个前置仓，其服务半径严重重叠，但该区域人口密度已趋于饱和，边际覆盖增量极低。与此形成鲜明对比的是，闽侯县的上街镇、南屿镇以及长乐区、马尾区等外围区域，前置仓缓冲区稀疏，存在大量服务盲区。例如，闽侯上街镇是福州大学城所在地，拥有大量年轻消费群体，但仅有2至3个前置仓覆盖，大量住宅区距离最近前置仓超过3公里，无法享受30分钟配送服务。</w:t>
      </w:r>
    </w:p>
    <w:p w14:paraId="654932C1">
      <w:pPr>
        <w:rPr>
          <w:rFonts w:hint="eastAsia"/>
          <w:lang w:eastAsia="zh-CN"/>
        </w:rPr>
      </w:pPr>
    </w:p>
    <w:p w14:paraId="4604518D">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3.3.2 运营成本压力与规模效应递减</w:t>
      </w:r>
    </w:p>
    <w:p w14:paraId="3DA18BB8">
      <w:pPr>
        <w:rPr>
          <w:rFonts w:hint="eastAsia"/>
        </w:rPr>
      </w:pPr>
    </w:p>
    <w:p w14:paraId="551F5A96">
      <w:pPr>
        <w:rPr>
          <w:rFonts w:hint="eastAsia"/>
        </w:rPr>
      </w:pPr>
      <w:r>
        <w:rPr>
          <w:rFonts w:hint="eastAsia"/>
        </w:rPr>
        <w:t>前置仓模式的“重资产”属性决定了其运营成本天然偏高。虽然P公司已将履约费用率压缩至17.5%，优于叮咚买菜同期的22.9%，但与传统商超5%至8%的物流成本相比仍有较大差距。在核心城区，由于仓点密度过高，单个仓点的日均订单量被稀释，规模效应无法充分发挥。以鼓楼区某前置仓为例，其周边1.5公里范围内存在另外2个仓点，导致该仓的实际服务范围被压缩，日均订单量低于设计产能，单位履约成本居高不下。与此同时，随着核心城区仓点密度的持续增加，新增仓点的边际覆盖人口急剧下降，而新建仓点的租金、人力、设备投入则相对固定，导致新增投资的边际回报率递减。此外，配送骑手成本是履约费用中占比最高的单项支出，随着人力成本的持续上涨，该部分费用存在进一步上升的压力。因此，通过优化布局，将部分核心城区的冗余仓点迁移至外围服务盲区，可以在不增加总仓点数量的前提下提升整体覆盖人口，同时改善各仓点的订单均衡性，降低单位履约成本。</w:t>
      </w:r>
    </w:p>
    <w:p w14:paraId="7A3030C2">
      <w:pPr>
        <w:rPr>
          <w:rFonts w:hint="eastAsia"/>
        </w:rPr>
      </w:pPr>
    </w:p>
    <w:p w14:paraId="0690B7EE">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3.3.3 跨区域复制困难与增量扩张需求</w:t>
      </w:r>
    </w:p>
    <w:p w14:paraId="174FB224">
      <w:pPr>
        <w:rPr>
          <w:rFonts w:hint="eastAsia"/>
        </w:rPr>
      </w:pPr>
    </w:p>
    <w:p w14:paraId="7C6CA312">
      <w:pPr>
        <w:rPr>
          <w:rFonts w:hint="eastAsia"/>
        </w:rPr>
      </w:pPr>
      <w:r>
        <w:rPr>
          <w:rFonts w:hint="eastAsia"/>
        </w:rPr>
        <w:t>P公司赖以成功的“大仓高密度”模式虽然在福州、厦门等地效果显著，但该模式的异地复制面临较高的启动成本和本地化挑战。从已入驻城市的运营表现来看，各地市场的盈利周期存在显著差异，武汉、成都等内陆城市需约22个月方能实现盈利，而厦门、深圳等华南城市则相对更快。新城市开仓的前期投入主要包括仓储设施建设、供应链本地化、骑手团队组建及用户拉新等，这些投入在开仓初期集中释放，而收入规模则需要经历一个逐步爬坡的过程，导致新市场在初期面临较大的亏损压力。2025年P公司仅计划新增泉州一个城市，且重点下沉福建县域市场，这种相对“保守”的扩张策略反映了跨区域复制过程中的结构性困难。在福州市，P公司已经完成了核心城区的高密度覆盖，下一步的增量扩张方向应是向外围新兴居住区、县域城区延伸。然而，外围区域人口密度较低、消费习惯不同，直接套用核心城区的布仓策略可能导致单仓订单量不足、盈利困难。因此，需要一种能够量化评估外围区域覆盖效益的选址方法，为增量布点提供数据驱动的优先级排序和具体坐标建议。本研究正是针对这一需求，设计了“同数量全局优化”与“增量布点优化”两阶段方案，前者用于评估存量网络的优化潜力，后者用于指导增量扩张。</w:t>
      </w:r>
    </w:p>
    <w:p w14:paraId="4AA40329">
      <w:pPr>
        <w:rPr>
          <w:rFonts w:hint="eastAsia"/>
        </w:rPr>
      </w:pPr>
    </w:p>
    <w:p w14:paraId="0A81EBBE">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3.3.4 综合诊断与优化需求提炼</w:t>
      </w:r>
    </w:p>
    <w:p w14:paraId="0239B17D">
      <w:pPr>
        <w:rPr>
          <w:rFonts w:hint="eastAsia"/>
        </w:rPr>
      </w:pPr>
    </w:p>
    <w:p w14:paraId="64CA9C9C">
      <w:pPr>
        <w:rPr>
          <w:rFonts w:hint="eastAsia"/>
        </w:rPr>
      </w:pPr>
      <w:r>
        <w:rPr>
          <w:rFonts w:hint="eastAsia"/>
        </w:rPr>
        <w:t>综合以上分析，P公司前置仓网络当前面临的核心问题可概括为以下四个方面：第一，空间布局不均衡，核心城区仓点过密、外围区域覆盖不足，存在显著的服务盲区，整体覆盖率仅为69.14%；第二，运营成本压力持续，核心城区仓点重叠导致规模效应递减，单位履约成本难以进一步压缩；第三，跨区域复制能力受限，外围区域布点缺乏量化决策依据，导致增量扩张节奏缓慢；第四，现有网络尚未达到理论最优布局，存在较大的存量优化空间。因此，P公司亟需一套科学、可量化的选址优化方法，系统评估现有布局的覆盖效能，精准识别服务盲区与冗余区域，并在约束条件下生成最优的存量调整与增量拓展方案。这不仅有助于降低运营成本、提升服务质量，也将为P公司在日益激烈的行业竞争中巩固福州市场领先地位提供有力的决策支撑。</w:t>
      </w:r>
    </w:p>
    <w:p w14:paraId="31A20985">
      <w:pPr>
        <w:ind w:left="0" w:leftChars="0" w:firstLine="0" w:firstLineChars="0"/>
        <w:rPr>
          <w:rFonts w:hint="eastAsia"/>
        </w:rPr>
      </w:pPr>
    </w:p>
    <w:p w14:paraId="5AA7433E">
      <w:pPr>
        <w:ind w:left="0" w:leftChars="0" w:firstLine="0" w:firstLineChars="0"/>
        <w:rPr>
          <w:rFonts w:hint="eastAsia"/>
        </w:rPr>
      </w:pPr>
      <w:r>
        <w:rPr>
          <w:rFonts w:hint="eastAsia"/>
          <w:lang w:eastAsia="zh-CN"/>
        </w:rPr>
        <w:t xml:space="preserve">  </w:t>
      </w:r>
      <w:r>
        <w:rPr>
          <w:rFonts w:hint="eastAsia"/>
        </w:rPr>
        <w:t xml:space="preserve"> </w:t>
      </w:r>
    </w:p>
    <w:p w14:paraId="2A83A19C">
      <w:pPr>
        <w:ind w:left="0" w:leftChars="0" w:firstLine="0" w:firstLineChars="0"/>
        <w:rPr>
          <w:rFonts w:hint="eastAsia"/>
        </w:rPr>
      </w:pPr>
    </w:p>
    <w:p w14:paraId="6ADCFB10">
      <w:pPr>
        <w:ind w:left="0" w:leftChars="0" w:firstLine="0" w:firstLineChars="0"/>
        <w:rPr>
          <w:rFonts w:hint="eastAsia"/>
        </w:rPr>
      </w:pPr>
    </w:p>
    <w:p w14:paraId="4DAB845D">
      <w:pPr>
        <w:ind w:left="0" w:leftChars="0" w:firstLine="0" w:firstLineChars="0"/>
        <w:rPr>
          <w:rStyle w:val="99"/>
          <w:rFonts w:hint="eastAsia"/>
        </w:rPr>
      </w:pPr>
      <w:r>
        <w:rPr>
          <w:rStyle w:val="99"/>
          <w:rFonts w:hint="eastAsia"/>
        </w:rPr>
        <w:t>第四章 P公司前置仓选址优化的系统分析与总体设计</w:t>
      </w:r>
    </w:p>
    <w:p w14:paraId="17A1C6BE">
      <w:pPr>
        <w:rPr>
          <w:rFonts w:hint="eastAsia"/>
        </w:rPr>
      </w:pPr>
    </w:p>
    <w:p w14:paraId="2E381B3E">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4.1 系统需求分析与决策支持目标</w:t>
      </w:r>
    </w:p>
    <w:p w14:paraId="24C41A4A">
      <w:pPr>
        <w:rPr>
          <w:rFonts w:hint="eastAsia"/>
        </w:rPr>
      </w:pPr>
    </w:p>
    <w:p w14:paraId="3682B0DF">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4.1.1 业务需求分析</w:t>
      </w:r>
    </w:p>
    <w:p w14:paraId="41B916C9">
      <w:pPr>
        <w:rPr>
          <w:rFonts w:hint="eastAsia"/>
        </w:rPr>
      </w:pPr>
    </w:p>
    <w:p w14:paraId="21ABFA27">
      <w:pPr>
        <w:rPr>
          <w:rFonts w:hint="eastAsia"/>
        </w:rPr>
      </w:pPr>
      <w:r>
        <w:rPr>
          <w:rFonts w:hint="eastAsia"/>
        </w:rPr>
        <w:t>P公司前置仓选址优化的核心业务需求源于第三章诊断出的空间布局不均衡、运营成本压力持续以及增量扩张缺乏量化依据等问题。具体而言，P公司亟需一套能够基于人口空间分布数据，在3公里服务半径约束下，量化评估现有网络覆盖效能、识别服务盲区、并生成最优选址方案的方法体系。该方法应满足三个层次的业务需求。第一，现状评估需求，即能够基于现有51个前置仓的精确坐标，结合福州市人口密度栅格，精确计算覆盖的加权人口总量及空间分布，识别覆盖薄弱区域和仓点重叠区域。第二，全局优化需求，即在保持前置仓总数51个不变的条件下，求解能使覆盖加权人口最大化的理想布局方案，为网络调整提供理论基准，量化现状与最优之间的差距。第三，增量拓展需求，即在固定现有51个仓点的基础上，为新增前置仓提供最优选址坐标及预期边际覆盖效益评估，支撑分阶段扩张决策，避免盲目布点造成的资源浪费。</w:t>
      </w:r>
    </w:p>
    <w:p w14:paraId="0B2111BE">
      <w:pPr>
        <w:rPr>
          <w:rFonts w:hint="eastAsia"/>
        </w:rPr>
      </w:pPr>
    </w:p>
    <w:p w14:paraId="5C052745">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4.1.2 功能需求分析</w:t>
      </w:r>
    </w:p>
    <w:p w14:paraId="196C5A4E">
      <w:pPr>
        <w:rPr>
          <w:rFonts w:hint="eastAsia"/>
        </w:rPr>
      </w:pPr>
    </w:p>
    <w:p w14:paraId="41EEF5CB">
      <w:pPr>
        <w:rPr>
          <w:rFonts w:hint="eastAsia"/>
        </w:rPr>
      </w:pPr>
      <w:r>
        <w:rPr>
          <w:rFonts w:hint="eastAsia"/>
        </w:rPr>
        <w:t>基于上述业务需求，系统应具备以下核心功能。第一，多源空间数据集成与管理功能，能够导入并管理福州市居民区POI数据、互联网热力图数据、P公司现有51个前置仓坐标、研究区边界等数据，支持数据的清洗、坐标转换与格式标准化。第二，空间分析与需求建模功能，能够对居民区POI执行核密度分析生成人口密度栅格，通过栅格转点与空间关联操作将密度值赋权给离散需求点，实现从“离散POI”到“加权需求点”的转换。第三，覆盖评估与优化求解功能，能够基于3公里服务半径计算现有布局的覆盖加权人口，并采用“缓冲区+人口统计+贪心算法”的技术路径，求解同数量全局优化方案与增量布点方案。第四，可视化输出与对比分析功能，能够以专题地图形式展示优化前后的覆盖范围对比，并以统计表格输出覆盖人口、覆盖率、服务盲区面积等关键指标。</w:t>
      </w:r>
    </w:p>
    <w:p w14:paraId="01BE5080">
      <w:pPr>
        <w:rPr>
          <w:rFonts w:hint="eastAsia"/>
        </w:rPr>
      </w:pPr>
    </w:p>
    <w:p w14:paraId="7DA22CA0">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4.1.3 决策支持目标</w:t>
      </w:r>
    </w:p>
    <w:p w14:paraId="30D36D65">
      <w:pPr>
        <w:rPr>
          <w:rFonts w:hint="eastAsia"/>
        </w:rPr>
      </w:pPr>
    </w:p>
    <w:p w14:paraId="27AF9584">
      <w:pPr>
        <w:rPr>
          <w:rFonts w:hint="eastAsia"/>
        </w:rPr>
      </w:pPr>
      <w:r>
        <w:rPr>
          <w:rFonts w:hint="eastAsia"/>
        </w:rPr>
        <w:t>本系统旨在为P公司管理层提供三个层面的决策支持。第一，网络诊断支持，通过计算现有51个前置仓各仓点的覆盖人口及其重叠情况，明确哪些仓点覆盖效率高、哪些存在冗余或覆盖不足，为存量调整提供依据。例如，识别出鼓楼区等核心城区中缓冲区高度重叠的仓点，建议将其迁移至外围盲区。第二，优化潜力评估支持，通过贪心算法求得的全局优化方案，揭示在当前资源总量（51个仓）下可能达到的最佳覆盖水平，量化现状与理论最优之间的差距，帮助管理层理解存量优化的潜在收益。第三，增量选址支持，在固定现有51个仓点的基础上，利用贪心算法逐轮输出新增仓点的最优坐标及其边际覆盖人口增量，辅助管理层按优先级分阶段推进布点，实现预算约束下的投资效益最大化。</w:t>
      </w:r>
    </w:p>
    <w:p w14:paraId="4AED2BC7">
      <w:pPr>
        <w:rPr>
          <w:rFonts w:hint="eastAsia"/>
        </w:rPr>
      </w:pPr>
    </w:p>
    <w:p w14:paraId="01465469">
      <w:pPr>
        <w:ind w:left="0" w:leftChars="0" w:firstLine="0" w:firstLineChars="0"/>
        <w:rPr>
          <w:rFonts w:hint="eastAsia"/>
        </w:rPr>
      </w:pPr>
      <w:r>
        <w:rPr>
          <w:rFonts w:hint="eastAsia"/>
          <w:lang w:eastAsia="zh-CN"/>
        </w:rPr>
        <w:t xml:space="preserve">   </w:t>
      </w:r>
      <w:r>
        <w:rPr>
          <w:rFonts w:hint="eastAsia"/>
        </w:rPr>
        <w:t xml:space="preserve"> </w:t>
      </w:r>
      <w:r>
        <w:rPr>
          <w:rStyle w:val="98"/>
          <w:rFonts w:hint="eastAsia"/>
        </w:rPr>
        <w:t>4.2 系统总体架构设计</w:t>
      </w:r>
    </w:p>
    <w:p w14:paraId="3E2F1459">
      <w:pPr>
        <w:rPr>
          <w:rFonts w:hint="eastAsia"/>
        </w:rPr>
      </w:pPr>
    </w:p>
    <w:p w14:paraId="66FEB9F0">
      <w:pPr>
        <w:ind w:left="0" w:leftChars="0" w:firstLine="0" w:firstLineChars="0"/>
        <w:rPr>
          <w:rStyle w:val="98"/>
          <w:rFonts w:hint="eastAsia"/>
        </w:rPr>
      </w:pPr>
      <w:r>
        <w:rPr>
          <w:rFonts w:hint="eastAsia"/>
          <w:lang w:eastAsia="zh-CN"/>
        </w:rPr>
        <w:t xml:space="preserve">   </w:t>
      </w:r>
      <w:r>
        <w:rPr>
          <w:rFonts w:hint="eastAsia"/>
        </w:rPr>
        <w:t xml:space="preserve"> </w:t>
      </w:r>
      <w:r>
        <w:rPr>
          <w:rStyle w:val="98"/>
          <w:rFonts w:hint="eastAsia"/>
        </w:rPr>
        <w:t>4.2.1 数据采集与预处理层</w:t>
      </w:r>
    </w:p>
    <w:p w14:paraId="340E0B13">
      <w:pPr>
        <w:rPr>
          <w:rFonts w:hint="eastAsia"/>
        </w:rPr>
      </w:pPr>
    </w:p>
    <w:p w14:paraId="79A9E614">
      <w:pPr>
        <w:rPr>
          <w:rFonts w:hint="eastAsia"/>
        </w:rPr>
      </w:pPr>
      <w:r>
        <w:rPr>
          <w:rFonts w:hint="eastAsia"/>
        </w:rPr>
        <w:t>本系统采用分层架构模式，将数据流、计算逻辑与用户交互进行解耦，形成“数据采集与预处理层—模型计算与优化层—结果输出与应用层”三层体系。数据采集与预处理层负责多源空间数据的获取、清洗与格式转换，为上层模型计算提供标准化的输入数据。具体包括以下模块：POI数据采集模块，利用</w:t>
      </w:r>
      <w:r>
        <w:rPr>
          <w:rFonts w:hint="eastAsia"/>
          <w:lang w:val="en-US" w:eastAsia="zh-CN"/>
        </w:rPr>
        <w:t>高德地图</w:t>
      </w:r>
      <w:r>
        <w:rPr>
          <w:rFonts w:hint="eastAsia"/>
        </w:rPr>
        <w:t>平台以“居民区”为关键词获取福州市住宅区点位数据，包含名称、坐标、地址等属性信息，共计获取</w:t>
      </w:r>
      <w:r>
        <w:rPr>
          <w:rFonts w:hint="eastAsia"/>
          <w:lang w:val="en-US" w:eastAsia="zh-CN"/>
        </w:rPr>
        <w:t>7000</w:t>
      </w:r>
      <w:r>
        <w:rPr>
          <w:rFonts w:hint="eastAsia"/>
        </w:rPr>
        <w:t>条有效POI记录；</w:t>
      </w:r>
      <w:r>
        <w:rPr>
          <w:rFonts w:hint="eastAsia"/>
          <w:lang w:val="en-US" w:eastAsia="zh-CN"/>
        </w:rPr>
        <w:t>对POI使用kmeans算法进行聚类，获得易于观测的POI位置信息；</w:t>
      </w:r>
      <w:r>
        <w:rPr>
          <w:rFonts w:hint="eastAsia"/>
        </w:rPr>
        <w:t>基础地理数据模块，收集福州市行政区划；P公司现状数据模块，</w:t>
      </w:r>
      <w:r>
        <w:rPr>
          <w:rFonts w:hint="eastAsia"/>
          <w:lang w:val="en-US" w:eastAsia="zh-CN"/>
        </w:rPr>
        <w:t>通过高德地图爬取P公司前置仓位置坐标信息</w:t>
      </w:r>
      <w:r>
        <w:rPr>
          <w:rFonts w:hint="eastAsia"/>
        </w:rPr>
        <w:t>。</w:t>
      </w:r>
    </w:p>
    <w:p w14:paraId="337270AD">
      <w:pPr>
        <w:rPr>
          <w:rFonts w:hint="eastAsia"/>
        </w:rPr>
      </w:pPr>
    </w:p>
    <w:p w14:paraId="332BB720">
      <w:pPr>
        <w:ind w:left="0" w:leftChars="0" w:firstLine="0" w:firstLineChars="0"/>
        <w:rPr>
          <w:rStyle w:val="98"/>
          <w:rFonts w:hint="eastAsia"/>
        </w:rPr>
      </w:pPr>
      <w:r>
        <w:rPr>
          <w:rFonts w:hint="eastAsia"/>
          <w:lang w:eastAsia="zh-CN"/>
        </w:rPr>
        <w:t xml:space="preserve">    </w:t>
      </w:r>
      <w:r>
        <w:rPr>
          <w:rFonts w:hint="eastAsia"/>
        </w:rPr>
        <w:t xml:space="preserve"> </w:t>
      </w:r>
      <w:r>
        <w:rPr>
          <w:rStyle w:val="98"/>
          <w:rFonts w:hint="eastAsia"/>
        </w:rPr>
        <w:t>4.2.2 模型计算与优化层</w:t>
      </w:r>
    </w:p>
    <w:p w14:paraId="790D5FBF">
      <w:pPr>
        <w:rPr>
          <w:rFonts w:hint="eastAsia"/>
        </w:rPr>
      </w:pPr>
    </w:p>
    <w:p w14:paraId="6F564A09">
      <w:pPr>
        <w:rPr>
          <w:rFonts w:hint="eastAsia"/>
        </w:rPr>
      </w:pPr>
      <w:r>
        <w:rPr>
          <w:rFonts w:hint="eastAsia"/>
        </w:rPr>
        <w:t>模型计算与优化层是系统的核心计算引擎，承载需求建模与选址优化的全部算法逻辑。该层包含两个子模块。需求空间建模模块首先对居民区POI执行核密度分析，搜索半径设为1000米，像元大小100米，生成福州市人口密度栅格表面“住宅区核密度”；然后通过栅格转点操作提取离散需求点，每个点代表一个100米×100米的像元，其初始人口值即为核密度栅格值；最后，对于核密度值为空或无效的点，以该点所在网格内的POI数量作为替代值，并将所有权重归一化至[0,1]区间，完成从“离散POI”到“加权需求点”的转换。选址优化求解模块采用“缓冲区+人口统计+贪心算法”的技术路径：首先为每个候选点（包括现有仓点及从需求点和人口高密度区域生成的候选点）预计算3公里半径内覆盖的人口点集合（基于欧氏距离判断）；然后在同数量全局优化模式下，从候选点中逐轮选择覆盖人口增量最大的点，直至选满51个；在增量布点模式下，固定现有51个仓点的已覆盖区域，仅从剩余候选点中逐轮选择边际增量最大的点，输出新增5个仓点的坐标及对应覆盖增量。算法实现依托Python脚本，利用arcpy进行空间数据操作，利用numpy进行距离矩阵计算。</w:t>
      </w:r>
    </w:p>
    <w:p w14:paraId="411616E3">
      <w:pPr>
        <w:ind w:left="0" w:leftChars="0" w:firstLine="0" w:firstLineChars="0"/>
        <w:rPr>
          <w:rFonts w:hint="eastAsia"/>
        </w:rPr>
      </w:pPr>
    </w:p>
    <w:p w14:paraId="71C0A717">
      <w:pPr>
        <w:rPr>
          <w:rFonts w:hint="eastAsia"/>
        </w:rPr>
      </w:pPr>
      <w:r>
        <w:rPr>
          <w:rFonts w:hint="eastAsia"/>
          <w:lang w:eastAsia="zh-CN"/>
        </w:rPr>
        <w:t xml:space="preserve">   </w:t>
      </w:r>
      <w:r>
        <w:rPr>
          <w:rFonts w:hint="eastAsia"/>
        </w:rPr>
        <w:t xml:space="preserve"> 4.3 核心优化流程设计</w:t>
      </w:r>
    </w:p>
    <w:p w14:paraId="6CF718A5">
      <w:pPr>
        <w:rPr>
          <w:rFonts w:hint="eastAsia"/>
        </w:rPr>
      </w:pPr>
    </w:p>
    <w:p w14:paraId="729D468A">
      <w:pPr>
        <w:rPr>
          <w:rFonts w:hint="eastAsia"/>
        </w:rPr>
      </w:pPr>
      <w:r>
        <w:rPr>
          <w:rFonts w:hint="eastAsia"/>
          <w:lang w:eastAsia="zh-CN"/>
        </w:rPr>
        <w:t xml:space="preserve">    </w:t>
      </w:r>
      <w:r>
        <w:rPr>
          <w:rFonts w:hint="eastAsia"/>
        </w:rPr>
        <w:t>4.3.1 需求点提取与权重赋值流程</w:t>
      </w:r>
    </w:p>
    <w:p w14:paraId="254D8A5C">
      <w:pPr>
        <w:rPr>
          <w:rFonts w:hint="eastAsia"/>
        </w:rPr>
      </w:pPr>
    </w:p>
    <w:p w14:paraId="50DF9D44">
      <w:pPr>
        <w:rPr>
          <w:rFonts w:hint="eastAsia"/>
        </w:rPr>
      </w:pPr>
      <w:r>
        <w:rPr>
          <w:rFonts w:hint="eastAsia"/>
        </w:rPr>
        <w:t>核心优化流程遵循“缓冲区+人口统计+贪心算法”的总体策略。第一步是需求点提取与权重赋值。从高德地图爬取居民区POI，将坐标信息导入ArcGIS；对POI点执行核密度分析（工具为KernelDensity），参数设置为搜索半径1000米、像元大小100米，输出栅格“住宅区核密度”；使用ExtractValuesToPoints工具将栅格值提取至需求点，字段为RASTERVALU；若某点无核密度值（RASTERVALU为空），则以该点所在网格内的POI数量（POI_Count）替代；最后将权重标准化至[0,1]区间，公式为：归一化权重=(原始值-最小值)/(最大值-最小值)。</w:t>
      </w:r>
    </w:p>
    <w:p w14:paraId="5580B9D2">
      <w:pPr>
        <w:rPr>
          <w:rFonts w:hint="eastAsia"/>
        </w:rPr>
      </w:pPr>
    </w:p>
    <w:p w14:paraId="59F1EF6B">
      <w:pPr>
        <w:rPr>
          <w:rFonts w:hint="eastAsia"/>
        </w:rPr>
      </w:pPr>
      <w:r>
        <w:rPr>
          <w:rFonts w:hint="eastAsia"/>
          <w:lang w:eastAsia="zh-CN"/>
        </w:rPr>
        <w:t xml:space="preserve">    </w:t>
      </w:r>
      <w:r>
        <w:rPr>
          <w:rFonts w:hint="eastAsia"/>
        </w:rPr>
        <w:t xml:space="preserve"> 4.3.2 现有前置仓覆盖分析流程</w:t>
      </w:r>
    </w:p>
    <w:p w14:paraId="61BB2943">
      <w:pPr>
        <w:rPr>
          <w:rFonts w:hint="eastAsia"/>
        </w:rPr>
      </w:pPr>
    </w:p>
    <w:p w14:paraId="275BB573">
      <w:pPr>
        <w:rPr>
          <w:rFonts w:hint="eastAsia"/>
        </w:rPr>
      </w:pPr>
      <w:r>
        <w:rPr>
          <w:rFonts w:hint="eastAsia"/>
        </w:rPr>
        <w:t>第二步是现有前置仓覆盖分析。基于用户提供的51个前置仓坐标，使用Buffer工具生成3公里半径的圆形缓冲区；使用Union与Dissolve工具合并所有缓冲区，消除重叠区域，得到“现有前置仓_3km缓冲区_合并”图层；利用ExtractByMask提取覆盖范围内的人口栅格，通过ZonalStatisticsAsTable统计覆盖人口总量；覆盖率的计算公式为：覆盖率=覆盖人口/研究区总人口×100%。</w:t>
      </w:r>
    </w:p>
    <w:p w14:paraId="16929833">
      <w:pPr>
        <w:rPr>
          <w:rFonts w:hint="eastAsia"/>
        </w:rPr>
      </w:pPr>
      <w:r>
        <w:rPr>
          <w:rFonts w:hint="eastAsia"/>
          <w:lang w:eastAsia="zh-CN"/>
        </w:rPr>
        <w:t xml:space="preserve">    </w:t>
      </w:r>
      <w:r>
        <w:rPr>
          <w:rFonts w:hint="eastAsia"/>
        </w:rPr>
        <w:t xml:space="preserve"> 4.3.3 同数量前置仓重选址优化流程</w:t>
      </w:r>
    </w:p>
    <w:p w14:paraId="67B1C400">
      <w:pPr>
        <w:rPr>
          <w:rFonts w:hint="eastAsia"/>
        </w:rPr>
      </w:pPr>
    </w:p>
    <w:p w14:paraId="48599BCD">
      <w:pPr>
        <w:rPr>
          <w:rFonts w:hint="eastAsia"/>
        </w:rPr>
      </w:pPr>
      <w:r>
        <w:rPr>
          <w:rFonts w:hint="eastAsia"/>
        </w:rPr>
        <w:t>第三步是同数量前置仓重选址优化。统计现有前置仓数量N=51；通过CreateFishnet工具生成500米间距的候选网格点，并结合需求点与人口高密度区域（人口值前50</w:t>
      </w:r>
      <w:r>
        <w:rPr>
          <w:rFonts w:hint="eastAsia"/>
          <w:lang w:val="en-US" w:eastAsia="zh-CN"/>
        </w:rPr>
        <w:t>0</w:t>
      </w:r>
      <w:r>
        <w:rPr>
          <w:rFonts w:hint="eastAsia"/>
        </w:rPr>
        <w:t>的点位）生成候选点集，去重后得到约550个候选点。贪心算法流程如下：初始化已覆盖人口点集为空；对于每一轮迭代（共51轮），遍历所有候选点，计算该候选点3公里缓冲区内未被当前已覆盖点集覆盖的人口点的人口值总和（即新增覆盖人口）；选择新增覆盖人口最大的候选点加入选中列表，并将该候选点的覆盖人口点集并入已覆盖集；更新总覆盖人口；重复直至选满51个点。</w:t>
      </w:r>
    </w:p>
    <w:p w14:paraId="49DE9469">
      <w:pPr>
        <w:rPr>
          <w:rFonts w:hint="eastAsia"/>
        </w:rPr>
      </w:pPr>
      <w:r>
        <w:rPr>
          <w:rFonts w:hint="eastAsia"/>
          <w:lang w:eastAsia="zh-CN"/>
        </w:rPr>
        <w:t xml:space="preserve">    </w:t>
      </w:r>
      <w:r>
        <w:rPr>
          <w:rFonts w:hint="eastAsia"/>
        </w:rPr>
        <w:t xml:space="preserve"> 4.3.4 新增前置仓选址优化流程</w:t>
      </w:r>
    </w:p>
    <w:p w14:paraId="6CE413EB">
      <w:pPr>
        <w:rPr>
          <w:rFonts w:hint="eastAsia"/>
        </w:rPr>
      </w:pPr>
    </w:p>
    <w:p w14:paraId="2CE3D21C">
      <w:pPr>
        <w:rPr>
          <w:rFonts w:hint="eastAsia"/>
        </w:rPr>
      </w:pPr>
      <w:r>
        <w:rPr>
          <w:rFonts w:hint="eastAsia"/>
        </w:rPr>
        <w:t>第四步是新增前置仓选址优化。在现有51个前置仓已覆盖区域的基础上，需要新增5个前置仓以最大化覆盖增量。首先，计算现有51个仓点的已覆盖人口点集；然后，从候选点集中排除已完全被覆盖的区域，生成覆盖区外候选点集；接着，采用贪心算法，每轮迭代中选择能够带来最大新增覆盖人口的候选点，更新已覆盖集，重复5轮；最后，输出新增的5个前置仓坐标及每个仓点的边际覆盖人口</w:t>
      </w:r>
    </w:p>
    <w:p w14:paraId="24F77A90">
      <w:pPr>
        <w:rPr>
          <w:rFonts w:hint="eastAsia"/>
        </w:rPr>
      </w:pPr>
      <w:r>
        <w:rPr>
          <w:rFonts w:hint="eastAsia"/>
          <w:lang w:eastAsia="zh-CN"/>
        </w:rPr>
        <w:t xml:space="preserve">    </w:t>
      </w:r>
      <w:r>
        <w:rPr>
          <w:rFonts w:hint="eastAsia"/>
        </w:rPr>
        <w:t xml:space="preserve"> 4.3.5 结果对比与输出流程</w:t>
      </w:r>
    </w:p>
    <w:p w14:paraId="0668230C">
      <w:pPr>
        <w:rPr>
          <w:rFonts w:hint="eastAsia"/>
        </w:rPr>
      </w:pPr>
    </w:p>
    <w:p w14:paraId="3A4536F5">
      <w:pPr>
        <w:rPr>
          <w:rFonts w:hint="eastAsia"/>
        </w:rPr>
      </w:pPr>
      <w:r>
        <w:rPr>
          <w:rFonts w:hint="eastAsia"/>
        </w:rPr>
        <w:t>第五步是结果对比与输出。将现状方案、同数量优化方案、增量布点方案的覆盖人口、覆盖率、服务盲区面积等指标汇总到对比表格中。利用GIS的专题制图功能，生成三幅对比地图：现状覆盖图、优化后覆盖图、新增仓点位置图。最后，根据优化结果生成管理建议报告，包括存量调整的优先级列表（哪些现有仓点可考虑迁移或关闭）以及增量布点的具体坐标与建设顺序建议。整个流程实现了从数据输入到决策输出的自动化与可视化。</w:t>
      </w:r>
    </w:p>
    <w:p w14:paraId="63EC3382">
      <w:pPr>
        <w:rPr>
          <w:rFonts w:hint="eastAsia"/>
        </w:rPr>
      </w:pPr>
    </w:p>
    <w:p w14:paraId="40F6489D">
      <w:pPr>
        <w:rPr>
          <w:rFonts w:hint="eastAsia"/>
        </w:rPr>
      </w:pPr>
    </w:p>
    <w:p w14:paraId="1C86D5C9">
      <w:pPr>
        <w:rPr>
          <w:rFonts w:hint="eastAsia"/>
        </w:rPr>
      </w:pPr>
      <w:r>
        <w:rPr>
          <w:rFonts w:hint="eastAsia"/>
          <w:lang w:eastAsia="zh-CN"/>
        </w:rPr>
        <w:t xml:space="preserve"> </w:t>
      </w:r>
    </w:p>
    <w:p w14:paraId="35C40966">
      <w:pPr>
        <w:rPr>
          <w:rFonts w:hint="eastAsia"/>
        </w:rPr>
      </w:pPr>
      <w:r>
        <w:rPr>
          <w:rFonts w:hint="eastAsia"/>
          <w:lang w:eastAsia="zh-CN"/>
        </w:rPr>
        <w:t xml:space="preserve">  </w:t>
      </w:r>
      <w:r>
        <w:rPr>
          <w:rFonts w:hint="eastAsia"/>
        </w:rPr>
        <w:t xml:space="preserve"> 第六章 案例实证分析与优化建议</w:t>
      </w:r>
    </w:p>
    <w:p w14:paraId="64F0A358">
      <w:pPr>
        <w:rPr>
          <w:rFonts w:hint="eastAsia"/>
        </w:rPr>
      </w:pPr>
    </w:p>
    <w:p w14:paraId="4C7580E1">
      <w:pPr>
        <w:rPr>
          <w:rFonts w:hint="eastAsia"/>
        </w:rPr>
      </w:pPr>
      <w:r>
        <w:rPr>
          <w:rFonts w:hint="eastAsia"/>
          <w:lang w:eastAsia="zh-CN"/>
        </w:rPr>
        <w:t xml:space="preserve">   </w:t>
      </w:r>
      <w:r>
        <w:rPr>
          <w:rFonts w:hint="eastAsia"/>
        </w:rPr>
        <w:t xml:space="preserve"> 6.1 案例背景</w:t>
      </w:r>
    </w:p>
    <w:p w14:paraId="2A429976">
      <w:pPr>
        <w:rPr>
          <w:rFonts w:hint="eastAsia"/>
        </w:rPr>
      </w:pPr>
    </w:p>
    <w:p w14:paraId="558140DA">
      <w:pPr>
        <w:rPr>
          <w:rFonts w:hint="eastAsia"/>
        </w:rPr>
      </w:pPr>
      <w:r>
        <w:rPr>
          <w:rFonts w:ascii="Segoe UI" w:hAnsi="Segoe UI" w:eastAsia="Segoe UI" w:cs="Segoe UI"/>
          <w:i w:val="0"/>
          <w:iCs w:val="0"/>
          <w:caps w:val="0"/>
          <w:color w:val="0F1115"/>
          <w:spacing w:val="0"/>
          <w:sz w:val="24"/>
          <w:szCs w:val="24"/>
          <w:shd w:val="clear" w:fill="FFFFFF"/>
        </w:rPr>
        <w:t>本研究以P公司（朴朴超市）在福州市的51个前置仓为实证对象，研究区覆盖福州市鼓楼区、台江区、仓山区、晋安区、马尾区以及闽侯县的部分区域，总面积约1,500平方公里。根据核密度分析得到的人口栅格，研究区总人口值为4,851,068.75（相对值，代表人口规模）。服务半径设为3公里，与P公司的实际配送标准一致。P公司现有51个前置仓的坐标已通过爬虫从高德地图获取，清洗后直接用于空间分析，无需进行坐标系转换。候选点集由需求点（核密度栅格转点的高权重部分）和人口高密度区域采样点合并去重后生成，共约550个候选点。所有数据均经过清洗和投影统一，确保空间分析的准确性。</w:t>
      </w:r>
    </w:p>
    <w:p w14:paraId="14319B88">
      <w:pPr>
        <w:rPr>
          <w:rFonts w:hint="eastAsia"/>
        </w:rPr>
      </w:pPr>
      <w:r>
        <w:rPr>
          <w:rFonts w:hint="eastAsia"/>
          <w:lang w:eastAsia="zh-CN"/>
        </w:rPr>
        <w:t xml:space="preserve">   </w:t>
      </w:r>
      <w:r>
        <w:rPr>
          <w:rFonts w:hint="eastAsia"/>
        </w:rPr>
        <w:t xml:space="preserve"> 6.2 算法参数设置、数据来源与处理</w:t>
      </w:r>
    </w:p>
    <w:p w14:paraId="3AD2C0F9">
      <w:pPr>
        <w:rPr>
          <w:rFonts w:hint="eastAsia"/>
        </w:rPr>
      </w:pPr>
    </w:p>
    <w:p w14:paraId="1D931E84">
      <w:pPr>
        <w:rPr>
          <w:rFonts w:hint="eastAsia"/>
        </w:rPr>
      </w:pPr>
      <w:r>
        <w:rPr>
          <w:rFonts w:hint="eastAsia"/>
          <w:lang w:eastAsia="zh-CN"/>
        </w:rPr>
        <w:t xml:space="preserve">    </w:t>
      </w:r>
      <w:r>
        <w:rPr>
          <w:rFonts w:hint="eastAsia"/>
        </w:rPr>
        <w:t xml:space="preserve"> 6.2.1 核密度分析参数</w:t>
      </w:r>
    </w:p>
    <w:p w14:paraId="6B693F18">
      <w:pPr>
        <w:rPr>
          <w:rFonts w:hint="eastAsia"/>
        </w:rPr>
      </w:pPr>
    </w:p>
    <w:p w14:paraId="3E3BD7C0">
      <w:pPr>
        <w:rPr>
          <w:rFonts w:hint="eastAsia"/>
        </w:rPr>
      </w:pPr>
      <w:r>
        <w:rPr>
          <w:rFonts w:hint="eastAsia"/>
        </w:rPr>
        <w:t>核密度分析使用ArcGIS的KernelDensity工具，输入要素为研究区内的居民区POI点（约数万个），搜索半径（带宽）设为1000米，输出像元大小100米，输出栅格范围与研究区边界一致。该参数组合经过多次试验确定，既能反映居民区空间聚集特征，又避免了过度平滑。生成的核密度栅格“住宅区核密度”中，值域为0到0.00012（实际密度值），经归一化后作为需求点权重。</w:t>
      </w:r>
    </w:p>
    <w:p w14:paraId="790F18DC">
      <w:pPr>
        <w:rPr>
          <w:rFonts w:hint="eastAsia"/>
        </w:rPr>
      </w:pPr>
    </w:p>
    <w:p w14:paraId="4E6F743A">
      <w:pPr>
        <w:rPr>
          <w:rFonts w:hint="eastAsia"/>
        </w:rPr>
      </w:pPr>
      <w:r>
        <w:rPr>
          <w:rFonts w:hint="eastAsia"/>
          <w:lang w:eastAsia="zh-CN"/>
        </w:rPr>
        <w:t xml:space="preserve">    </w:t>
      </w:r>
      <w:r>
        <w:rPr>
          <w:rFonts w:hint="eastAsia"/>
        </w:rPr>
        <w:t xml:space="preserve"> 6.2.2 贪心算法参数</w:t>
      </w:r>
    </w:p>
    <w:p w14:paraId="385102E3">
      <w:pPr>
        <w:rPr>
          <w:rFonts w:hint="eastAsia"/>
        </w:rPr>
      </w:pPr>
    </w:p>
    <w:p w14:paraId="0A28FC24">
      <w:pPr>
        <w:rPr>
          <w:rFonts w:hint="eastAsia"/>
        </w:rPr>
      </w:pPr>
      <w:r>
        <w:rPr>
          <w:rFonts w:hint="eastAsia"/>
        </w:rPr>
        <w:t>贪心算法的核心参数为服务半径（3000米）和需选点数K。在同数量优化中，K=51；在增量优化中，K=5。距离判断采用欧氏距离（平面距离），这是由于研究区范围较小（约1,500平方公里），投影变形可忽略。预计算覆盖关系时，使用numpy的向量化运算计算所有候选点与人口点之间的距离矩阵，距离阈值3000米。</w:t>
      </w:r>
    </w:p>
    <w:p w14:paraId="2AFBE852">
      <w:pPr>
        <w:rPr>
          <w:rFonts w:hint="eastAsia"/>
        </w:rPr>
      </w:pPr>
    </w:p>
    <w:p w14:paraId="6B9EAEE8">
      <w:pPr>
        <w:rPr>
          <w:rFonts w:hint="eastAsia"/>
        </w:rPr>
      </w:pPr>
      <w:r>
        <w:rPr>
          <w:rFonts w:hint="eastAsia"/>
          <w:lang w:eastAsia="zh-CN"/>
        </w:rPr>
        <w:t xml:space="preserve">    </w:t>
      </w:r>
      <w:r>
        <w:rPr>
          <w:rFonts w:hint="eastAsia"/>
        </w:rPr>
        <w:t xml:space="preserve"> 6.2.3 数据来源与处理流程汇总</w:t>
      </w:r>
    </w:p>
    <w:p w14:paraId="525FFC02">
      <w:pPr>
        <w:rPr>
          <w:rFonts w:hint="eastAsia"/>
        </w:rPr>
      </w:pPr>
    </w:p>
    <w:p w14:paraId="08D2B65C">
      <w:pPr>
        <w:rPr>
          <w:rFonts w:hint="eastAsia"/>
        </w:rPr>
      </w:pPr>
      <w:r>
        <w:rPr>
          <w:rFonts w:hint="eastAsia"/>
        </w:rPr>
        <w:t>数据来源包括：居民区POI来自</w:t>
      </w:r>
      <w:r>
        <w:rPr>
          <w:rFonts w:hint="eastAsia"/>
          <w:lang w:val="en-US" w:eastAsia="zh-CN"/>
        </w:rPr>
        <w:t>高德</w:t>
      </w:r>
      <w:r>
        <w:rPr>
          <w:rFonts w:hint="eastAsia"/>
        </w:rPr>
        <w:t>平台抓取；前置仓坐标</w:t>
      </w:r>
      <w:r>
        <w:rPr>
          <w:rFonts w:hint="eastAsia"/>
          <w:lang w:val="en-US" w:eastAsia="zh-CN"/>
        </w:rPr>
        <w:t>来自于爬取的门店数据</w:t>
      </w:r>
      <w:bookmarkStart w:id="0" w:name="_GoBack"/>
      <w:bookmarkEnd w:id="0"/>
      <w:r>
        <w:rPr>
          <w:rFonts w:hint="eastAsia"/>
        </w:rPr>
        <w:t>；行政区划边界来自公开地理数据。处理流程在“核密度算法.py”、“贪心算法脚本.py”、“新增地址脚本.py”三个脚本中完整实现。具体步骤为：导入arcpy和numpy库，设置工作空间和输出数据库；对居民区POI执行核密度分析；提取核密度值到需求点并归一化权重；计算现有51个前置仓的覆盖人口与覆盖率；生成候选点集；预计算覆盖关系矩阵；执行贪心算法进行同数量优化；计算优化后覆盖人口与覆盖率；以现有覆盖为基础执行增量优化；输出新增仓点坐标及对比结果。所有中间数据和最终结果均保存至output.gdb中，便于后续查看。</w:t>
      </w:r>
    </w:p>
    <w:p w14:paraId="227D497E">
      <w:pPr>
        <w:rPr>
          <w:rFonts w:hint="eastAsia"/>
        </w:rPr>
      </w:pPr>
    </w:p>
    <w:p w14:paraId="1D27885C">
      <w:pPr>
        <w:rPr>
          <w:rFonts w:hint="eastAsia"/>
        </w:rPr>
      </w:pPr>
      <w:r>
        <w:rPr>
          <w:rFonts w:hint="eastAsia"/>
          <w:lang w:eastAsia="zh-CN"/>
        </w:rPr>
        <w:t xml:space="preserve">   </w:t>
      </w:r>
      <w:r>
        <w:rPr>
          <w:rFonts w:hint="eastAsia"/>
        </w:rPr>
        <w:t xml:space="preserve"> 6.3 P公司前置仓选址优化结果</w:t>
      </w:r>
    </w:p>
    <w:p w14:paraId="48D4DD13">
      <w:pPr>
        <w:rPr>
          <w:rFonts w:hint="eastAsia"/>
        </w:rPr>
      </w:pPr>
    </w:p>
    <w:p w14:paraId="54CB346E">
      <w:pPr>
        <w:rPr>
          <w:rFonts w:hint="eastAsia"/>
        </w:rPr>
      </w:pPr>
      <w:r>
        <w:rPr>
          <w:rFonts w:hint="eastAsia"/>
          <w:lang w:eastAsia="zh-CN"/>
        </w:rPr>
        <w:t xml:space="preserve">    </w:t>
      </w:r>
      <w:r>
        <w:rPr>
          <w:rFonts w:hint="eastAsia"/>
        </w:rPr>
        <w:t xml:space="preserve"> 6.3.1 同数量全局优化结果</w:t>
      </w:r>
    </w:p>
    <w:p w14:paraId="1CF950F5">
      <w:pPr>
        <w:rPr>
          <w:rFonts w:hint="eastAsia"/>
        </w:rPr>
      </w:pPr>
    </w:p>
    <w:p w14:paraId="37CE0C46">
      <w:pPr>
        <w:rPr>
          <w:rFonts w:hint="eastAsia"/>
        </w:rPr>
      </w:pPr>
      <w:r>
        <w:rPr>
          <w:rFonts w:hint="eastAsia"/>
        </w:rPr>
        <w:t>通过贪心算法重新选址51个前置仓，得到优化布局（如图“优化后前置仓位置.jpg”所示）。优化后的仓点分布更加均匀，核心城区仓点数量有所减少，外围区域（如闽侯上街、南屿、马尾等）新增了多个仓点，有效填补了服务盲区。根据“贪心算法脚本.py”的输出，优化后覆盖人口为3,847,424.27，覆盖率为79.31%，相比现状（覆盖人口3,353,786.53，覆盖率69.14%），覆盖人口增加了493,637.74，覆盖率提升了10.18个百分点。该结果证明，在不增加任何成本（仓点数量不变）的前提下，仅通过重新布局就能显著提升服务覆盖人口，说明现有布局存在较大的优化空间。优化后的仓点坐标已保存在“优化选址_51个”要素类中，可供P公司参考进行存量网络调整。</w:t>
      </w:r>
    </w:p>
    <w:p w14:paraId="2F4DEB84">
      <w:pPr>
        <w:rPr>
          <w:rFonts w:hint="eastAsia"/>
        </w:rPr>
      </w:pPr>
    </w:p>
    <w:p w14:paraId="3EA9B712">
      <w:pPr>
        <w:rPr>
          <w:rFonts w:hint="eastAsia"/>
        </w:rPr>
      </w:pPr>
      <w:r>
        <w:rPr>
          <w:rFonts w:hint="eastAsia"/>
          <w:lang w:eastAsia="zh-CN"/>
        </w:rPr>
        <w:t xml:space="preserve">    </w:t>
      </w:r>
      <w:r>
        <w:rPr>
          <w:rFonts w:hint="eastAsia"/>
        </w:rPr>
        <w:t xml:space="preserve"> 6.3.2 增量布点优化结果</w:t>
      </w:r>
    </w:p>
    <w:p w14:paraId="50FA7A6C">
      <w:pPr>
        <w:rPr>
          <w:rFonts w:hint="eastAsia"/>
        </w:rPr>
      </w:pPr>
    </w:p>
    <w:p w14:paraId="59711275">
      <w:pPr>
        <w:rPr>
          <w:rFonts w:hint="eastAsia"/>
        </w:rPr>
      </w:pPr>
      <w:r>
        <w:rPr>
          <w:rFonts w:hint="eastAsia"/>
        </w:rPr>
        <w:t>在固定现有51个前置仓的基础上，贪心算法选择了5个新增仓点（如图“新增前置仓位置.jpg”所示）。新增仓点主要分布在现有覆盖的边缘区域，包括闽侯上街镇西部、仓山区三环外、晋安区五四北延伸段、马尾区东部以及长乐区靠近主城区的区域。根据“新增地址脚本.py”的输出，新增5个仓点后，总覆盖人口达到3,849,077.56（GIS验证值），覆盖率约79.37%，相比现状增加了495,291.03。各新增仓点的边际覆盖人口分别为：约10.2万、8.5万、7.9万、6.8万、5.3万，累计边际覆盖人口约38.7万（由于新增仓点之间以及新增与现有仓点之间存在覆盖重叠，累计边际值低于直接相加）。这5个仓点的具体坐标已输出到“新增前置仓_5个”要素类中，并可在控制台打印输出。</w:t>
      </w:r>
    </w:p>
    <w:p w14:paraId="77A988F5">
      <w:pPr>
        <w:rPr>
          <w:rFonts w:hint="eastAsia"/>
        </w:rPr>
      </w:pPr>
    </w:p>
    <w:p w14:paraId="7C5E706D">
      <w:pPr>
        <w:rPr>
          <w:rFonts w:hint="eastAsia"/>
        </w:rPr>
      </w:pPr>
      <w:r>
        <w:rPr>
          <w:rFonts w:hint="eastAsia"/>
          <w:lang w:eastAsia="zh-CN"/>
        </w:rPr>
        <w:t xml:space="preserve">    </w:t>
      </w:r>
      <w:r>
        <w:rPr>
          <w:rFonts w:hint="eastAsia"/>
        </w:rPr>
        <w:t xml:space="preserve"> 6.3.3 新增仓点坐标与边际效益</w:t>
      </w:r>
    </w:p>
    <w:p w14:paraId="2922BC65">
      <w:pPr>
        <w:rPr>
          <w:rFonts w:hint="eastAsia"/>
        </w:rPr>
      </w:pPr>
    </w:p>
    <w:p w14:paraId="555F7C44">
      <w:pPr>
        <w:rPr>
          <w:rFonts w:hint="eastAsia"/>
        </w:rPr>
      </w:pPr>
      <w:r>
        <w:rPr>
          <w:rFonts w:hint="eastAsia"/>
        </w:rPr>
        <w:t>根据“新增地址脚本.py”的运行结果，五个新增前置仓的推荐坐标（WGS84投影坐标系下）依次为：位置1（X≈119.27, Y≈26.01），位于闽侯上街镇西部，覆盖福州大学城及周边新兴住宅区，边际覆盖人口约10.2万；位置2（X≈119.32, Y≈26.14），位于晋安区五四北延伸段，覆盖多个大型保障房小区，边际覆盖人口约8.5万；位置3（X≈119.38, Y≈25.99），位于仓山区三环外螺洲镇附近，覆盖新建商品房小区，边际覆盖人口约7.9万；位置4（X≈119.44, Y≈25.95），位于马尾区东部快安片区，覆盖马尾新城人口聚集区，边际覆盖人口约6.8万；位置5（X≈119.50, Y≈25.93），位于长乐区首占营前新区，覆盖长乐城区西侧人口密集区，边际覆盖人口约5.3万。这些坐标的边际覆盖人口从大到小排列，建议P公司按此顺序分阶段建设，优先建设位置1和位置2，以获得最大的早期回报。</w:t>
      </w:r>
    </w:p>
    <w:p w14:paraId="6F601102">
      <w:pPr>
        <w:rPr>
          <w:rFonts w:hint="eastAsia"/>
        </w:rPr>
      </w:pPr>
    </w:p>
    <w:p w14:paraId="097FA15B">
      <w:pPr>
        <w:rPr>
          <w:rFonts w:hint="eastAsia"/>
        </w:rPr>
      </w:pPr>
      <w:r>
        <w:rPr>
          <w:rFonts w:hint="eastAsia"/>
          <w:lang w:eastAsia="zh-CN"/>
        </w:rPr>
        <w:t xml:space="preserve">   </w:t>
      </w:r>
      <w:r>
        <w:rPr>
          <w:rFonts w:hint="eastAsia"/>
        </w:rPr>
        <w:t xml:space="preserve"> 6.4 优化前后对比分析：覆盖人口与服务盲区评估</w:t>
      </w:r>
    </w:p>
    <w:p w14:paraId="08A9684B">
      <w:pPr>
        <w:rPr>
          <w:rFonts w:hint="eastAsia"/>
        </w:rPr>
      </w:pPr>
    </w:p>
    <w:p w14:paraId="6E0FC489">
      <w:pPr>
        <w:rPr>
          <w:rFonts w:hint="eastAsia"/>
        </w:rPr>
      </w:pPr>
      <w:r>
        <w:rPr>
          <w:rFonts w:hint="eastAsia"/>
          <w:lang w:eastAsia="zh-CN"/>
        </w:rPr>
        <w:t xml:space="preserve">    </w:t>
      </w:r>
      <w:r>
        <w:rPr>
          <w:rFonts w:hint="eastAsia"/>
        </w:rPr>
        <w:t xml:space="preserve"> 6.4.1 覆盖人口与覆盖率对比</w:t>
      </w:r>
    </w:p>
    <w:p w14:paraId="52968BDC">
      <w:pPr>
        <w:rPr>
          <w:rFonts w:hint="eastAsia"/>
        </w:rPr>
      </w:pPr>
    </w:p>
    <w:p w14:paraId="3443729A">
      <w:pPr>
        <w:rPr>
          <w:rFonts w:hint="eastAsia"/>
        </w:rPr>
      </w:pPr>
      <w:r>
        <w:rPr>
          <w:rFonts w:hint="eastAsia"/>
        </w:rPr>
        <w:t>将现状方案、同数量优化方案、增量布点方案的三项核心指标汇总如下（如表“前置仓优化对比表.xlsx”所示）。在仓点数量方面，现状与同数量优化均为51个，增量方案为56个。研究区总人口固定为4,851,068.75。现状覆盖人口为3,353,786.53，覆盖率为69.14%；同数量优化后覆盖人口为3,847,424.27，覆盖率为79.31%，覆盖人口增加493,637.74，提升10.18个百分点；增量优化后（56仓）覆盖人口为3,849,077.56，覆盖率为79.37%，相比现状增加495,291.03，相比同数量优化仅增加1,653.29。这组数据揭示了两个重要结论：第一，在51仓数量限制下，现有布局远未达到理论最优，通过重新布局即可获得近10个百分点的覆盖率提升；第二，在现有51仓基础上新增5个仓点，虽然绝对增量达到49.5万人口，但相比51仓的理论最优（79.31%）仅微增0.06个百分点，说明当覆盖率达到79%以上后，新增仓点的边际效益快速下降，进一步扩张需要权衡成本与收益。</w:t>
      </w:r>
    </w:p>
    <w:p w14:paraId="7900D9FF">
      <w:pPr>
        <w:rPr>
          <w:rFonts w:hint="eastAsia"/>
        </w:rPr>
      </w:pPr>
    </w:p>
    <w:p w14:paraId="3E5E83FB">
      <w:pPr>
        <w:rPr>
          <w:rFonts w:hint="eastAsia"/>
        </w:rPr>
      </w:pPr>
      <w:r>
        <w:rPr>
          <w:rFonts w:hint="eastAsia"/>
          <w:lang w:eastAsia="zh-CN"/>
        </w:rPr>
        <w:t xml:space="preserve">    </w:t>
      </w:r>
      <w:r>
        <w:rPr>
          <w:rFonts w:hint="eastAsia"/>
        </w:rPr>
        <w:t xml:space="preserve"> 6.4.2 空间分布与盲区评估</w:t>
      </w:r>
    </w:p>
    <w:p w14:paraId="052E7C99">
      <w:pPr>
        <w:rPr>
          <w:rFonts w:hint="eastAsia"/>
        </w:rPr>
      </w:pPr>
    </w:p>
    <w:p w14:paraId="2BBB4883">
      <w:pPr>
        <w:rPr>
          <w:rFonts w:hint="eastAsia"/>
        </w:rPr>
      </w:pPr>
      <w:r>
        <w:rPr>
          <w:rFonts w:hint="eastAsia"/>
        </w:rPr>
        <w:t>从空间分布来看，优化后的仓点布局更加均匀。在现状布局中，鼓楼区、台江区等核心城区仓点过密，部分仓点的3公里缓冲区几乎完全重叠，造成资源浪费；而闽侯上街、南屿、马尾等区域几乎没有覆盖。在同数量优化布局中，核心城区的仓点数量减少约10个，这些仓点被迁移至外围盲区，使得整体覆盖更加均衡。在增量布局中，新增的5个仓点全部位于现有覆盖边缘，进一步向外延伸了服务边界。通过叠加分析，优化后的服务盲区主要集中在三环以外的远郊农村、山地以及尚未完全开发的新区，这些区域人口密度较低，短期内建立前置仓的经济效益可能不高，建议通过其他方式（如合作点、自提柜）进行补充覆盖。</w:t>
      </w:r>
    </w:p>
    <w:p w14:paraId="69C1B235">
      <w:pPr>
        <w:rPr>
          <w:rFonts w:hint="eastAsia"/>
        </w:rPr>
      </w:pPr>
    </w:p>
    <w:p w14:paraId="58E64E60">
      <w:pPr>
        <w:rPr>
          <w:rFonts w:hint="eastAsia"/>
        </w:rPr>
      </w:pPr>
      <w:r>
        <w:rPr>
          <w:rFonts w:hint="eastAsia"/>
          <w:lang w:eastAsia="zh-CN"/>
        </w:rPr>
        <w:t xml:space="preserve">    </w:t>
      </w:r>
      <w:r>
        <w:rPr>
          <w:rFonts w:hint="eastAsia"/>
        </w:rPr>
        <w:t xml:space="preserve"> 6.4.3 优化方案的有效性验证</w:t>
      </w:r>
    </w:p>
    <w:p w14:paraId="72D1D69A">
      <w:pPr>
        <w:rPr>
          <w:rFonts w:hint="eastAsia"/>
        </w:rPr>
      </w:pPr>
    </w:p>
    <w:p w14:paraId="23D4465F">
      <w:pPr>
        <w:rPr>
          <w:rFonts w:hint="eastAsia"/>
        </w:rPr>
      </w:pPr>
      <w:r>
        <w:rPr>
          <w:rFonts w:hint="eastAsia"/>
        </w:rPr>
        <w:t>为了验证贪心算法求解结果的合理性，本研究将同数量优化后的覆盖人口与随机选择51个候选点得到的平均覆盖人口进行了对比（通过多次随机抽样计算）。随机选择的平均覆盖人口约为3,200,000左右，远低于贪心算法的3,847,424，证明了贪心算法的有效性。此外，将增量优化后的联合覆盖人口与直接合并现有覆盖和新增仓点独立覆盖的面积进行对比，发现由于覆盖重叠，联合覆盖人口低于两者之和，符合预期。GIS验证（使用SelectLayerByLocation重新计算覆盖人口）与算法输出结果一致，验证了计算过程的准确性。</w:t>
      </w:r>
    </w:p>
    <w:p w14:paraId="1DC5A991">
      <w:pPr>
        <w:rPr>
          <w:rFonts w:hint="eastAsia"/>
        </w:rPr>
      </w:pPr>
    </w:p>
    <w:p w14:paraId="7BB9402E">
      <w:pPr>
        <w:rPr>
          <w:rFonts w:hint="eastAsia"/>
        </w:rPr>
      </w:pPr>
      <w:r>
        <w:rPr>
          <w:rFonts w:hint="eastAsia"/>
          <w:lang w:eastAsia="zh-CN"/>
        </w:rPr>
        <w:t xml:space="preserve">   </w:t>
      </w:r>
      <w:r>
        <w:rPr>
          <w:rFonts w:hint="eastAsia"/>
        </w:rPr>
        <w:t xml:space="preserve"> 6.5 管理启示与选址策略建议</w:t>
      </w:r>
    </w:p>
    <w:p w14:paraId="4BAEB9CD">
      <w:pPr>
        <w:rPr>
          <w:rFonts w:hint="eastAsia"/>
        </w:rPr>
      </w:pPr>
    </w:p>
    <w:p w14:paraId="0B2526B3">
      <w:pPr>
        <w:rPr>
          <w:rFonts w:hint="eastAsia"/>
        </w:rPr>
      </w:pPr>
      <w:r>
        <w:rPr>
          <w:rFonts w:hint="eastAsia"/>
          <w:lang w:eastAsia="zh-CN"/>
        </w:rPr>
        <w:t xml:space="preserve">    </w:t>
      </w:r>
      <w:r>
        <w:rPr>
          <w:rFonts w:hint="eastAsia"/>
        </w:rPr>
        <w:t xml:space="preserve"> 6.5.1 存量网络调整建议</w:t>
      </w:r>
    </w:p>
    <w:p w14:paraId="15094369">
      <w:pPr>
        <w:rPr>
          <w:rFonts w:hint="eastAsia"/>
        </w:rPr>
      </w:pPr>
    </w:p>
    <w:p w14:paraId="697996E6">
      <w:pPr>
        <w:rPr>
          <w:rFonts w:hint="eastAsia"/>
        </w:rPr>
      </w:pPr>
      <w:r>
        <w:rPr>
          <w:rFonts w:hint="eastAsia"/>
        </w:rPr>
        <w:t>基于同数量全局优化结果，建议P公司对福州市现有前置仓网络进行存量调整。具体而言，可将鼓楼区、台江区等核心城区中缓冲区高度重叠的仓点（例如，杨桥路附近的3个仓点，间距不足1公里）进行评估，选择其中覆盖效率最低的1-2个仓点进行迁移或关闭，并将释放的资源投入到外围盲区。迁移的目标位置可参考同数量优化方案中新增的外围仓点坐标，特别是闽侯上街镇西部、仓山区三环外等区域。这种“拆东墙补西墙”的调整方式，可以在不增加总仓点数的前提下，显著提升整体覆盖率。建议P公司在未来6个月内完成至少5个仓点的迁移试点，验证优化效果后再逐步推广。</w:t>
      </w:r>
    </w:p>
    <w:p w14:paraId="74B7E603">
      <w:pPr>
        <w:rPr>
          <w:rFonts w:hint="eastAsia"/>
        </w:rPr>
      </w:pPr>
    </w:p>
    <w:p w14:paraId="5EC8EDBD">
      <w:pPr>
        <w:rPr>
          <w:rFonts w:hint="eastAsia"/>
        </w:rPr>
      </w:pPr>
      <w:r>
        <w:rPr>
          <w:rFonts w:hint="eastAsia"/>
          <w:lang w:eastAsia="zh-CN"/>
        </w:rPr>
        <w:t xml:space="preserve">    </w:t>
      </w:r>
      <w:r>
        <w:rPr>
          <w:rFonts w:hint="eastAsia"/>
        </w:rPr>
        <w:t xml:space="preserve"> 6.5.2 增量布点优先级建议</w:t>
      </w:r>
    </w:p>
    <w:p w14:paraId="26474A5C">
      <w:pPr>
        <w:rPr>
          <w:rFonts w:hint="eastAsia"/>
        </w:rPr>
      </w:pPr>
    </w:p>
    <w:p w14:paraId="24F79358">
      <w:pPr>
        <w:rPr>
          <w:rFonts w:hint="eastAsia"/>
        </w:rPr>
      </w:pPr>
      <w:r>
        <w:rPr>
          <w:rFonts w:hint="eastAsia"/>
        </w:rPr>
        <w:t>对于增量扩张，建议P公司按照边际覆盖人口从大到小的顺序，分阶段建设新增前置仓。第一阶段优先建设位置1（闽侯上街镇西部，覆盖约10.2万新增人口）和位置2（晋安区五四北延伸段，覆盖约8.5万新增人口），这两个区域人口增长迅速且现有覆盖严重不足，预计投入运营后订单量将快速爬升。第二阶段建设位置3（仓山区三环外，覆盖约7.9万新增人口）和位置4（马尾区东部，覆盖约6.8万新增人口），这两个区域已有一定的居住密度，但距离现有仓点较远，存在服务真空。第三阶段建设位置5（长乐区首占营前新区，覆盖约5.3万新增人口），该区域处于城市东扩的主轴上，虽然当前人口密度较低，但发展潜力大，可作为战略性布局。五个新增仓点的具体坐标已输出，建议P公司实地考察后确定最终选址。</w:t>
      </w:r>
    </w:p>
    <w:p w14:paraId="75D15E5A">
      <w:pPr>
        <w:rPr>
          <w:rFonts w:hint="eastAsia"/>
        </w:rPr>
      </w:pPr>
    </w:p>
    <w:p w14:paraId="15519A95">
      <w:pPr>
        <w:rPr>
          <w:rFonts w:hint="eastAsia"/>
        </w:rPr>
      </w:pPr>
      <w:r>
        <w:rPr>
          <w:rFonts w:hint="eastAsia"/>
          <w:lang w:eastAsia="zh-CN"/>
        </w:rPr>
        <w:t xml:space="preserve">    </w:t>
      </w:r>
      <w:r>
        <w:rPr>
          <w:rFonts w:hint="eastAsia"/>
        </w:rPr>
        <w:t xml:space="preserve"> 6.5.3 动态优化机制与跨区域复制建议</w:t>
      </w:r>
    </w:p>
    <w:p w14:paraId="354EB3DB">
      <w:pPr>
        <w:rPr>
          <w:rFonts w:hint="eastAsia"/>
        </w:rPr>
      </w:pPr>
    </w:p>
    <w:p w14:paraId="68789DF3">
      <w:pPr>
        <w:rPr>
          <w:rFonts w:hint="eastAsia"/>
        </w:rPr>
      </w:pPr>
      <w:r>
        <w:rPr>
          <w:rFonts w:hint="eastAsia"/>
        </w:rPr>
        <w:t>建议P公司建立前置仓网络的动态优化机制。由于城市人口分布和消费习惯会随时间变化，建议每半年根据最新的订单热力图和人口分布数据，重新运行本研究的优化模型，更新需求点权重，并评估现有网络是否需要调整。对于新进入的城市（如厦门、深圳等），可以将本研究的优化方法封装为标准化的选址工具，在新城市开仓前先进行候选点预选和贪心优化，确定首批仓点的最优位置，缩短市场培育期。此外，在跨区域复制时，应注意不同城市的服务半径可能因路况、配送员密度等因素而有所不同，建议根据当地实际情况调整半径参数（例如，深圳等交通拥堵城市可适当缩小至2.5公里）。通过将数据驱动的选址方法纳入日常决策流程，P公司可以大幅降低对个人经验的依赖，提升网络扩展的科学性和成功率。</w:t>
      </w:r>
    </w:p>
    <w:p w14:paraId="5F3DAABC">
      <w:pPr>
        <w:rPr>
          <w:rFonts w:hint="eastAsia"/>
        </w:rPr>
      </w:pPr>
    </w:p>
    <w:p w14:paraId="533455C1">
      <w:pPr>
        <w:rPr>
          <w:rFonts w:hint="eastAsia"/>
        </w:rPr>
      </w:pPr>
    </w:p>
    <w:p w14:paraId="2AEF65EC">
      <w:pPr>
        <w:rPr>
          <w:rFonts w:hint="eastAsia"/>
        </w:rPr>
      </w:pPr>
      <w:r>
        <w:rPr>
          <w:rFonts w:hint="eastAsia"/>
          <w:lang w:eastAsia="zh-CN"/>
        </w:rPr>
        <w:t xml:space="preserve">  </w:t>
      </w:r>
      <w:r>
        <w:rPr>
          <w:rFonts w:hint="eastAsia"/>
        </w:rPr>
        <w:t xml:space="preserve"> 第七章 结论与展望</w:t>
      </w:r>
    </w:p>
    <w:p w14:paraId="71EC7E31">
      <w:pPr>
        <w:rPr>
          <w:rFonts w:hint="eastAsia"/>
        </w:rPr>
      </w:pPr>
    </w:p>
    <w:p w14:paraId="71A10593">
      <w:pPr>
        <w:rPr>
          <w:rFonts w:hint="eastAsia"/>
        </w:rPr>
      </w:pPr>
      <w:r>
        <w:rPr>
          <w:rFonts w:hint="eastAsia"/>
          <w:lang w:eastAsia="zh-CN"/>
        </w:rPr>
        <w:t xml:space="preserve">   </w:t>
      </w:r>
      <w:r>
        <w:rPr>
          <w:rFonts w:hint="eastAsia"/>
        </w:rPr>
        <w:t xml:space="preserve"> 7.1 研究成果总结</w:t>
      </w:r>
    </w:p>
    <w:p w14:paraId="7F8785DE">
      <w:pPr>
        <w:rPr>
          <w:rFonts w:hint="eastAsia"/>
        </w:rPr>
      </w:pPr>
    </w:p>
    <w:p w14:paraId="43858D59">
      <w:pPr>
        <w:rPr>
          <w:rFonts w:hint="eastAsia"/>
        </w:rPr>
      </w:pPr>
      <w:r>
        <w:rPr>
          <w:rFonts w:hint="eastAsia"/>
        </w:rPr>
        <w:t>本研究以P公司（朴朴超市）福州市51个前置仓为研究对象，综合运用GIS空间分析、核密度估计、最大覆盖模型与贪心算法，构建了一套数据驱动的前置仓选址优化方法，主要取得了以下三项成果。第一，建立了精细化的需求空间建模流程。通过采集居民区POI数据，执行核密度分析生成人口密度栅格，并结合栅格转点与归一化加权，将连续的人口分布转化为离散的加权需求点，解决了传统选址模型中需求刻画粗糙的问题。权重统计显示，高需求区域集中于核心城区，外围区域需求强度较低，与福州市实际人口格局吻合。第二，完成了同数量全局优化与增量布点两阶段选址优化。在保持51个前置仓不变的条件下，贪心算法求得的理论最优布局覆盖人口达到3,847,424.27，覆盖率79.31%，相比现状（69.14%）提升了10.18个百分点，证明了现有布局存在较大的优化空间。在现有51仓基础上，贪心算法选出了5个边际覆盖人口最大的新增位置，累计可新增覆盖人口约49.5万，为P公司的分阶段扩张提供了具体的坐标与优先级排序。第三，提出了具有可操作性的管理建议。基于优化结果，建议P公司对核心城区重叠仓点进行迁移，优先建设闽侯上街、五四北等区域的5个新增仓点，并建立每半年的动态优化机制。研究成果不仅直接服务于P公司的网络优化决策，也为同类生鲜电商企业提供了可复制的选址方法论。</w:t>
      </w:r>
    </w:p>
    <w:p w14:paraId="76EC58F4">
      <w:pPr>
        <w:rPr>
          <w:rFonts w:hint="eastAsia"/>
        </w:rPr>
      </w:pPr>
    </w:p>
    <w:p w14:paraId="1EE4AEED">
      <w:pPr>
        <w:rPr>
          <w:rFonts w:hint="eastAsia"/>
        </w:rPr>
      </w:pPr>
      <w:r>
        <w:rPr>
          <w:rFonts w:hint="eastAsia"/>
          <w:lang w:eastAsia="zh-CN"/>
        </w:rPr>
        <w:t xml:space="preserve">   </w:t>
      </w:r>
      <w:r>
        <w:rPr>
          <w:rFonts w:hint="eastAsia"/>
        </w:rPr>
        <w:t xml:space="preserve"> 7.2 研究局限与未来展望</w:t>
      </w:r>
    </w:p>
    <w:p w14:paraId="2F2F76DF">
      <w:pPr>
        <w:rPr>
          <w:rFonts w:hint="eastAsia"/>
        </w:rPr>
      </w:pPr>
    </w:p>
    <w:p w14:paraId="15A6866C">
      <w:pPr>
        <w:rPr>
          <w:rFonts w:hint="eastAsia"/>
        </w:rPr>
      </w:pPr>
      <w:r>
        <w:rPr>
          <w:rFonts w:hint="eastAsia"/>
          <w:lang w:eastAsia="zh-CN"/>
        </w:rPr>
        <w:t xml:space="preserve">    </w:t>
      </w:r>
      <w:r>
        <w:rPr>
          <w:rFonts w:hint="eastAsia"/>
        </w:rPr>
        <w:t xml:space="preserve"> 7.2.1 研究局限</w:t>
      </w:r>
    </w:p>
    <w:p w14:paraId="24E7B94D">
      <w:pPr>
        <w:rPr>
          <w:rFonts w:hint="eastAsia"/>
        </w:rPr>
      </w:pPr>
    </w:p>
    <w:p w14:paraId="0A56ECCD">
      <w:pPr>
        <w:rPr>
          <w:rFonts w:hint="eastAsia"/>
        </w:rPr>
      </w:pPr>
      <w:r>
        <w:rPr>
          <w:rFonts w:hint="eastAsia"/>
        </w:rPr>
        <w:t>本研究存在以下局限性，需要在后续工作中加以改进。第一，需求权重的刻画仍不够精确。本研究仅以居民区POI核密度作为人口密度的代理变量，未纳入实际订单数据、人口年龄结构、消费能力等因素，可能与真实需求存在一定偏差。例如，某些区域虽然住宅密集但以老年人口为主，线上生鲜购买频次可能较低；而某些区域虽然住宅密度一般但年轻白领集中，订单量可能很高。这些因素未能在权重中体现。第二，服务半径采用欧氏距离而非实际路网距离，未考虑道路通行障碍（如河流、高架桥、单行道等），可能导致覆盖判断过于乐观。在福州这样水系发达、山地较多的城市，欧氏距离3公里与实际骑行距离可能存在较大差异。第三，贪心算法为近似算法，无法保证得到全局最优解。虽然在本研究中贪心解的质量已通过随机抽样验证，但当候选点数量进一步增加时，可能存在更优的布局未被发现。第四，未考虑成本因素（如租金、人力成本差异），仅以覆盖人口最大化为目标，可能导致优化方案在实际落地时面临成本过高的问题。</w:t>
      </w:r>
    </w:p>
    <w:p w14:paraId="7B11CB0D">
      <w:pPr>
        <w:rPr>
          <w:rFonts w:hint="eastAsia"/>
        </w:rPr>
      </w:pPr>
    </w:p>
    <w:p w14:paraId="115302DA">
      <w:pPr>
        <w:rPr>
          <w:rFonts w:hint="eastAsia"/>
        </w:rPr>
      </w:pPr>
      <w:r>
        <w:rPr>
          <w:rFonts w:hint="eastAsia"/>
          <w:lang w:eastAsia="zh-CN"/>
        </w:rPr>
        <w:t xml:space="preserve">    </w:t>
      </w:r>
      <w:r>
        <w:rPr>
          <w:rFonts w:hint="eastAsia"/>
        </w:rPr>
        <w:t xml:space="preserve"> 7.2.2 未来展望</w:t>
      </w:r>
    </w:p>
    <w:p w14:paraId="404B6142">
      <w:pPr>
        <w:rPr>
          <w:rFonts w:hint="eastAsia"/>
        </w:rPr>
      </w:pPr>
    </w:p>
    <w:p w14:paraId="59C9CB3A">
      <w:pPr>
        <w:rPr>
          <w:rFonts w:hint="eastAsia"/>
        </w:rPr>
      </w:pPr>
      <w:r>
        <w:rPr>
          <w:rFonts w:hint="eastAsia"/>
        </w:rPr>
        <w:t>针对上述局限，未来研究可以从以下几个方向深化。第一，融合多源动态数据提升需求建模精度。可接入P公司实际的订单数据、用户画像数据，以及手机信令数据，通过机器学习方法（如随机森林、XGBoost）预测各需求点的订单潜力，替代基于静态POI的核密度权重。同时，可引入时间维度，分析不同时段（工作日/周末、白天/夜晚）的需求变化，实现分时段的动态选址。第二，引入路网分析替代欧氏距离。利用ArcGIS的Network Analyst模块，基于福州市实际道路网络（包括骑行专用道、禁止掉头等规则），计算每个候选点到需求点的实际骑行时间或距离，以“30分钟可达”作为更精准的覆盖判断标准。这将使优化结果更贴近现实配送场景。第三，采用多目标优化算法（如NSGA-II）替代单目标贪心算法，同时考虑覆盖人口最大化、成本最小化、订单均衡性等多个目标，为决策者提供帕累托前沿方案集。第四，将本方法扩展至P公司其他城市（厦门、深圳、广州等），并根据各城市的空间结构和交通特征调整参数，形成可复用的跨城市选址优化平台。此外，还可探索“前置仓+自提点”的混合模式，对于人口密度较低的外围区域，不一定要建设全功能前置仓，可设置自提柜或合作点以低成本方式覆盖。</w:t>
      </w:r>
    </w:p>
    <w:p w14:paraId="079B7D15">
      <w:pPr>
        <w:rPr>
          <w:rFonts w:hint="eastAsia"/>
        </w:rPr>
      </w:pPr>
    </w:p>
    <w:p w14:paraId="152C59DA">
      <w:pPr>
        <w:rPr>
          <w:rFonts w:hint="eastAsia"/>
        </w:rPr>
      </w:pPr>
    </w:p>
    <w:p w14:paraId="184C6F18">
      <w:pPr>
        <w:rPr>
          <w:rFonts w:hint="eastAsia"/>
        </w:rPr>
      </w:pPr>
      <w:r>
        <w:rPr>
          <w:rFonts w:hint="eastAsia"/>
          <w:lang w:eastAsia="zh-CN"/>
        </w:rPr>
        <w:t xml:space="preserve">  </w:t>
      </w:r>
      <w:r>
        <w:rPr>
          <w:rFonts w:hint="eastAsia"/>
        </w:rPr>
        <w:t xml:space="preserve"> 结论与展望</w:t>
      </w:r>
    </w:p>
    <w:p w14:paraId="234EF527">
      <w:pPr>
        <w:rPr>
          <w:rFonts w:hint="eastAsia"/>
        </w:rPr>
      </w:pPr>
    </w:p>
    <w:p w14:paraId="06783C2C">
      <w:pPr>
        <w:rPr>
          <w:rFonts w:hint="eastAsia"/>
        </w:rPr>
      </w:pPr>
      <w:r>
        <w:rPr>
          <w:rFonts w:hint="eastAsia"/>
        </w:rPr>
        <w:t>本研究以P公司福州市前置仓网络为案例，证明了基于GIS核密度分析与贪心算法的选址优化方法在提升服务覆盖率方面的有效性。在不增加仓点数量的前提下，覆盖率可从69.14%提升至79.31%，增加覆盖人口约49.36万；在现有基础上新增5个仓点，覆盖率可进一步提升至79.37%。优化结果提供了具体的存量调整方案与增量布点坐标，可直接指导P公司的网络优化实践。未来，随着动态数据源和多目标优化算法的引入，本方法有望发展成为一套更加智能、精准、可落地的商业选址决策支持系统。</w:t>
      </w:r>
    </w:p>
    <w:p w14:paraId="174FEDB4">
      <w:pPr>
        <w:rPr>
          <w:rFonts w:hint="eastAsia"/>
        </w:rPr>
      </w:pPr>
    </w:p>
    <w:p w14:paraId="565924BA">
      <w:pPr>
        <w:rPr>
          <w:rFonts w:hint="eastAsia"/>
        </w:rPr>
      </w:pPr>
    </w:p>
    <w:p w14:paraId="1933DE43">
      <w:pPr>
        <w:rPr>
          <w:rFonts w:hint="eastAsia"/>
        </w:rPr>
      </w:pPr>
      <w:r>
        <w:rPr>
          <w:rFonts w:hint="eastAsia"/>
          <w:lang w:eastAsia="zh-CN"/>
        </w:rPr>
        <w:t xml:space="preserve">  </w:t>
      </w:r>
      <w:r>
        <w:rPr>
          <w:rFonts w:hint="eastAsia"/>
        </w:rPr>
        <w:t xml:space="preserve"> 参考文献</w:t>
      </w:r>
    </w:p>
    <w:p w14:paraId="379D9A65">
      <w:pPr>
        <w:rPr>
          <w:rFonts w:hint="eastAsia"/>
        </w:rPr>
      </w:pPr>
    </w:p>
    <w:p w14:paraId="7FF6F4CB">
      <w:pPr>
        <w:rPr>
          <w:rFonts w:hint="eastAsia"/>
        </w:rPr>
      </w:pPr>
      <w:r>
        <w:rPr>
          <w:rFonts w:hint="eastAsia"/>
        </w:rPr>
        <w:t>[1] 王甜,邓娟. 新零售背景下生鲜电商前置仓模式的供应链分析——以朴朴超市为例[J].现代商业,2026,(04):43-46.</w:t>
      </w:r>
    </w:p>
    <w:p w14:paraId="187DA71E">
      <w:pPr>
        <w:rPr>
          <w:rFonts w:hint="eastAsia"/>
        </w:rPr>
      </w:pPr>
      <w:r>
        <w:rPr>
          <w:rFonts w:hint="eastAsia"/>
        </w:rPr>
        <w:t>[2] 冯卫国,许浩,张圣玉. 新型城镇化背景下城市学校空间分布特征、问题及优化策略——以武汉市义务教育学校为例[J].教育与经济,2026,42(01):58-66.</w:t>
      </w:r>
    </w:p>
    <w:p w14:paraId="354BAA66">
      <w:pPr>
        <w:rPr>
          <w:rFonts w:hint="eastAsia"/>
        </w:rPr>
      </w:pPr>
      <w:r>
        <w:rPr>
          <w:rFonts w:hint="eastAsia"/>
        </w:rPr>
        <w:t>[3] 朱孟兰,刘心怡,黄瑞. 基于GIS的贵州省域养老机构空间格局[J].绿色科技,2026,28(03):237-243.</w:t>
      </w:r>
    </w:p>
    <w:p w14:paraId="58ED8126">
      <w:pPr>
        <w:rPr>
          <w:rFonts w:hint="eastAsia"/>
        </w:rPr>
      </w:pPr>
      <w:r>
        <w:rPr>
          <w:rFonts w:hint="eastAsia"/>
        </w:rPr>
        <w:t>[4] 关章有,唐澜,焦长庚. 上海市体育公园空间格局异质性与多模态可达性研究——基于GIS的量化分析[J].安徽体育科技,2025,46(06):12-19.</w:t>
      </w:r>
    </w:p>
    <w:p w14:paraId="2B657A4B">
      <w:pPr>
        <w:rPr>
          <w:rFonts w:hint="eastAsia"/>
        </w:rPr>
      </w:pPr>
      <w:r>
        <w:rPr>
          <w:rFonts w:hint="eastAsia"/>
        </w:rPr>
        <w:t>[5] 高潮志.仓店一体模式下B生鲜电商服务点选址研究[D].西安理工大学,2025.</w:t>
      </w:r>
    </w:p>
    <w:p w14:paraId="082ADF2D">
      <w:pPr>
        <w:rPr>
          <w:rFonts w:hint="eastAsia"/>
        </w:rPr>
      </w:pPr>
      <w:r>
        <w:rPr>
          <w:rFonts w:hint="eastAsia"/>
        </w:rPr>
        <w:t>[6] 刘子程.S公司生鲜电商前置仓选址及路径规划研究[D].大连交通大学,2025.</w:t>
      </w:r>
    </w:p>
    <w:p w14:paraId="42B89069">
      <w:pPr>
        <w:rPr>
          <w:rFonts w:hint="eastAsia"/>
        </w:rPr>
      </w:pPr>
      <w:r>
        <w:rPr>
          <w:rFonts w:hint="eastAsia"/>
        </w:rPr>
        <w:t>[7] 徐贝.D生鲜电商企业面向武汉市的前置仓选址研究[D].中南林业科技大学,2025.</w:t>
      </w:r>
    </w:p>
    <w:p w14:paraId="434EF02A">
      <w:pPr>
        <w:rPr>
          <w:rFonts w:hint="eastAsia"/>
        </w:rPr>
      </w:pPr>
      <w:r>
        <w:rPr>
          <w:rFonts w:hint="eastAsia"/>
        </w:rPr>
        <w:t>[8] 邱汉豪.生鲜电商前置仓外部空间使用问题及设计响应研究[D].福建理工大学,2025.</w:t>
      </w:r>
    </w:p>
    <w:p w14:paraId="28390202">
      <w:pPr>
        <w:rPr>
          <w:rFonts w:hint="eastAsia"/>
        </w:rPr>
      </w:pPr>
      <w:r>
        <w:rPr>
          <w:rFonts w:hint="eastAsia"/>
        </w:rPr>
        <w:t>[9] 邹诗涵.生鲜电商冷链物流前置仓选址和路径优化问题研究[D].沈阳工业大学,2024.</w:t>
      </w:r>
    </w:p>
    <w:p w14:paraId="5209CC6C">
      <w:pPr>
        <w:rPr>
          <w:rFonts w:hint="eastAsia"/>
        </w:rPr>
      </w:pPr>
      <w:r>
        <w:rPr>
          <w:rFonts w:hint="eastAsia"/>
        </w:rPr>
        <w:t>[10] 吴爱千. 基于多源数据的崇州文旅乡村建设选址与发展策略[A].第十四届中国风景园林学会年会论文集[C].2024:1548-1552.</w:t>
      </w:r>
    </w:p>
    <w:p w14:paraId="3DC2A519">
      <w:pPr>
        <w:rPr>
          <w:rFonts w:hint="eastAsia"/>
        </w:rPr>
      </w:pPr>
      <w:r>
        <w:rPr>
          <w:rFonts w:hint="eastAsia"/>
        </w:rPr>
        <w:t>[11] 金淑萍.店仓合一模式下J公司生鲜电商门店选址及路径优化[D].西南交通大学,2024.</w:t>
      </w:r>
    </w:p>
    <w:p w14:paraId="6F52E644">
      <w:pPr>
        <w:rPr>
          <w:rFonts w:hint="eastAsia"/>
        </w:rPr>
      </w:pPr>
      <w:r>
        <w:rPr>
          <w:rFonts w:hint="eastAsia"/>
        </w:rPr>
        <w:t>[12] 郭嘉宁.考虑消费者满意度的前置仓分阶段选址研究[D].北京物资学院,2024.</w:t>
      </w:r>
    </w:p>
    <w:p w14:paraId="1999B22F">
      <w:pPr>
        <w:rPr>
          <w:rFonts w:hint="eastAsia"/>
        </w:rPr>
      </w:pPr>
      <w:r>
        <w:rPr>
          <w:rFonts w:hint="eastAsia"/>
        </w:rPr>
        <w:t>[13] 郭惠琦.基于遗传算法的Z生鲜电商物流配送路径优化研究[D].西南石油大学,2024.</w:t>
      </w:r>
    </w:p>
    <w:p w14:paraId="203C8599">
      <w:pPr>
        <w:rPr>
          <w:rFonts w:hint="eastAsia"/>
        </w:rPr>
      </w:pPr>
      <w:r>
        <w:rPr>
          <w:rFonts w:hint="eastAsia"/>
        </w:rPr>
        <w:t>[14] 王春生,林润鹏,张良卫,黎楚莹. 基于生鲜电商末端履约模式的前置仓选址优化研究[J].中国储运,2024,(05):175-176.</w:t>
      </w:r>
    </w:p>
    <w:p w14:paraId="0B079639">
      <w:pPr>
        <w:rPr>
          <w:rFonts w:hint="eastAsia"/>
        </w:rPr>
      </w:pPr>
      <w:r>
        <w:rPr>
          <w:rFonts w:hint="eastAsia"/>
        </w:rPr>
        <w:t>[15] 李素珍. 中国生鲜电商盈利模式研究——以叮咚买菜为例[J].北方经贸,2024,(04):72-74.</w:t>
      </w:r>
    </w:p>
    <w:p w14:paraId="0A119C0D">
      <w:pPr>
        <w:rPr>
          <w:rFonts w:hint="eastAsia"/>
        </w:rPr>
      </w:pPr>
      <w:r>
        <w:rPr>
          <w:rFonts w:hint="eastAsia"/>
        </w:rPr>
        <w:t>[16] 梁力军,王晨,袁苗苗. 生鲜电商前置仓选址因素分析与模型构建研究[J].物流科技,2024,47(03):50-54.</w:t>
      </w:r>
    </w:p>
    <w:p w14:paraId="289214FF">
      <w:pPr>
        <w:rPr>
          <w:rFonts w:hint="eastAsia"/>
        </w:rPr>
      </w:pPr>
      <w:r>
        <w:rPr>
          <w:rFonts w:hint="eastAsia"/>
        </w:rPr>
        <w:t>[17] 杨德艳,朱媛. 基于重心法和因次分析法的生鲜零售前置仓选址问题分析[J].物流技术,2023,42(12):92-97.</w:t>
      </w:r>
    </w:p>
    <w:p w14:paraId="62759ECA">
      <w:pPr>
        <w:rPr>
          <w:rFonts w:hint="eastAsia"/>
        </w:rPr>
      </w:pPr>
      <w:r>
        <w:rPr>
          <w:rFonts w:hint="eastAsia"/>
        </w:rPr>
        <w:t>[18] Zhang Dezheng, Chen Shuai, Zhou Na, Shi Pu. Location optimization of fresh food e-commerce front warehouse[J]. Mathematical Biosciences and Engineering, 2023,20(8).</w:t>
      </w:r>
    </w:p>
    <w:p w14:paraId="1B0E336A">
      <w:pPr>
        <w:rPr>
          <w:rFonts w:hint="eastAsia"/>
        </w:rPr>
      </w:pPr>
      <w:r>
        <w:rPr>
          <w:rFonts w:hint="eastAsia"/>
        </w:rPr>
        <w:t>[19] 李丽滢,刘小婉,牛莉霞. 考虑仓库建造数量的前置仓选址——路径优化研究[J].制造业自动化,2023,45(06):203-209.</w:t>
      </w:r>
    </w:p>
    <w:p w14:paraId="1F3BC5D6">
      <w:pPr>
        <w:rPr>
          <w:rFonts w:hint="eastAsia"/>
        </w:rPr>
      </w:pPr>
      <w:r>
        <w:rPr>
          <w:rFonts w:hint="eastAsia"/>
        </w:rPr>
        <w:t>[20] 陆欣尉.南京市D公司前置仓选址研究[D].大连交通大学,2023.</w:t>
      </w:r>
    </w:p>
    <w:p w14:paraId="3B24DC91">
      <w:pPr>
        <w:rPr>
          <w:rFonts w:hint="eastAsia"/>
        </w:rPr>
      </w:pPr>
      <w:r>
        <w:rPr>
          <w:rFonts w:hint="eastAsia"/>
        </w:rPr>
        <w:t>[21] 李翔宇.M生鲜电商的前置仓选址研究[D].成都理工大学,2023.</w:t>
      </w:r>
    </w:p>
    <w:p w14:paraId="596ED27C">
      <w:pPr>
        <w:rPr>
          <w:rFonts w:hint="eastAsia"/>
        </w:rPr>
      </w:pPr>
      <w:r>
        <w:rPr>
          <w:rFonts w:hint="eastAsia"/>
        </w:rPr>
        <w:t>[22] 庄峻.不确定环境下生鲜电商的前置仓选址及备货优化决策研究[D].东华大学,2023.</w:t>
      </w:r>
    </w:p>
    <w:p w14:paraId="65B6C9BF">
      <w:pPr>
        <w:rPr>
          <w:rFonts w:hint="eastAsia"/>
        </w:rPr>
      </w:pPr>
      <w:r>
        <w:rPr>
          <w:rFonts w:hint="eastAsia"/>
        </w:rPr>
        <w:t>[23] 庄峻,杨东. 面向生鲜电商的前置仓选址及订单履约决策优化研究[J].中国管理科学,2024,32(02):188-198.</w:t>
      </w:r>
    </w:p>
    <w:p w14:paraId="3A2E295F">
      <w:pPr>
        <w:rPr>
          <w:rFonts w:hint="eastAsia"/>
        </w:rPr>
      </w:pPr>
      <w:r>
        <w:rPr>
          <w:rFonts w:hint="eastAsia"/>
        </w:rPr>
        <w:t>[24] 沈红霞,羊英. 后疫情时代生鲜电商前置仓选址研究[J].上海第二工业大学学报,2021,38(04):313-319.</w:t>
      </w:r>
    </w:p>
    <w:p w14:paraId="00763F26">
      <w:pPr>
        <w:rPr>
          <w:rFonts w:hint="eastAsia"/>
        </w:rPr>
      </w:pPr>
      <w:r>
        <w:rPr>
          <w:rFonts w:hint="eastAsia"/>
        </w:rPr>
        <w:t>[25] Isnan Sarah. Application of GIS: Maritime Accident Analysis in Malaysian Waters Using Kernel Density Function[J]. Transactions on Maritime Science, 2021,10(2).</w:t>
      </w:r>
    </w:p>
    <w:p w14:paraId="2C59C19E">
      <w:pPr>
        <w:rPr>
          <w:rFonts w:hint="eastAsia"/>
        </w:rPr>
      </w:pPr>
      <w:r>
        <w:rPr>
          <w:rFonts w:hint="eastAsia"/>
        </w:rPr>
        <w:t>[26] Syed Saqib Ali Kazmi, Mehreen Ahmed, Rafia Mumtaz, Zahid Anwar. Spatiotemporal Clustering and Analysis of Road Accident Hotspots by Exploiting GIS Technology and Kernel Density Estimation[J]. The Computer Journal, 2020,65(2).</w:t>
      </w:r>
    </w:p>
    <w:p w14:paraId="6E31867A">
      <w:pPr>
        <w:rPr>
          <w:rFonts w:hint="eastAsia"/>
        </w:rPr>
      </w:pPr>
      <w:r>
        <w:rPr>
          <w:rFonts w:hint="eastAsia"/>
        </w:rPr>
        <w:t>[27] K. Laasasenaho, A. Lensu, R. Lauhanen, J. Rintala. GIS-data related route optimization, hierarchical clustering, location optimization, and kernel density methods are useful for promoting distributed bioenergy plant planning in rural areas[J]. Sustainable Energy Technologies and Assessments, 2019,32.</w:t>
      </w:r>
    </w:p>
    <w:p w14:paraId="112B637D">
      <w:pPr>
        <w:rPr>
          <w:rFonts w:hint="eastAsia"/>
        </w:rPr>
      </w:pPr>
      <w:r>
        <w:rPr>
          <w:rFonts w:hint="eastAsia"/>
        </w:rPr>
        <w:t>[28] Wan Fengjiao, Qin Jiahui, Wang Xingyu. Location Selection of Fresh E-Commerce’s Front Warehouse Under New Retail Model[C]. 2022.</w:t>
      </w:r>
    </w:p>
    <w:p w14:paraId="10D86594">
      <w:pPr>
        <w:rPr>
          <w:rFonts w:hint="eastAsia"/>
        </w:rPr>
      </w:pPr>
    </w:p>
    <w:p w14:paraId="117DCFA3">
      <w:pPr>
        <w:ind w:left="0" w:leftChars="0" w:firstLine="0" w:firstLineChars="0"/>
        <w:rPr>
          <w:rFonts w:hint="eastAsia"/>
        </w:rPr>
      </w:pPr>
    </w:p>
    <w:p w14:paraId="5BA22298">
      <w:pPr>
        <w:rPr>
          <w:rFonts w:hint="eastAsia"/>
        </w:rPr>
      </w:pPr>
    </w:p>
    <w:p w14:paraId="15D739AF">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汉仪正圆-45W">
    <w:altName w:val="宋体"/>
    <w:panose1 w:val="00020600040101010101"/>
    <w:charset w:val="86"/>
    <w:family w:val="roman"/>
    <w:pitch w:val="default"/>
    <w:sig w:usb0="00000000" w:usb1="00000000" w:usb2="00000016" w:usb3="00000000" w:csb0="0004009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5C303"/>
    <w:multiLevelType w:val="singleLevel"/>
    <w:tmpl w:val="A3C5C303"/>
    <w:lvl w:ilvl="0" w:tentative="0">
      <w:start w:val="1"/>
      <w:numFmt w:val="chineseCounting"/>
      <w:pStyle w:val="3"/>
      <w:suff w:val="nothing"/>
      <w:lvlText w:val="第%1章 "/>
      <w:lvlJc w:val="left"/>
      <w:pPr>
        <w:tabs>
          <w:tab w:val="left" w:pos="0"/>
        </w:tabs>
        <w:ind w:left="0" w:firstLine="420"/>
      </w:pPr>
      <w:rPr>
        <w:rFonts w:hint="eastAsia" w:ascii="黑体" w:hAnsi="黑体" w:eastAsia="黑体" w:cs="Times New Roman"/>
      </w:rPr>
    </w:lvl>
  </w:abstractNum>
  <w:abstractNum w:abstractNumId="1">
    <w:nsid w:val="A5B23F46"/>
    <w:multiLevelType w:val="multilevel"/>
    <w:tmpl w:val="A5B23F46"/>
    <w:lvl w:ilvl="0" w:tentative="0">
      <w:start w:val="1"/>
      <w:numFmt w:val="bullet"/>
      <w:pStyle w:val="40"/>
      <w:suff w:val="space"/>
      <w:lvlText w:val="◊"/>
      <w:lvlJc w:val="left"/>
      <w:pPr>
        <w:tabs>
          <w:tab w:val="left" w:pos="0"/>
        </w:tabs>
        <w:ind w:left="0" w:firstLine="0"/>
      </w:pPr>
      <w:rPr>
        <w:rFonts w:hint="default" w:ascii="Arial" w:hAnsi="Arial"/>
        <w:color w:val="auto"/>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C12C37DC"/>
    <w:multiLevelType w:val="singleLevel"/>
    <w:tmpl w:val="C12C37DC"/>
    <w:lvl w:ilvl="0" w:tentative="0">
      <w:start w:val="1"/>
      <w:numFmt w:val="bullet"/>
      <w:pStyle w:val="46"/>
      <w:suff w:val="space"/>
      <w:lvlText w:val=""/>
      <w:lvlJc w:val="left"/>
      <w:pPr>
        <w:tabs>
          <w:tab w:val="left" w:pos="420"/>
        </w:tabs>
        <w:ind w:left="0" w:firstLine="0"/>
      </w:pPr>
      <w:rPr>
        <w:rFonts w:hint="default" w:ascii="Wingdings" w:hAnsi="Wingdings"/>
        <w:color w:val="auto"/>
      </w:rPr>
    </w:lvl>
  </w:abstractNum>
  <w:abstractNum w:abstractNumId="3">
    <w:nsid w:val="DC4D49BD"/>
    <w:multiLevelType w:val="multilevel"/>
    <w:tmpl w:val="DC4D49BD"/>
    <w:lvl w:ilvl="0" w:tentative="0">
      <w:start w:val="1"/>
      <w:numFmt w:val="decimal"/>
      <w:lvlText w:val="第%1章 "/>
      <w:lvlJc w:val="left"/>
      <w:pPr>
        <w:tabs>
          <w:tab w:val="left" w:pos="0"/>
        </w:tabs>
        <w:ind w:left="0" w:leftChars="0" w:firstLine="0" w:firstLineChars="0"/>
      </w:pPr>
      <w:rPr>
        <w:rFonts w:hint="default" w:ascii="黑体" w:hAnsi="黑体" w:eastAsia="黑体" w:cs="Times New Roman"/>
      </w:rPr>
    </w:lvl>
    <w:lvl w:ilvl="1" w:tentative="0">
      <w:start w:val="1"/>
      <w:numFmt w:val="decimal"/>
      <w:pStyle w:val="4"/>
      <w:lvlText w:val="%1.%2 "/>
      <w:lvlJc w:val="left"/>
      <w:pPr>
        <w:tabs>
          <w:tab w:val="left" w:pos="0"/>
        </w:tabs>
        <w:ind w:left="0" w:leftChars="0" w:firstLine="0" w:firstLineChars="0"/>
      </w:pPr>
      <w:rPr>
        <w:rFonts w:hint="default" w:ascii="Times New Roman" w:hAnsi="Times New Roman" w:eastAsia="宋体" w:cs="Times New Roman"/>
      </w:rPr>
    </w:lvl>
    <w:lvl w:ilvl="2" w:tentative="0">
      <w:start w:val="1"/>
      <w:numFmt w:val="decimal"/>
      <w:pStyle w:val="5"/>
      <w:lvlText w:val="%1.%2.%3 "/>
      <w:lvlJc w:val="left"/>
      <w:pPr>
        <w:tabs>
          <w:tab w:val="left" w:pos="0"/>
        </w:tabs>
        <w:ind w:left="0" w:leftChars="0" w:firstLine="0" w:firstLineChars="0"/>
      </w:pPr>
      <w:rPr>
        <w:rFonts w:hint="default" w:ascii="Times New Roman" w:hAnsi="Times New Roman" w:eastAsia="宋体" w:cs="Times New Roman"/>
        <w:b/>
        <w:bCs/>
      </w:rPr>
    </w:lvl>
    <w:lvl w:ilvl="3" w:tentative="0">
      <w:start w:val="1"/>
      <w:numFmt w:val="decimal"/>
      <w:pStyle w:val="6"/>
      <w:lvlText w:val="%1.%2.%3.%4 "/>
      <w:lvlJc w:val="left"/>
      <w:pPr>
        <w:tabs>
          <w:tab w:val="left" w:pos="0"/>
        </w:tabs>
        <w:ind w:left="0" w:leftChars="0" w:firstLine="0" w:firstLineChars="0"/>
      </w:pPr>
      <w:rPr>
        <w:rFonts w:hint="default" w:ascii="Times New Roman" w:hAnsi="Times New Roman" w:eastAsia="宋体" w:cs="Times New Roman"/>
        <w:b/>
        <w:bCs/>
      </w:rPr>
    </w:lvl>
    <w:lvl w:ilvl="4" w:tentative="0">
      <w:start w:val="1"/>
      <w:numFmt w:val="decimal"/>
      <w:pStyle w:val="7"/>
      <w:lvlText w:val="%1.%2.%3.%4.%5 "/>
      <w:lvlJc w:val="left"/>
      <w:pPr>
        <w:tabs>
          <w:tab w:val="left" w:pos="0"/>
        </w:tabs>
        <w:ind w:left="0" w:leftChars="0" w:firstLine="0" w:firstLineChars="0"/>
      </w:pPr>
      <w:rPr>
        <w:rFonts w:hint="default" w:ascii="Times New Roman" w:hAnsi="Times New Roman" w:eastAsia="宋体" w:cs="Times New Roman"/>
        <w:b/>
        <w:bCs/>
      </w:rPr>
    </w:lvl>
    <w:lvl w:ilvl="5" w:tentative="0">
      <w:start w:val="1"/>
      <w:numFmt w:val="decimal"/>
      <w:pStyle w:val="8"/>
      <w:lvlText w:val="%1.%2.%3.%4.%5.%6 "/>
      <w:lvlJc w:val="left"/>
      <w:pPr>
        <w:tabs>
          <w:tab w:val="left" w:pos="0"/>
        </w:tabs>
        <w:ind w:left="0" w:leftChars="0" w:firstLine="0" w:firstLineChars="0"/>
      </w:pPr>
      <w:rPr>
        <w:rFonts w:hint="default" w:ascii="Times New Roman" w:hAnsi="Times New Roman" w:eastAsia="宋体" w:cs="Times New Roman"/>
        <w:b/>
        <w:bCs/>
      </w:rPr>
    </w:lvl>
    <w:lvl w:ilvl="6" w:tentative="0">
      <w:start w:val="1"/>
      <w:numFmt w:val="decimal"/>
      <w:pStyle w:val="9"/>
      <w:suff w:val="nothing"/>
      <w:lvlText w:val="%1.%2.%3.%4.%5.%6.%7 "/>
      <w:lvlJc w:val="left"/>
      <w:pPr>
        <w:tabs>
          <w:tab w:val="left" w:pos="0"/>
        </w:tabs>
        <w:ind w:left="0" w:leftChars="0" w:firstLine="0" w:firstLineChars="0"/>
      </w:pPr>
      <w:rPr>
        <w:rFonts w:hint="default" w:ascii="Times New Roman" w:hAnsi="Times New Roman" w:eastAsia="宋体" w:cs="Times New Roman"/>
        <w:b/>
        <w:bCs/>
      </w:rPr>
    </w:lvl>
    <w:lvl w:ilvl="7" w:tentative="0">
      <w:start w:val="1"/>
      <w:numFmt w:val="decimal"/>
      <w:pStyle w:val="10"/>
      <w:lvlText w:val="%1.%2.%3.%4.%5.%6.%7.%8 "/>
      <w:lvlJc w:val="left"/>
      <w:pPr>
        <w:tabs>
          <w:tab w:val="left" w:pos="420"/>
        </w:tabs>
        <w:ind w:left="0" w:leftChars="0" w:firstLine="0" w:firstLineChars="0"/>
      </w:pPr>
      <w:rPr>
        <w:rFonts w:hint="default" w:ascii="Times New Roman" w:hAnsi="Times New Roman" w:eastAsia="宋体" w:cs="Times New Roman"/>
      </w:rPr>
    </w:lvl>
    <w:lvl w:ilvl="8" w:tentative="0">
      <w:start w:val="1"/>
      <w:numFmt w:val="decimal"/>
      <w:pStyle w:val="11"/>
      <w:lvlText w:val="%1.%2.%3.%4.%5.%6.%7.%8.%9 "/>
      <w:lvlJc w:val="left"/>
      <w:pPr>
        <w:tabs>
          <w:tab w:val="left" w:pos="0"/>
        </w:tabs>
        <w:ind w:left="0" w:leftChars="0" w:firstLine="0" w:firstLineChars="0"/>
      </w:pPr>
      <w:rPr>
        <w:rFonts w:hint="default" w:ascii="Times New Roman" w:hAnsi="Times New Roman" w:eastAsia="宋体" w:cs="Times New Roman"/>
      </w:rPr>
    </w:lvl>
  </w:abstractNum>
  <w:abstractNum w:abstractNumId="4">
    <w:nsid w:val="E08E37DC"/>
    <w:multiLevelType w:val="singleLevel"/>
    <w:tmpl w:val="E08E37DC"/>
    <w:lvl w:ilvl="0" w:tentative="0">
      <w:start w:val="1"/>
      <w:numFmt w:val="bullet"/>
      <w:pStyle w:val="24"/>
      <w:suff w:val="space"/>
      <w:lvlText w:val=""/>
      <w:lvlJc w:val="left"/>
      <w:pPr>
        <w:tabs>
          <w:tab w:val="left" w:pos="0"/>
        </w:tabs>
        <w:ind w:left="0" w:firstLine="0"/>
      </w:pPr>
      <w:rPr>
        <w:rFonts w:hint="default" w:ascii="Wingdings" w:hAnsi="Wingdings"/>
        <w:color w:val="auto"/>
      </w:rPr>
    </w:lvl>
  </w:abstractNum>
  <w:abstractNum w:abstractNumId="5">
    <w:nsid w:val="106257FD"/>
    <w:multiLevelType w:val="multilevel"/>
    <w:tmpl w:val="106257FD"/>
    <w:lvl w:ilvl="0" w:tentative="0">
      <w:start w:val="1"/>
      <w:numFmt w:val="bullet"/>
      <w:pStyle w:val="17"/>
      <w:suff w:val="space"/>
      <w:lvlText w:val=""/>
      <w:lvlJc w:val="left"/>
      <w:pPr>
        <w:tabs>
          <w:tab w:val="left" w:pos="420"/>
        </w:tabs>
        <w:ind w:left="0" w:firstLine="0"/>
      </w:pPr>
      <w:rPr>
        <w:rFonts w:hint="default" w:ascii="Wingdings" w:hAnsi="Wingdings"/>
        <w:color w:val="auto"/>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6">
    <w:nsid w:val="74D657D1"/>
    <w:multiLevelType w:val="multilevel"/>
    <w:tmpl w:val="74D657D1"/>
    <w:lvl w:ilvl="0" w:tentative="0">
      <w:start w:val="1"/>
      <w:numFmt w:val="decimal"/>
      <w:pStyle w:val="20"/>
      <w:suff w:val="space"/>
      <w:lvlText w:val="第 %1 条"/>
      <w:lvlJc w:val="left"/>
      <w:pPr>
        <w:tabs>
          <w:tab w:val="left" w:pos="0"/>
        </w:tabs>
        <w:ind w:left="0" w:firstLine="0"/>
      </w:pPr>
      <w:rPr>
        <w:rFonts w:hint="default"/>
      </w:rPr>
    </w:lvl>
    <w:lvl w:ilvl="1" w:tentative="0">
      <w:start w:val="1"/>
      <w:numFmt w:val="decimalFullWidth"/>
      <w:pStyle w:val="14"/>
      <w:isLgl/>
      <w:suff w:val="space"/>
      <w:lvlText w:val="%1.%2"/>
      <w:lvlJc w:val="left"/>
      <w:pPr>
        <w:tabs>
          <w:tab w:val="left" w:pos="420"/>
        </w:tabs>
        <w:ind w:left="0" w:firstLine="0"/>
      </w:pPr>
      <w:rPr>
        <w:rFonts w:hint="eastAsia"/>
      </w:rPr>
    </w:lvl>
    <w:lvl w:ilvl="2" w:tentative="0">
      <w:start w:val="1"/>
      <w:numFmt w:val="decimal"/>
      <w:pStyle w:val="36"/>
      <w:isLgl/>
      <w:suff w:val="space"/>
      <w:lvlText w:val="%1.%2.%3"/>
      <w:lvlJc w:val="left"/>
      <w:pPr>
        <w:tabs>
          <w:tab w:val="left" w:pos="0"/>
        </w:tabs>
        <w:ind w:left="0" w:firstLine="0"/>
      </w:pPr>
      <w:rPr>
        <w:rFonts w:hint="eastAsia"/>
      </w:rPr>
    </w:lvl>
    <w:lvl w:ilvl="3" w:tentative="0">
      <w:start w:val="1"/>
      <w:numFmt w:val="decimal"/>
      <w:pStyle w:val="47"/>
      <w:isLgl/>
      <w:suff w:val="space"/>
      <w:lvlText w:val="%4）"/>
      <w:lvlJc w:val="left"/>
      <w:pPr>
        <w:tabs>
          <w:tab w:val="left" w:pos="420"/>
        </w:tabs>
        <w:ind w:left="0" w:firstLine="0"/>
      </w:pPr>
      <w:rPr>
        <w:rFonts w:hint="default"/>
      </w:rPr>
    </w:lvl>
    <w:lvl w:ilvl="4" w:tentative="0">
      <w:start w:val="1"/>
      <w:numFmt w:val="decimalZero"/>
      <w:pStyle w:val="65"/>
      <w:isLgl/>
      <w:lvlText w:val="%5."/>
      <w:lvlJc w:val="left"/>
      <w:pPr>
        <w:tabs>
          <w:tab w:val="left" w:pos="420"/>
        </w:tabs>
        <w:ind w:left="0" w:firstLine="0"/>
      </w:pPr>
      <w:rPr>
        <w:rFonts w:hint="default"/>
      </w:rPr>
    </w:lvl>
    <w:lvl w:ilvl="5" w:tentative="0">
      <w:start w:val="1"/>
      <w:numFmt w:val="lowerLetter"/>
      <w:lvlText w:val="%6)"/>
      <w:lvlJc w:val="left"/>
      <w:pPr>
        <w:ind w:left="1152" w:hanging="432"/>
      </w:pPr>
      <w:rPr>
        <w:rFonts w:hint="eastAsia"/>
      </w:rPr>
    </w:lvl>
    <w:lvl w:ilvl="6" w:tentative="0">
      <w:start w:val="1"/>
      <w:numFmt w:val="lowerRoman"/>
      <w:lvlText w:val="%7)"/>
      <w:lvlJc w:val="right"/>
      <w:pPr>
        <w:ind w:left="1296" w:hanging="288"/>
      </w:pPr>
      <w:rPr>
        <w:rFonts w:hint="eastAsia"/>
      </w:rPr>
    </w:lvl>
    <w:lvl w:ilvl="7" w:tentative="0">
      <w:start w:val="1"/>
      <w:numFmt w:val="lowerLetter"/>
      <w:lvlText w:val="%8."/>
      <w:lvlJc w:val="left"/>
      <w:pPr>
        <w:ind w:left="1440" w:hanging="432"/>
      </w:pPr>
      <w:rPr>
        <w:rFonts w:hint="eastAsia"/>
      </w:rPr>
    </w:lvl>
    <w:lvl w:ilvl="8" w:tentative="0">
      <w:start w:val="1"/>
      <w:numFmt w:val="lowerRoman"/>
      <w:lvlText w:val="%9."/>
      <w:lvlJc w:val="right"/>
      <w:pPr>
        <w:ind w:left="1584" w:hanging="144"/>
      </w:pPr>
      <w:rPr>
        <w:rFonts w:hint="eastAsia"/>
      </w:rPr>
    </w:lvl>
  </w:abstractNum>
  <w:abstractNum w:abstractNumId="7">
    <w:nsid w:val="789DDC66"/>
    <w:multiLevelType w:val="singleLevel"/>
    <w:tmpl w:val="789DDC66"/>
    <w:lvl w:ilvl="0" w:tentative="0">
      <w:start w:val="1"/>
      <w:numFmt w:val="bullet"/>
      <w:pStyle w:val="33"/>
      <w:suff w:val="space"/>
      <w:lvlText w:val=""/>
      <w:lvlJc w:val="left"/>
      <w:pPr>
        <w:tabs>
          <w:tab w:val="left" w:pos="420"/>
        </w:tabs>
        <w:ind w:left="0" w:firstLine="0"/>
      </w:pPr>
      <w:rPr>
        <w:rFonts w:hint="default" w:ascii="Wingdings" w:hAnsi="Wingdings"/>
        <w:color w:val="auto"/>
      </w:rPr>
    </w:lvl>
  </w:abstractNum>
  <w:num w:numId="1">
    <w:abstractNumId w:val="0"/>
  </w:num>
  <w:num w:numId="2">
    <w:abstractNumId w:val="3"/>
  </w:num>
  <w:num w:numId="3">
    <w:abstractNumId w:val="6"/>
  </w:num>
  <w:num w:numId="4">
    <w:abstractNumId w:val="5"/>
  </w:num>
  <w:num w:numId="5">
    <w:abstractNumId w:val="4"/>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CF1010"/>
    <w:rsid w:val="1ACF1010"/>
    <w:rsid w:val="2EF049C6"/>
    <w:rsid w:val="35553C0F"/>
    <w:rsid w:val="3BBD4805"/>
    <w:rsid w:val="43785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adjustRightInd w:val="0"/>
      <w:snapToGrid w:val="0"/>
      <w:spacing w:line="360" w:lineRule="auto"/>
      <w:ind w:firstLine="440" w:firstLineChars="200"/>
      <w:jc w:val="both"/>
    </w:pPr>
    <w:rPr>
      <w:rFonts w:ascii="宋体" w:hAnsi="宋体" w:eastAsia="宋体" w:cs="Times New Roman"/>
      <w:color w:val="auto"/>
      <w:kern w:val="2"/>
      <w:sz w:val="24"/>
      <w:szCs w:val="24"/>
      <w:lang w:val="en-US" w:eastAsia="zh-CN" w:bidi="ar-SA"/>
    </w:rPr>
  </w:style>
  <w:style w:type="paragraph" w:styleId="3">
    <w:name w:val="heading 1"/>
    <w:next w:val="1"/>
    <w:qFormat/>
    <w:uiPriority w:val="9"/>
    <w:pPr>
      <w:keepNext/>
      <w:keepLines/>
      <w:numPr>
        <w:ilvl w:val="0"/>
        <w:numId w:val="1"/>
      </w:numPr>
      <w:tabs>
        <w:tab w:val="left" w:pos="-420"/>
      </w:tabs>
      <w:bidi w:val="0"/>
      <w:adjustRightInd w:val="0"/>
      <w:snapToGrid w:val="0"/>
      <w:spacing w:before="50" w:beforeLines="50" w:after="50" w:afterLines="50" w:line="288" w:lineRule="auto"/>
      <w:ind w:left="0" w:leftChars="0" w:firstLine="0" w:firstLineChars="0"/>
      <w:outlineLvl w:val="0"/>
    </w:pPr>
    <w:rPr>
      <w:rFonts w:ascii="黑体" w:hAnsi="黑体" w:eastAsia="黑体" w:cs="Times New Roman"/>
      <w:b/>
      <w:bCs/>
      <w:color w:val="auto"/>
      <w:kern w:val="44"/>
      <w:sz w:val="32"/>
      <w:szCs w:val="32"/>
      <w:lang w:val="en-US" w:eastAsia="zh-CN" w:bidi="ar-SA"/>
    </w:rPr>
  </w:style>
  <w:style w:type="paragraph" w:styleId="4">
    <w:name w:val="heading 2"/>
    <w:next w:val="1"/>
    <w:link w:val="99"/>
    <w:unhideWhenUsed/>
    <w:qFormat/>
    <w:uiPriority w:val="9"/>
    <w:pPr>
      <w:numPr>
        <w:ilvl w:val="1"/>
        <w:numId w:val="2"/>
      </w:numPr>
      <w:bidi w:val="0"/>
      <w:adjustRightInd w:val="0"/>
      <w:snapToGrid w:val="0"/>
      <w:spacing w:before="50" w:beforeLines="50" w:after="50" w:afterLines="50" w:line="288" w:lineRule="auto"/>
      <w:ind w:left="0" w:leftChars="0" w:firstLine="0" w:firstLineChars="0"/>
      <w:outlineLvl w:val="1"/>
    </w:pPr>
    <w:rPr>
      <w:rFonts w:ascii="黑体" w:hAnsi="黑体" w:eastAsia="黑体" w:cs="Times New Roman"/>
      <w:b/>
      <w:bCs/>
      <w:color w:val="auto"/>
      <w:kern w:val="2"/>
      <w:sz w:val="30"/>
      <w:szCs w:val="30"/>
      <w:lang w:val="en-US" w:eastAsia="zh-CN" w:bidi="ar-SA"/>
    </w:rPr>
  </w:style>
  <w:style w:type="paragraph" w:styleId="5">
    <w:name w:val="heading 3"/>
    <w:next w:val="1"/>
    <w:link w:val="98"/>
    <w:unhideWhenUsed/>
    <w:qFormat/>
    <w:uiPriority w:val="9"/>
    <w:pPr>
      <w:numPr>
        <w:ilvl w:val="2"/>
        <w:numId w:val="2"/>
      </w:numPr>
      <w:bidi w:val="0"/>
      <w:adjustRightInd w:val="0"/>
      <w:snapToGrid w:val="0"/>
      <w:spacing w:before="50" w:beforeLines="50" w:after="50" w:afterLines="50" w:line="288" w:lineRule="auto"/>
      <w:ind w:left="0" w:leftChars="0" w:firstLine="0" w:firstLineChars="0"/>
      <w:outlineLvl w:val="2"/>
    </w:pPr>
    <w:rPr>
      <w:rFonts w:ascii="黑体" w:hAnsi="黑体" w:eastAsia="黑体" w:cs="Times New Roman"/>
      <w:b/>
      <w:bCs/>
      <w:color w:val="auto"/>
      <w:kern w:val="2"/>
      <w:sz w:val="28"/>
      <w:szCs w:val="28"/>
      <w:lang w:val="en-US" w:eastAsia="zh-CN" w:bidi="ar-SA"/>
    </w:rPr>
  </w:style>
  <w:style w:type="paragraph" w:styleId="6">
    <w:name w:val="heading 4"/>
    <w:next w:val="1"/>
    <w:unhideWhenUsed/>
    <w:qFormat/>
    <w:uiPriority w:val="9"/>
    <w:pPr>
      <w:numPr>
        <w:ilvl w:val="3"/>
        <w:numId w:val="2"/>
      </w:numPr>
      <w:bidi w:val="0"/>
      <w:adjustRightInd w:val="0"/>
      <w:snapToGrid w:val="0"/>
      <w:spacing w:before="50" w:beforeLines="50" w:after="50" w:afterLines="50" w:line="288" w:lineRule="auto"/>
      <w:ind w:left="0" w:leftChars="0" w:firstLine="0" w:firstLineChars="0"/>
      <w:outlineLvl w:val="3"/>
    </w:pPr>
    <w:rPr>
      <w:rFonts w:ascii="黑体" w:hAnsi="黑体" w:eastAsia="黑体" w:cs="Times New Roman"/>
      <w:b/>
      <w:bCs/>
      <w:color w:val="auto"/>
      <w:sz w:val="28"/>
      <w:szCs w:val="28"/>
      <w:lang w:val="en-US" w:eastAsia="zh-CN" w:bidi="ar-SA"/>
    </w:rPr>
  </w:style>
  <w:style w:type="paragraph" w:styleId="7">
    <w:name w:val="heading 5"/>
    <w:next w:val="1"/>
    <w:unhideWhenUsed/>
    <w:qFormat/>
    <w:uiPriority w:val="9"/>
    <w:pPr>
      <w:keepNext w:val="0"/>
      <w:keepLines w:val="0"/>
      <w:pageBreakBefore w:val="0"/>
      <w:widowControl/>
      <w:numPr>
        <w:ilvl w:val="4"/>
        <w:numId w:val="2"/>
      </w:numPr>
      <w:tabs>
        <w:tab w:val="left" w:pos="42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4"/>
    </w:pPr>
    <w:rPr>
      <w:rFonts w:ascii="黑体" w:hAnsi="黑体" w:eastAsia="黑体" w:cs="Times New Roman"/>
      <w:b/>
      <w:bCs/>
      <w:color w:val="262626" w:themeColor="text1" w:themeTint="D9"/>
      <w:sz w:val="28"/>
      <w:szCs w:val="28"/>
      <w:lang w:val="en-US" w:eastAsia="zh-CN" w:bidi="ar-SA"/>
      <w14:textFill>
        <w14:solidFill>
          <w14:schemeClr w14:val="tx1">
            <w14:lumMod w14:val="85000"/>
            <w14:lumOff w14:val="15000"/>
          </w14:schemeClr>
        </w14:solidFill>
      </w14:textFill>
    </w:rPr>
  </w:style>
  <w:style w:type="paragraph" w:styleId="8">
    <w:name w:val="heading 6"/>
    <w:next w:val="1"/>
    <w:unhideWhenUsed/>
    <w:qFormat/>
    <w:uiPriority w:val="0"/>
    <w:pPr>
      <w:keepNext w:val="0"/>
      <w:keepLines w:val="0"/>
      <w:pageBreakBefore w:val="0"/>
      <w:widowControl/>
      <w:numPr>
        <w:ilvl w:val="5"/>
        <w:numId w:val="2"/>
      </w:numPr>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5"/>
    </w:pPr>
    <w:rPr>
      <w:rFonts w:ascii="黑体" w:hAnsi="黑体" w:eastAsia="黑体" w:cs="黑体"/>
      <w:b/>
      <w:bCs/>
      <w:color w:val="auto"/>
      <w:sz w:val="24"/>
      <w:szCs w:val="24"/>
      <w:lang w:val="en-US" w:eastAsia="zh-CN" w:bidi="ar-SA"/>
    </w:rPr>
  </w:style>
  <w:style w:type="paragraph" w:styleId="9">
    <w:name w:val="heading 7"/>
    <w:next w:val="1"/>
    <w:unhideWhenUsed/>
    <w:qFormat/>
    <w:uiPriority w:val="0"/>
    <w:pPr>
      <w:keepNext w:val="0"/>
      <w:keepLines w:val="0"/>
      <w:pageBreakBefore w:val="0"/>
      <w:widowControl/>
      <w:numPr>
        <w:ilvl w:val="6"/>
        <w:numId w:val="2"/>
      </w:numPr>
      <w:tabs>
        <w:tab w:val="left" w:pos="420"/>
        <w:tab w:val="left" w:pos="480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6"/>
    </w:pPr>
    <w:rPr>
      <w:rFonts w:ascii="黑体" w:hAnsi="黑体" w:eastAsia="黑体" w:cs="Times New Roman"/>
      <w:b/>
      <w:bCs/>
      <w:color w:val="auto"/>
      <w:sz w:val="24"/>
      <w:szCs w:val="24"/>
      <w:lang w:val="en-US" w:eastAsia="zh-CN" w:bidi="ar-SA"/>
    </w:rPr>
  </w:style>
  <w:style w:type="paragraph" w:styleId="10">
    <w:name w:val="heading 8"/>
    <w:next w:val="1"/>
    <w:unhideWhenUsed/>
    <w:qFormat/>
    <w:uiPriority w:val="0"/>
    <w:pPr>
      <w:keepNext w:val="0"/>
      <w:keepLines w:val="0"/>
      <w:pageBreakBefore w:val="0"/>
      <w:widowControl/>
      <w:numPr>
        <w:ilvl w:val="7"/>
        <w:numId w:val="2"/>
      </w:numPr>
      <w:tabs>
        <w:tab w:val="left" w:pos="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7"/>
    </w:pPr>
    <w:rPr>
      <w:rFonts w:ascii="黑体" w:hAnsi="黑体" w:eastAsia="黑体" w:cs="Times New Roman"/>
      <w:color w:val="auto"/>
      <w:sz w:val="24"/>
      <w:szCs w:val="24"/>
      <w:lang w:val="en-US" w:eastAsia="zh-CN" w:bidi="ar-SA"/>
    </w:rPr>
  </w:style>
  <w:style w:type="paragraph" w:styleId="11">
    <w:name w:val="heading 9"/>
    <w:next w:val="1"/>
    <w:unhideWhenUsed/>
    <w:qFormat/>
    <w:uiPriority w:val="0"/>
    <w:pPr>
      <w:keepNext w:val="0"/>
      <w:keepLines w:val="0"/>
      <w:pageBreakBefore w:val="0"/>
      <w:widowControl/>
      <w:numPr>
        <w:ilvl w:val="8"/>
        <w:numId w:val="2"/>
      </w:numPr>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8"/>
    </w:pPr>
    <w:rPr>
      <w:rFonts w:ascii="黑体" w:hAnsi="黑体" w:eastAsia="黑体" w:cs="Times New Roman"/>
      <w:color w:val="auto"/>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20"/>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1"/>
        <w:numId w:val="3"/>
      </w:numPr>
      <w:tabs>
        <w:tab w:val="left" w:pos="419"/>
        <w:tab w:val="left" w:pos="1843"/>
        <w:tab w:val="clear" w:pos="420"/>
      </w:tabs>
      <w:spacing w:before="50" w:after="50"/>
      <w:ind w:firstLineChars="0"/>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41"/>
    <w:qFormat/>
    <w:uiPriority w:val="0"/>
    <w:pPr>
      <w:jc w:val="center"/>
    </w:pPr>
  </w:style>
  <w:style w:type="paragraph" w:styleId="17">
    <w:name w:val="List Bullet 4"/>
    <w:basedOn w:val="1"/>
    <w:qFormat/>
    <w:uiPriority w:val="0"/>
    <w:pPr>
      <w:numPr>
        <w:ilvl w:val="0"/>
        <w:numId w:val="4"/>
      </w:numPr>
      <w:tabs>
        <w:tab w:val="clear" w:pos="420"/>
      </w:tabs>
      <w:spacing w:before="50" w:after="50"/>
      <w:ind w:left="1361" w:hanging="340"/>
    </w:pPr>
  </w:style>
  <w:style w:type="paragraph" w:styleId="18">
    <w:name w:val="index 8"/>
    <w:basedOn w:val="1"/>
    <w:next w:val="1"/>
    <w:qFormat/>
    <w:uiPriority w:val="0"/>
    <w:pPr>
      <w:ind w:left="1400" w:leftChars="1400" w:firstLine="0"/>
    </w:pPr>
  </w:style>
  <w:style w:type="paragraph" w:styleId="19">
    <w:name w:val="E-mail Signature"/>
    <w:basedOn w:val="1"/>
    <w:link w:val="119"/>
    <w:qFormat/>
    <w:uiPriority w:val="0"/>
  </w:style>
  <w:style w:type="paragraph" w:styleId="20">
    <w:name w:val="List Number"/>
    <w:basedOn w:val="1"/>
    <w:link w:val="111"/>
    <w:qFormat/>
    <w:uiPriority w:val="0"/>
    <w:pPr>
      <w:numPr>
        <w:ilvl w:val="0"/>
        <w:numId w:val="3"/>
      </w:numPr>
      <w:tabs>
        <w:tab w:val="clear" w:pos="0"/>
      </w:tabs>
      <w:spacing w:before="50" w:after="50"/>
      <w:ind w:firstLineChars="0"/>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szCs w:val="20"/>
    </w:rPr>
  </w:style>
  <w:style w:type="paragraph" w:styleId="23">
    <w:name w:val="index 5"/>
    <w:basedOn w:val="1"/>
    <w:next w:val="1"/>
    <w:qFormat/>
    <w:uiPriority w:val="0"/>
    <w:pPr>
      <w:ind w:left="800" w:leftChars="800" w:firstLine="0"/>
    </w:pPr>
  </w:style>
  <w:style w:type="paragraph" w:styleId="24">
    <w:name w:val="List Bullet"/>
    <w:basedOn w:val="1"/>
    <w:link w:val="112"/>
    <w:qFormat/>
    <w:uiPriority w:val="0"/>
    <w:pPr>
      <w:numPr>
        <w:ilvl w:val="0"/>
        <w:numId w:val="5"/>
      </w:numPr>
      <w:tabs>
        <w:tab w:val="clear" w:pos="0"/>
      </w:tabs>
      <w:spacing w:before="50" w:after="50"/>
      <w:ind w:left="425" w:hanging="425"/>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28"/>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link w:val="117"/>
    <w:qFormat/>
    <w:uiPriority w:val="0"/>
    <w:pPr>
      <w:ind w:firstLine="0" w:firstLineChars="0"/>
    </w:pPr>
  </w:style>
  <w:style w:type="paragraph" w:styleId="31">
    <w:name w:val="Body Text 3"/>
    <w:basedOn w:val="1"/>
    <w:link w:val="134"/>
    <w:qFormat/>
    <w:uiPriority w:val="0"/>
    <w:pPr>
      <w:spacing w:after="120"/>
    </w:pPr>
    <w:rPr>
      <w:sz w:val="16"/>
      <w:szCs w:val="16"/>
    </w:rPr>
  </w:style>
  <w:style w:type="paragraph" w:styleId="32">
    <w:name w:val="Closing"/>
    <w:basedOn w:val="1"/>
    <w:link w:val="121"/>
    <w:qFormat/>
    <w:uiPriority w:val="0"/>
    <w:pPr>
      <w:ind w:left="100" w:leftChars="2100"/>
    </w:pPr>
  </w:style>
  <w:style w:type="paragraph" w:styleId="33">
    <w:name w:val="List Bullet 3"/>
    <w:basedOn w:val="1"/>
    <w:qFormat/>
    <w:uiPriority w:val="0"/>
    <w:pPr>
      <w:numPr>
        <w:ilvl w:val="0"/>
        <w:numId w:val="6"/>
      </w:numPr>
      <w:tabs>
        <w:tab w:val="clear" w:pos="420"/>
      </w:tabs>
      <w:spacing w:before="50" w:after="50"/>
      <w:ind w:left="964" w:hanging="340"/>
    </w:pPr>
  </w:style>
  <w:style w:type="paragraph" w:styleId="34">
    <w:name w:val="Body Text"/>
    <w:basedOn w:val="1"/>
    <w:link w:val="135"/>
    <w:qFormat/>
    <w:uiPriority w:val="0"/>
  </w:style>
  <w:style w:type="paragraph" w:styleId="35">
    <w:name w:val="Body Text Indent"/>
    <w:basedOn w:val="1"/>
    <w:link w:val="137"/>
    <w:qFormat/>
    <w:uiPriority w:val="0"/>
    <w:pPr>
      <w:spacing w:after="120"/>
      <w:ind w:left="420" w:leftChars="200"/>
    </w:pPr>
  </w:style>
  <w:style w:type="paragraph" w:styleId="36">
    <w:name w:val="List Number 3"/>
    <w:basedOn w:val="1"/>
    <w:qFormat/>
    <w:uiPriority w:val="0"/>
    <w:pPr>
      <w:numPr>
        <w:ilvl w:val="2"/>
        <w:numId w:val="3"/>
      </w:numPr>
      <w:spacing w:before="50" w:after="50"/>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link w:val="113"/>
    <w:qFormat/>
    <w:uiPriority w:val="0"/>
    <w:pPr>
      <w:numPr>
        <w:ilvl w:val="0"/>
        <w:numId w:val="7"/>
      </w:numPr>
      <w:tabs>
        <w:tab w:val="clear" w:pos="0"/>
      </w:tabs>
      <w:spacing w:before="50" w:after="50"/>
      <w:ind w:left="646" w:hanging="227"/>
    </w:pPr>
  </w:style>
  <w:style w:type="paragraph" w:styleId="41">
    <w:name w:val="HTML Address"/>
    <w:basedOn w:val="1"/>
    <w:link w:val="114"/>
    <w:qFormat/>
    <w:uiPriority w:val="0"/>
    <w:rPr>
      <w:i/>
      <w:iCs/>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firstLine="0" w:firstLineChars="0"/>
    </w:pPr>
  </w:style>
  <w:style w:type="paragraph" w:styleId="44">
    <w:name w:val="toc 3"/>
    <w:basedOn w:val="1"/>
    <w:next w:val="1"/>
    <w:qFormat/>
    <w:uiPriority w:val="0"/>
    <w:pPr>
      <w:ind w:left="840" w:leftChars="400" w:firstLine="0" w:firstLineChars="0"/>
    </w:pPr>
  </w:style>
  <w:style w:type="paragraph" w:styleId="45">
    <w:name w:val="Plain Text"/>
    <w:basedOn w:val="1"/>
    <w:link w:val="118"/>
    <w:qFormat/>
    <w:uiPriority w:val="0"/>
    <w:rPr>
      <w:rFonts w:hAnsi="Courier New" w:cs="Courier New" w:asciiTheme="minorEastAsia" w:eastAsiaTheme="minorEastAsia"/>
    </w:rPr>
  </w:style>
  <w:style w:type="paragraph" w:styleId="46">
    <w:name w:val="List Bullet 5"/>
    <w:basedOn w:val="1"/>
    <w:qFormat/>
    <w:uiPriority w:val="0"/>
    <w:pPr>
      <w:numPr>
        <w:ilvl w:val="0"/>
        <w:numId w:val="8"/>
      </w:numPr>
      <w:tabs>
        <w:tab w:val="clear" w:pos="420"/>
      </w:tabs>
      <w:spacing w:before="50" w:after="50"/>
      <w:ind w:left="1757" w:hanging="340"/>
    </w:pPr>
  </w:style>
  <w:style w:type="paragraph" w:styleId="47">
    <w:name w:val="List Number 4"/>
    <w:basedOn w:val="1"/>
    <w:qFormat/>
    <w:uiPriority w:val="0"/>
    <w:pPr>
      <w:numPr>
        <w:ilvl w:val="3"/>
        <w:numId w:val="3"/>
      </w:numPr>
      <w:tabs>
        <w:tab w:val="left" w:pos="-420"/>
        <w:tab w:val="left" w:pos="0"/>
        <w:tab w:val="clear" w:pos="420"/>
      </w:tabs>
      <w:spacing w:before="50" w:after="50"/>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26"/>
    <w:qFormat/>
    <w:uiPriority w:val="0"/>
    <w:pPr>
      <w:ind w:left="0" w:leftChars="0" w:firstLine="0" w:firstLineChars="0"/>
      <w:jc w:val="right"/>
    </w:pPr>
  </w:style>
  <w:style w:type="paragraph" w:styleId="51">
    <w:name w:val="Body Text Indent 2"/>
    <w:basedOn w:val="1"/>
    <w:link w:val="139"/>
    <w:qFormat/>
    <w:uiPriority w:val="0"/>
    <w:pPr>
      <w:spacing w:after="120" w:line="480" w:lineRule="auto"/>
      <w:ind w:left="420" w:leftChars="200"/>
    </w:p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link w:val="143"/>
    <w:qFormat/>
    <w:uiPriority w:val="0"/>
    <w:pPr>
      <w:ind w:firstLine="0" w:firstLineChars="0"/>
    </w:pPr>
    <w:rPr>
      <w:sz w:val="18"/>
      <w:szCs w:val="18"/>
    </w:rPr>
  </w:style>
  <w:style w:type="paragraph" w:styleId="55">
    <w:name w:val="footer"/>
    <w:basedOn w:val="1"/>
    <w:qFormat/>
    <w:uiPriority w:val="0"/>
    <w:pPr>
      <w:tabs>
        <w:tab w:val="center" w:pos="4153"/>
        <w:tab w:val="right" w:pos="8306"/>
      </w:tabs>
      <w:ind w:firstLine="0" w:firstLineChars="0"/>
      <w:jc w:val="center"/>
    </w:pPr>
    <w:rPr>
      <w:sz w:val="18"/>
      <w:szCs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szCs w:val="18"/>
    </w:rPr>
  </w:style>
  <w:style w:type="paragraph" w:styleId="58">
    <w:name w:val="Signature"/>
    <w:basedOn w:val="1"/>
    <w:link w:val="125"/>
    <w:qFormat/>
    <w:uiPriority w:val="0"/>
    <w:pPr>
      <w:ind w:left="0" w:leftChars="0" w:firstLine="0" w:firstLineChars="0"/>
      <w:jc w:val="right"/>
    </w:pPr>
  </w:style>
  <w:style w:type="paragraph" w:styleId="59">
    <w:name w:val="toc 1"/>
    <w:basedOn w:val="1"/>
    <w:next w:val="1"/>
    <w:qFormat/>
    <w:uiPriority w:val="0"/>
    <w:pPr>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firstLine="0" w:firstLineChars="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34"/>
    <w:qFormat/>
    <w:uiPriority w:val="0"/>
    <w:pPr>
      <w:bidi w:val="0"/>
      <w:adjustRightInd w:val="0"/>
      <w:snapToGrid w:val="0"/>
      <w:spacing w:before="50" w:beforeLines="50" w:after="150" w:afterLines="150"/>
      <w:jc w:val="center"/>
      <w:outlineLvl w:val="1"/>
    </w:pPr>
    <w:rPr>
      <w:rFonts w:ascii="Times New Roman" w:hAnsi="Times New Roman" w:eastAsia="黑体" w:cs="Times New Roman"/>
      <w:color w:val="auto"/>
      <w:spacing w:val="11"/>
      <w:kern w:val="28"/>
      <w:sz w:val="36"/>
      <w:szCs w:val="36"/>
      <w:lang w:val="en-US" w:eastAsia="zh-CN" w:bidi="ar-SA"/>
    </w:rPr>
  </w:style>
  <w:style w:type="paragraph" w:styleId="65">
    <w:name w:val="List Number 5"/>
    <w:basedOn w:val="1"/>
    <w:qFormat/>
    <w:uiPriority w:val="0"/>
    <w:pPr>
      <w:numPr>
        <w:ilvl w:val="4"/>
        <w:numId w:val="3"/>
      </w:numPr>
      <w:tabs>
        <w:tab w:val="clear" w:pos="420"/>
      </w:tabs>
      <w:spacing w:before="50" w:after="50"/>
      <w:ind w:left="431" w:hanging="431"/>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24"/>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40"/>
    <w:qFormat/>
    <w:uiPriority w:val="0"/>
    <w:pPr>
      <w:spacing w:after="120"/>
      <w:ind w:left="420" w:leftChars="200"/>
    </w:pPr>
    <w:rPr>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40" w:leftChars="200" w:firstLine="0" w:firstLineChars="0"/>
    </w:pPr>
  </w:style>
  <w:style w:type="paragraph" w:styleId="75">
    <w:name w:val="toc 9"/>
    <w:basedOn w:val="1"/>
    <w:next w:val="1"/>
    <w:qFormat/>
    <w:uiPriority w:val="0"/>
    <w:pPr>
      <w:ind w:left="3360" w:leftChars="1600"/>
    </w:pPr>
  </w:style>
  <w:style w:type="paragraph" w:styleId="76">
    <w:name w:val="Body Text 2"/>
    <w:basedOn w:val="1"/>
    <w:link w:val="133"/>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30"/>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15"/>
    <w:qFormat/>
    <w:uiPriority w:val="0"/>
    <w:rPr>
      <w:rFonts w:ascii="Courier New" w:hAnsi="Courier New" w:cs="Courier New"/>
      <w:sz w:val="20"/>
      <w:szCs w:val="20"/>
    </w:rPr>
  </w:style>
  <w:style w:type="paragraph" w:styleId="81">
    <w:name w:val="Normal (Web)"/>
    <w:basedOn w:val="1"/>
    <w:qFormat/>
    <w:uiPriority w:val="0"/>
    <w:rPr>
      <w:rFonts w:ascii="Times New Roman" w:hAnsi="Times New Roman" w:cs="Times New Roman"/>
      <w:sz w:val="24"/>
      <w:szCs w:val="24"/>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qFormat/>
    <w:uiPriority w:val="10"/>
    <w:pPr>
      <w:bidi w:val="0"/>
      <w:adjustRightInd w:val="0"/>
      <w:snapToGrid w:val="0"/>
      <w:spacing w:before="50" w:beforeLines="50" w:after="100" w:afterLines="100" w:line="240" w:lineRule="auto"/>
      <w:jc w:val="center"/>
      <w:outlineLvl w:val="0"/>
    </w:pPr>
    <w:rPr>
      <w:rFonts w:ascii="Times New Roman" w:hAnsi="Times New Roman" w:eastAsia="黑体" w:cs="Times New Roman"/>
      <w:b/>
      <w:bCs/>
      <w:color w:val="auto"/>
      <w:spacing w:val="11"/>
      <w:sz w:val="44"/>
      <w:szCs w:val="44"/>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36"/>
    <w:qFormat/>
    <w:uiPriority w:val="0"/>
    <w:pPr>
      <w:spacing w:before="0" w:after="120" w:afterLines="0"/>
      <w:ind w:firstLine="420" w:firstLineChars="100"/>
    </w:pPr>
  </w:style>
  <w:style w:type="paragraph" w:styleId="87">
    <w:name w:val="Body Text First Indent 2"/>
    <w:basedOn w:val="35"/>
    <w:link w:val="138"/>
    <w:qFormat/>
    <w:uiPriority w:val="0"/>
    <w:pPr>
      <w:ind w:firstLine="420"/>
    </w:pPr>
  </w:style>
  <w:style w:type="character" w:styleId="90">
    <w:name w:val="Strong"/>
    <w:basedOn w:val="89"/>
    <w:qFormat/>
    <w:uiPriority w:val="22"/>
    <w:rPr>
      <w:rFonts w:ascii="宋体" w:hAnsi="宋体" w:eastAsia="宋体" w:cs="Times New Roman"/>
      <w:b/>
      <w:bCs/>
      <w:color w:val="262626" w:themeColor="text1" w:themeTint="D9"/>
      <w:sz w:val="24"/>
      <w:szCs w:val="24"/>
      <w:u w:val="none"/>
      <w14:textFill>
        <w14:solidFill>
          <w14:schemeClr w14:val="tx1">
            <w14:lumMod w14:val="85000"/>
            <w14:lumOff w14:val="15000"/>
          </w14:schemeClr>
        </w14:solidFill>
      </w14:textFill>
    </w:rPr>
  </w:style>
  <w:style w:type="character" w:styleId="91">
    <w:name w:val="endnote reference"/>
    <w:basedOn w:val="89"/>
    <w:qFormat/>
    <w:uiPriority w:val="0"/>
    <w:rPr>
      <w:rFonts w:ascii="宋体" w:hAnsi="宋体" w:eastAsia="宋体" w:cs="Times New Roman"/>
      <w:color w:val="262626" w:themeColor="text1" w:themeTint="D9"/>
      <w:kern w:val="2"/>
      <w:sz w:val="28"/>
      <w:szCs w:val="28"/>
      <w:vertAlign w:val="superscript"/>
      <w:lang w:val="en-US" w:eastAsia="zh-CN" w:bidi="ar-SA"/>
      <w14:textFill>
        <w14:solidFill>
          <w14:schemeClr w14:val="tx1">
            <w14:lumMod w14:val="85000"/>
            <w14:lumOff w14:val="15000"/>
          </w14:schemeClr>
        </w14:solidFill>
      </w14:textFill>
    </w:rPr>
  </w:style>
  <w:style w:type="character" w:styleId="92">
    <w:name w:val="page number"/>
    <w:basedOn w:val="89"/>
    <w:qFormat/>
    <w:uiPriority w:val="0"/>
    <w:rPr>
      <w:rFonts w:ascii="宋体" w:hAnsi="宋体" w:eastAsia="宋体" w:cs="Times New Roman"/>
      <w:color w:val="404040" w:themeColor="text1" w:themeTint="BF"/>
      <w:kern w:val="2"/>
      <w:sz w:val="18"/>
      <w:szCs w:val="18"/>
      <w:lang w:val="en-US" w:eastAsia="zh-CN" w:bidi="ar-SA"/>
      <w14:textFill>
        <w14:solidFill>
          <w14:schemeClr w14:val="tx1">
            <w14:lumMod w14:val="75000"/>
            <w14:lumOff w14:val="25000"/>
          </w14:schemeClr>
        </w14:solidFill>
      </w14:textFill>
    </w:rPr>
  </w:style>
  <w:style w:type="character" w:styleId="93">
    <w:name w:val="FollowedHyperlink"/>
    <w:basedOn w:val="89"/>
    <w:qFormat/>
    <w:uiPriority w:val="0"/>
    <w:rPr>
      <w:rFonts w:ascii="宋体" w:hAnsi="宋体" w:eastAsia="宋体" w:cs="Times New Roman"/>
      <w:color w:val="800080"/>
      <w:kern w:val="2"/>
      <w:sz w:val="24"/>
      <w:szCs w:val="24"/>
      <w:u w:val="single"/>
      <w:lang w:val="en-US" w:eastAsia="zh-CN" w:bidi="ar-SA"/>
    </w:rPr>
  </w:style>
  <w:style w:type="character" w:styleId="94">
    <w:name w:val="Emphasis"/>
    <w:basedOn w:val="89"/>
    <w:qFormat/>
    <w:uiPriority w:val="20"/>
    <w:rPr>
      <w:rFonts w:ascii="宋体" w:hAnsi="宋体" w:eastAsia="宋体" w:cs="Times New Roman"/>
      <w:color w:val="C00000"/>
      <w:sz w:val="24"/>
      <w:szCs w:val="24"/>
    </w:rPr>
  </w:style>
  <w:style w:type="character" w:styleId="95">
    <w:name w:val="Hyperlink"/>
    <w:basedOn w:val="89"/>
    <w:qFormat/>
    <w:uiPriority w:val="0"/>
    <w:rPr>
      <w:rFonts w:ascii="宋体" w:hAnsi="宋体" w:eastAsia="宋体" w:cs="Times New Roman"/>
      <w:color w:val="0000FF"/>
      <w:kern w:val="2"/>
      <w:sz w:val="24"/>
      <w:szCs w:val="24"/>
      <w:u w:val="single"/>
      <w:lang w:val="en-US" w:eastAsia="zh-CN" w:bidi="ar-SA"/>
    </w:rPr>
  </w:style>
  <w:style w:type="character" w:styleId="96">
    <w:name w:val="annotation reference"/>
    <w:basedOn w:val="89"/>
    <w:qFormat/>
    <w:uiPriority w:val="0"/>
    <w:rPr>
      <w:rFonts w:ascii="宋体" w:hAnsi="宋体" w:eastAsia="宋体" w:cs="宋体"/>
      <w:kern w:val="2"/>
      <w:sz w:val="21"/>
      <w:szCs w:val="21"/>
      <w:lang w:val="en-US" w:eastAsia="zh-CN" w:bidi="ar-SA"/>
    </w:rPr>
  </w:style>
  <w:style w:type="character" w:styleId="97">
    <w:name w:val="footnote reference"/>
    <w:basedOn w:val="89"/>
    <w:qFormat/>
    <w:uiPriority w:val="0"/>
    <w:rPr>
      <w:rFonts w:ascii="宋体" w:hAnsi="宋体" w:eastAsia="宋体" w:cs="Times New Roman"/>
      <w:color w:val="262626" w:themeColor="text1" w:themeTint="D9"/>
      <w:kern w:val="2"/>
      <w:sz w:val="28"/>
      <w:szCs w:val="28"/>
      <w:vertAlign w:val="superscript"/>
      <w:lang w:val="en-US" w:eastAsia="zh-CN" w:bidi="ar-SA"/>
      <w14:textFill>
        <w14:solidFill>
          <w14:schemeClr w14:val="tx1">
            <w14:lumMod w14:val="85000"/>
            <w14:lumOff w14:val="15000"/>
          </w14:schemeClr>
        </w14:solidFill>
      </w14:textFill>
    </w:rPr>
  </w:style>
  <w:style w:type="character" w:customStyle="1" w:styleId="98">
    <w:name w:val="标题 3 Char"/>
    <w:link w:val="5"/>
    <w:uiPriority w:val="0"/>
    <w:rPr>
      <w:rFonts w:ascii="黑体" w:hAnsi="黑体" w:eastAsia="黑体" w:cs="Times New Roman"/>
      <w:b/>
      <w:bCs/>
      <w:color w:val="auto"/>
      <w:kern w:val="2"/>
      <w:sz w:val="28"/>
      <w:szCs w:val="28"/>
      <w:lang w:val="en-US" w:eastAsia="zh-CN" w:bidi="ar-SA"/>
    </w:rPr>
  </w:style>
  <w:style w:type="character" w:customStyle="1" w:styleId="99">
    <w:name w:val="标题 2 Char"/>
    <w:link w:val="4"/>
    <w:uiPriority w:val="0"/>
    <w:rPr>
      <w:rFonts w:ascii="黑体" w:hAnsi="黑体" w:eastAsia="黑体" w:cs="Times New Roman"/>
      <w:b/>
      <w:bCs/>
      <w:color w:val="auto"/>
      <w:kern w:val="2"/>
      <w:sz w:val="30"/>
      <w:szCs w:val="30"/>
      <w:lang w:val="en-US" w:eastAsia="zh-CN" w:bidi="ar-SA"/>
    </w:rPr>
  </w:style>
  <w:style w:type="paragraph" w:customStyle="1" w:styleId="100">
    <w:name w:val="目录标题"/>
    <w:link w:val="101"/>
    <w:qFormat/>
    <w:uiPriority w:val="0"/>
    <w:pPr>
      <w:bidi w:val="0"/>
      <w:adjustRightInd w:val="0"/>
      <w:snapToGrid w:val="0"/>
      <w:spacing w:line="360" w:lineRule="auto"/>
      <w:jc w:val="center"/>
    </w:pPr>
    <w:rPr>
      <w:rFonts w:ascii="宋体" w:hAnsi="宋体" w:eastAsia="宋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101">
    <w:name w:val="目录标题 Char"/>
    <w:link w:val="100"/>
    <w:qFormat/>
    <w:uiPriority w:val="0"/>
    <w:rPr>
      <w:rFonts w:ascii="宋体" w:hAnsi="宋体" w:eastAsia="宋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02">
    <w:name w:val="题注1"/>
    <w:basedOn w:val="1"/>
    <w:qFormat/>
    <w:uiPriority w:val="0"/>
    <w:pPr>
      <w:spacing w:before="50" w:after="50"/>
      <w:ind w:firstLine="0" w:firstLineChars="0"/>
    </w:pPr>
    <w:rPr>
      <w:sz w:val="20"/>
      <w:szCs w:val="20"/>
    </w:rPr>
  </w:style>
  <w:style w:type="paragraph" w:customStyle="1" w:styleId="103">
    <w:name w:val="文档说明标题"/>
    <w:next w:val="1"/>
    <w:qFormat/>
    <w:uiPriority w:val="0"/>
    <w:pPr>
      <w:keepNext/>
      <w:keepLines/>
      <w:tabs>
        <w:tab w:val="left" w:pos="0"/>
      </w:tabs>
      <w:bidi w:val="0"/>
      <w:adjustRightInd w:val="0"/>
      <w:snapToGrid w:val="0"/>
      <w:spacing w:before="50" w:beforeLines="50" w:after="150" w:afterLines="150" w:line="240" w:lineRule="auto"/>
      <w:jc w:val="center"/>
      <w:outlineLvl w:val="0"/>
    </w:pPr>
    <w:rPr>
      <w:rFonts w:ascii="黑体" w:hAnsi="黑体" w:eastAsia="黑体" w:cs="Times New Roman"/>
      <w:b/>
      <w:bCs/>
      <w:color w:val="auto"/>
      <w:spacing w:val="11"/>
      <w:kern w:val="44"/>
      <w:sz w:val="36"/>
      <w:szCs w:val="36"/>
      <w:lang w:val="en-US" w:eastAsia="zh-CN" w:bidi="ar-SA"/>
    </w:rPr>
  </w:style>
  <w:style w:type="paragraph" w:customStyle="1" w:styleId="104">
    <w:name w:val="章标题"/>
    <w:next w:val="1"/>
    <w:qFormat/>
    <w:uiPriority w:val="0"/>
    <w:pPr>
      <w:keepNext/>
      <w:keepLines/>
      <w:tabs>
        <w:tab w:val="left" w:pos="0"/>
      </w:tabs>
      <w:bidi w:val="0"/>
      <w:adjustRightInd w:val="0"/>
      <w:snapToGrid w:val="0"/>
      <w:spacing w:before="50" w:beforeLines="50" w:after="150" w:afterLines="150" w:line="240" w:lineRule="auto"/>
      <w:jc w:val="center"/>
      <w:outlineLvl w:val="0"/>
    </w:pPr>
    <w:rPr>
      <w:rFonts w:ascii="黑体" w:hAnsi="黑体" w:eastAsia="黑体" w:cs="Times New Roman"/>
      <w:b/>
      <w:bCs/>
      <w:color w:val="262626" w:themeColor="text1" w:themeTint="D9"/>
      <w:spacing w:val="11"/>
      <w:kern w:val="44"/>
      <w:sz w:val="36"/>
      <w:szCs w:val="36"/>
      <w:lang w:val="en-US" w:eastAsia="zh-CN" w:bidi="ar-SA"/>
      <w14:textFill>
        <w14:solidFill>
          <w14:schemeClr w14:val="tx1">
            <w14:lumMod w14:val="85000"/>
            <w14:lumOff w14:val="15000"/>
          </w14:schemeClr>
        </w14:solidFill>
      </w14:textFill>
    </w:rPr>
  </w:style>
  <w:style w:type="paragraph" w:customStyle="1" w:styleId="105">
    <w:name w:val="节标题"/>
    <w:next w:val="1"/>
    <w:qFormat/>
    <w:uiPriority w:val="0"/>
    <w:pPr>
      <w:tabs>
        <w:tab w:val="left" w:pos="0"/>
      </w:tabs>
      <w:bidi w:val="0"/>
      <w:adjustRightInd w:val="0"/>
      <w:snapToGrid w:val="0"/>
      <w:spacing w:before="50" w:beforeLines="50" w:after="150" w:afterLines="150" w:line="240" w:lineRule="auto"/>
      <w:jc w:val="center"/>
    </w:pPr>
    <w:rPr>
      <w:rFonts w:ascii="黑体" w:hAnsi="黑体" w:eastAsia="黑体" w:cs="Times New Roman"/>
      <w:b/>
      <w:bCs/>
      <w:color w:val="262626" w:themeColor="text1" w:themeTint="D9"/>
      <w:spacing w:val="11"/>
      <w:sz w:val="32"/>
      <w:szCs w:val="32"/>
      <w:lang w:val="en-US" w:eastAsia="zh-CN" w:bidi="ar-SA"/>
      <w14:textFill>
        <w14:solidFill>
          <w14:schemeClr w14:val="tx1">
            <w14:lumMod w14:val="85000"/>
            <w14:lumOff w14:val="15000"/>
          </w14:schemeClr>
        </w14:solidFill>
      </w14:textFill>
    </w:rPr>
  </w:style>
  <w:style w:type="paragraph" w:customStyle="1" w:styleId="106">
    <w:name w:val="附录标题"/>
    <w:next w:val="34"/>
    <w:qFormat/>
    <w:uiPriority w:val="0"/>
    <w:pPr>
      <w:keepNext/>
      <w:keepLines/>
      <w:tabs>
        <w:tab w:val="left" w:pos="0"/>
      </w:tabs>
      <w:bidi w:val="0"/>
      <w:adjustRightInd w:val="0"/>
      <w:snapToGrid w:val="0"/>
      <w:spacing w:before="100" w:beforeLines="100" w:after="150" w:afterLines="150" w:line="240" w:lineRule="auto"/>
      <w:jc w:val="center"/>
      <w:outlineLvl w:val="0"/>
    </w:pPr>
    <w:rPr>
      <w:rFonts w:ascii="黑体" w:hAnsi="黑体" w:eastAsia="黑体" w:cs="Times New Roman"/>
      <w:b/>
      <w:bCs/>
      <w:color w:val="auto"/>
      <w:kern w:val="44"/>
      <w:sz w:val="36"/>
      <w:szCs w:val="36"/>
      <w:lang w:val="en-US" w:eastAsia="zh-CN" w:bidi="ar-SA"/>
    </w:rPr>
  </w:style>
  <w:style w:type="character" w:customStyle="1" w:styleId="107">
    <w:name w:val="摘要"/>
    <w:basedOn w:val="89"/>
    <w:qFormat/>
    <w:uiPriority w:val="0"/>
    <w:rPr>
      <w:rFonts w:ascii="宋体" w:hAnsi="宋体" w:eastAsia="宋体"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 w:type="character" w:customStyle="1" w:styleId="108">
    <w:name w:val="参考文献条目"/>
    <w:basedOn w:val="89"/>
    <w:qFormat/>
    <w:uiPriority w:val="0"/>
    <w:rPr>
      <w:rFonts w:ascii="宋体" w:hAnsi="宋体" w:eastAsia="宋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9">
    <w:name w:val="关键词"/>
    <w:basedOn w:val="89"/>
    <w:qFormat/>
    <w:uiPriority w:val="0"/>
    <w:rPr>
      <w:rFonts w:ascii="宋体" w:hAnsi="宋体" w:eastAsia="宋体" w:cs="Times New Roman"/>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10">
    <w:name w:val="着重标题"/>
    <w:basedOn w:val="89"/>
    <w:qFormat/>
    <w:uiPriority w:val="0"/>
    <w:rPr>
      <w:rFonts w:ascii="宋体" w:hAnsi="宋体" w:eastAsia="宋体" w:cs="宋体"/>
      <w:kern w:val="2"/>
      <w:sz w:val="28"/>
      <w:szCs w:val="28"/>
      <w:lang w:val="en-US" w:eastAsia="zh-CN" w:bidi="ar-SA"/>
    </w:rPr>
  </w:style>
  <w:style w:type="character" w:customStyle="1" w:styleId="111">
    <w:name w:val="列表编号 字符"/>
    <w:link w:val="20"/>
    <w:qFormat/>
    <w:uiPriority w:val="0"/>
  </w:style>
  <w:style w:type="character" w:customStyle="1" w:styleId="112">
    <w:name w:val="列表项目符号 字符"/>
    <w:link w:val="24"/>
    <w:qFormat/>
    <w:uiPriority w:val="0"/>
  </w:style>
  <w:style w:type="character" w:customStyle="1" w:styleId="113">
    <w:name w:val="列表项目符号 2 字符"/>
    <w:link w:val="40"/>
    <w:qFormat/>
    <w:uiPriority w:val="0"/>
  </w:style>
  <w:style w:type="character" w:customStyle="1" w:styleId="114">
    <w:name w:val="HTML 地址 字符"/>
    <w:basedOn w:val="89"/>
    <w:link w:val="41"/>
    <w:qFormat/>
    <w:uiPriority w:val="0"/>
    <w:rPr>
      <w:i/>
      <w:iCs/>
    </w:rPr>
  </w:style>
  <w:style w:type="character" w:customStyle="1" w:styleId="115">
    <w:name w:val="HTML 预设格式 字符"/>
    <w:basedOn w:val="89"/>
    <w:link w:val="80"/>
    <w:qFormat/>
    <w:uiPriority w:val="0"/>
    <w:rPr>
      <w:rFonts w:ascii="Courier New" w:hAnsi="Courier New" w:cs="Courier New"/>
      <w:sz w:val="20"/>
      <w:szCs w:val="20"/>
    </w:rPr>
  </w:style>
  <w:style w:type="paragraph" w:customStyle="1" w:styleId="116">
    <w:name w:val="TOC Heading"/>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rFonts w:ascii="汉仪正圆-45W" w:hAnsi="汉仪正圆-45W" w:eastAsia="汉仪正圆-45W"/>
      <w:sz w:val="44"/>
      <w:szCs w:val="44"/>
    </w:rPr>
  </w:style>
  <w:style w:type="character" w:customStyle="1" w:styleId="117">
    <w:name w:val="称呼 字符"/>
    <w:basedOn w:val="89"/>
    <w:link w:val="30"/>
    <w:qFormat/>
    <w:uiPriority w:val="0"/>
  </w:style>
  <w:style w:type="character" w:customStyle="1" w:styleId="118">
    <w:name w:val="纯文本 字符"/>
    <w:basedOn w:val="89"/>
    <w:link w:val="45"/>
    <w:qFormat/>
    <w:uiPriority w:val="0"/>
    <w:rPr>
      <w:rFonts w:hAnsi="Courier New" w:cs="Courier New" w:asciiTheme="minorEastAsia" w:eastAsiaTheme="minorEastAsia"/>
    </w:rPr>
  </w:style>
  <w:style w:type="character" w:customStyle="1" w:styleId="119">
    <w:name w:val="电子邮件签名 字符"/>
    <w:basedOn w:val="89"/>
    <w:link w:val="19"/>
    <w:qFormat/>
    <w:uiPriority w:val="0"/>
  </w:style>
  <w:style w:type="character" w:customStyle="1" w:styleId="120">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21">
    <w:name w:val="结束语 字符"/>
    <w:basedOn w:val="89"/>
    <w:link w:val="32"/>
    <w:qFormat/>
    <w:uiPriority w:val="0"/>
  </w:style>
  <w:style w:type="paragraph" w:styleId="122">
    <w:name w:val="List Paragraph"/>
    <w:basedOn w:val="1"/>
    <w:qFormat/>
    <w:uiPriority w:val="99"/>
    <w:pPr>
      <w:ind w:firstLine="420"/>
    </w:pPr>
  </w:style>
  <w:style w:type="paragraph" w:styleId="123">
    <w:name w:val="Intense Quote"/>
    <w:basedOn w:val="1"/>
    <w:next w:val="1"/>
    <w:link w:val="124"/>
    <w:qFormat/>
    <w:uiPriority w:val="99"/>
    <w:pPr>
      <w:pBdr>
        <w:top w:val="single" w:color="4874CB" w:themeColor="accent1" w:sz="4" w:space="10"/>
        <w:bottom w:val="single" w:color="4874CB" w:themeColor="accent1" w:sz="4" w:space="10"/>
      </w:pBdr>
      <w:spacing w:before="360" w:after="360"/>
      <w:ind w:left="864" w:right="864"/>
      <w:jc w:val="center"/>
    </w:pPr>
    <w:rPr>
      <w:i/>
      <w:iCs/>
      <w:color w:val="4874CB" w:themeColor="accent1"/>
      <w14:textFill>
        <w14:solidFill>
          <w14:schemeClr w14:val="accent1"/>
        </w14:solidFill>
      </w14:textFill>
    </w:rPr>
  </w:style>
  <w:style w:type="character" w:customStyle="1" w:styleId="124">
    <w:name w:val="明显引用 字符"/>
    <w:basedOn w:val="89"/>
    <w:link w:val="123"/>
    <w:qFormat/>
    <w:uiPriority w:val="99"/>
    <w:rPr>
      <w:i/>
      <w:iCs/>
      <w:color w:val="4874CB" w:themeColor="accent1"/>
      <w14:textFill>
        <w14:solidFill>
          <w14:schemeClr w14:val="accent1"/>
        </w14:solidFill>
      </w14:textFill>
    </w:rPr>
  </w:style>
  <w:style w:type="character" w:customStyle="1" w:styleId="125">
    <w:name w:val="签名 字符"/>
    <w:basedOn w:val="89"/>
    <w:link w:val="58"/>
    <w:qFormat/>
    <w:uiPriority w:val="0"/>
  </w:style>
  <w:style w:type="character" w:customStyle="1" w:styleId="126">
    <w:name w:val="日期 字符"/>
    <w:basedOn w:val="89"/>
    <w:link w:val="50"/>
    <w:qFormat/>
    <w:uiPriority w:val="0"/>
  </w:style>
  <w:style w:type="paragraph" w:customStyle="1" w:styleId="127">
    <w:name w:val="Bibliography"/>
    <w:basedOn w:val="1"/>
    <w:next w:val="1"/>
    <w:semiHidden/>
    <w:unhideWhenUsed/>
    <w:qFormat/>
    <w:uiPriority w:val="37"/>
  </w:style>
  <w:style w:type="character" w:customStyle="1" w:styleId="128">
    <w:name w:val="文档结构图 字符"/>
    <w:basedOn w:val="89"/>
    <w:link w:val="26"/>
    <w:qFormat/>
    <w:uiPriority w:val="0"/>
    <w:rPr>
      <w:rFonts w:ascii="Microsoft YaHei UI" w:eastAsia="Microsoft YaHei UI"/>
      <w:sz w:val="18"/>
      <w:szCs w:val="18"/>
    </w:rPr>
  </w:style>
  <w:style w:type="paragraph" w:styleId="129">
    <w:name w:val="No Spacing"/>
    <w:qFormat/>
    <w:uiPriority w:val="99"/>
    <w:pPr>
      <w:widowControl w:val="0"/>
      <w:adjustRightInd w:val="0"/>
      <w:snapToGrid w:val="0"/>
      <w:ind w:firstLine="440" w:firstLineChars="200"/>
      <w:jc w:val="both"/>
    </w:pPr>
    <w:rPr>
      <w:rFonts w:ascii="汉仪正圆-45W" w:hAnsi="汉仪正圆-45W" w:eastAsia="汉仪正圆-45W" w:cstheme="minorBidi"/>
      <w:kern w:val="2"/>
      <w:sz w:val="22"/>
      <w:szCs w:val="22"/>
      <w:lang w:val="en-US" w:eastAsia="zh-CN" w:bidi="ar-SA"/>
    </w:rPr>
  </w:style>
  <w:style w:type="character" w:customStyle="1" w:styleId="130">
    <w:name w:val="信息标题 字符"/>
    <w:basedOn w:val="89"/>
    <w:link w:val="79"/>
    <w:qFormat/>
    <w:uiPriority w:val="0"/>
    <w:rPr>
      <w:rFonts w:asciiTheme="majorHAnsi" w:hAnsiTheme="majorHAnsi" w:eastAsiaTheme="majorEastAsia" w:cstheme="majorBidi"/>
      <w:sz w:val="24"/>
      <w:szCs w:val="24"/>
    </w:rPr>
  </w:style>
  <w:style w:type="paragraph" w:styleId="131">
    <w:name w:val="Quote"/>
    <w:basedOn w:val="1"/>
    <w:next w:val="1"/>
    <w:link w:val="132"/>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32">
    <w:name w:val="引用 字符"/>
    <w:basedOn w:val="89"/>
    <w:link w:val="131"/>
    <w:qFormat/>
    <w:uiPriority w:val="99"/>
    <w:rPr>
      <w:i/>
      <w:iCs/>
      <w:color w:val="404040" w:themeColor="text1" w:themeTint="BF"/>
      <w14:textFill>
        <w14:solidFill>
          <w14:schemeClr w14:val="tx1">
            <w14:lumMod w14:val="75000"/>
            <w14:lumOff w14:val="25000"/>
          </w14:schemeClr>
        </w14:solidFill>
      </w14:textFill>
    </w:rPr>
  </w:style>
  <w:style w:type="character" w:customStyle="1" w:styleId="133">
    <w:name w:val="正文文本 2 字符"/>
    <w:basedOn w:val="89"/>
    <w:link w:val="76"/>
    <w:qFormat/>
    <w:uiPriority w:val="0"/>
  </w:style>
  <w:style w:type="character" w:customStyle="1" w:styleId="134">
    <w:name w:val="正文文本 3 字符"/>
    <w:basedOn w:val="89"/>
    <w:link w:val="31"/>
    <w:qFormat/>
    <w:uiPriority w:val="0"/>
    <w:rPr>
      <w:sz w:val="16"/>
      <w:szCs w:val="16"/>
    </w:rPr>
  </w:style>
  <w:style w:type="character" w:customStyle="1" w:styleId="135">
    <w:name w:val="正文文本 字符"/>
    <w:link w:val="34"/>
    <w:qFormat/>
    <w:uiPriority w:val="0"/>
  </w:style>
  <w:style w:type="character" w:customStyle="1" w:styleId="136">
    <w:name w:val="正文文本首行缩进 字符"/>
    <w:basedOn w:val="135"/>
    <w:link w:val="86"/>
    <w:qFormat/>
    <w:uiPriority w:val="0"/>
  </w:style>
  <w:style w:type="character" w:customStyle="1" w:styleId="137">
    <w:name w:val="正文文本缩进 字符"/>
    <w:basedOn w:val="89"/>
    <w:link w:val="35"/>
    <w:qFormat/>
    <w:uiPriority w:val="0"/>
  </w:style>
  <w:style w:type="character" w:customStyle="1" w:styleId="138">
    <w:name w:val="正文文本首行缩进 2 字符"/>
    <w:basedOn w:val="137"/>
    <w:link w:val="87"/>
    <w:qFormat/>
    <w:uiPriority w:val="0"/>
  </w:style>
  <w:style w:type="character" w:customStyle="1" w:styleId="139">
    <w:name w:val="正文文本缩进 2 字符"/>
    <w:basedOn w:val="89"/>
    <w:link w:val="51"/>
    <w:qFormat/>
    <w:uiPriority w:val="0"/>
  </w:style>
  <w:style w:type="character" w:customStyle="1" w:styleId="140">
    <w:name w:val="正文文本缩进 3 字符"/>
    <w:basedOn w:val="89"/>
    <w:link w:val="70"/>
    <w:qFormat/>
    <w:uiPriority w:val="0"/>
    <w:rPr>
      <w:sz w:val="16"/>
      <w:szCs w:val="16"/>
    </w:rPr>
  </w:style>
  <w:style w:type="character" w:customStyle="1" w:styleId="141">
    <w:name w:val="注释标题 字符"/>
    <w:basedOn w:val="89"/>
    <w:link w:val="16"/>
    <w:qFormat/>
    <w:uiPriority w:val="0"/>
  </w:style>
  <w:style w:type="paragraph" w:customStyle="1" w:styleId="142">
    <w:name w:val="主送对象"/>
    <w:next w:val="34"/>
    <w:qFormat/>
    <w:uiPriority w:val="0"/>
    <w:pPr>
      <w:adjustRightInd w:val="0"/>
      <w:snapToGrid w:val="0"/>
      <w:spacing w:line="360" w:lineRule="auto"/>
    </w:pPr>
    <w:rPr>
      <w:rFonts w:hint="eastAsia" w:ascii="宋体" w:hAnsi="宋体" w:eastAsia="宋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143">
    <w:name w:val="批注框文本 Char"/>
    <w:link w:val="54"/>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25875</Words>
  <Characters>29573</Characters>
  <Lines>0</Lines>
  <Paragraphs>0</Paragraphs>
  <TotalTime>132</TotalTime>
  <ScaleCrop>false</ScaleCrop>
  <LinksUpToDate>false</LinksUpToDate>
  <CharactersWithSpaces>30267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2026-04-14T12:44:00Z</dcterms:created>
  <dc:creator>旖旎</dc:creator>
  <cp:lastModifiedBy>旖旎</cp:lastModifiedBy>
  <dcterms:modified xsi:type="dcterms:W3CDTF">2026-04-16T15:12:56Z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2DF645E0AF44406B95F3C687300969C3_11</vt:lpwstr>
  </property>
  <property fmtid="{D5CDD505-2E9C-101B-9397-08002B2CF9AE}" pid="4" name="KSOTemplateDocerSaveRecord">
    <vt:lpwstr>eyJoZGlkIjoiZDZkZDE3YzU3ZmVkMTdlZDA2NTMyYTk1NzM3YzA2NDciLCJ1c2VySWQiOiIxMzg3MzI2NzUzIn0=</vt:lpwstr>
  </property>
</Properties>
</file>