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val="0"/>
        <w:pageBreakBefore w:val="0"/>
        <w:widowControl/>
        <w:kinsoku w:val="0"/>
        <w:wordWrap/>
        <w:overflowPunct/>
        <w:topLinePunct w:val="0"/>
        <w:autoSpaceDE w:val="0"/>
        <w:autoSpaceDN w:val="0"/>
        <w:bidi w:val="0"/>
        <w:adjustRightInd w:val="0"/>
        <w:snapToGrid w:val="0"/>
        <w:spacing w:before="139" w:line="240" w:lineRule="auto"/>
        <w:ind w:left="1621"/>
        <w:textAlignment w:val="baseline"/>
        <w:outlineLvl w:val="0"/>
        <w:rPr>
          <w:rFonts w:ascii="微软雅黑" w:hAnsi="微软雅黑" w:eastAsia="微软雅黑" w:cs="微软雅黑"/>
          <w:sz w:val="31"/>
          <w:szCs w:val="31"/>
        </w:rPr>
      </w:pPr>
      <w:r>
        <w:rPr>
          <w:rFonts w:ascii="微软雅黑" w:hAnsi="微软雅黑" w:eastAsia="微软雅黑" w:cs="微软雅黑"/>
          <w:b/>
          <w:bCs/>
          <w:spacing w:val="5"/>
          <w:sz w:val="31"/>
          <w:szCs w:val="31"/>
        </w:rPr>
        <w:t>本科生毕业设计（论文）开题报告</w:t>
      </w:r>
    </w:p>
    <w:p>
      <w:pPr>
        <w:pStyle w:val="13"/>
        <w:keepNext/>
        <w:keepLines w:val="0"/>
        <w:pageBreakBefore w:val="0"/>
        <w:widowControl/>
        <w:kinsoku w:val="0"/>
        <w:wordWrap/>
        <w:overflowPunct/>
        <w:topLinePunct w:val="0"/>
        <w:autoSpaceDE w:val="0"/>
        <w:autoSpaceDN w:val="0"/>
        <w:bidi w:val="0"/>
        <w:adjustRightInd w:val="0"/>
        <w:snapToGrid w:val="0"/>
        <w:spacing w:before="55" w:line="240" w:lineRule="auto"/>
        <w:ind w:left="163"/>
        <w:textAlignment w:val="baseline"/>
        <w:rPr>
          <w:sz w:val="20"/>
          <w:szCs w:val="20"/>
        </w:rPr>
      </w:pPr>
    </w:p>
    <w:tbl>
      <w:tblPr>
        <w:tblStyle w:val="12"/>
        <w:tblW w:w="9111"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790"/>
        <w:gridCol w:w="1050"/>
        <w:gridCol w:w="791"/>
        <w:gridCol w:w="1737"/>
        <w:gridCol w:w="1077"/>
        <w:gridCol w:w="3666"/>
      </w:tblGrid>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392" w:hRule="atLeast"/>
        </w:trPr>
        <w:tc>
          <w:tcPr>
            <w:tcW w:w="790" w:type="dxa"/>
            <w:vAlign w:val="top"/>
          </w:tcPr>
          <w:p>
            <w:pPr>
              <w:pStyle w:val="13"/>
              <w:keepNext/>
              <w:keepLines w:val="0"/>
              <w:pageBreakBefore w:val="0"/>
              <w:widowControl/>
              <w:kinsoku w:val="0"/>
              <w:wordWrap/>
              <w:overflowPunct/>
              <w:topLinePunct w:val="0"/>
              <w:autoSpaceDE w:val="0"/>
              <w:autoSpaceDN w:val="0"/>
              <w:bidi w:val="0"/>
              <w:adjustRightInd w:val="0"/>
              <w:snapToGrid w:val="0"/>
              <w:spacing w:before="55" w:line="240" w:lineRule="auto"/>
              <w:ind w:left="163"/>
              <w:textAlignment w:val="baseline"/>
              <w:rPr>
                <w:rFonts w:hint="eastAsia" w:ascii="微软雅黑" w:hAnsi="微软雅黑" w:eastAsia="微软雅黑" w:cs="微软雅黑"/>
                <w:b/>
                <w:bCs/>
                <w:sz w:val="20"/>
                <w:szCs w:val="20"/>
                <w:lang w:val="en-US" w:eastAsia="zh-CN"/>
              </w:rPr>
            </w:pPr>
            <w:r>
              <w:rPr>
                <w:rFonts w:hint="eastAsia" w:ascii="微软雅黑" w:hAnsi="微软雅黑" w:eastAsia="微软雅黑" w:cs="微软雅黑"/>
                <w:b/>
                <w:bCs/>
                <w:sz w:val="20"/>
                <w:szCs w:val="20"/>
                <w:lang w:val="en-US" w:eastAsia="zh-CN"/>
              </w:rPr>
              <w:t>姓名</w:t>
            </w:r>
          </w:p>
        </w:tc>
        <w:tc>
          <w:tcPr>
            <w:tcW w:w="1050" w:type="dxa"/>
            <w:vAlign w:val="top"/>
          </w:tcPr>
          <w:p>
            <w:pPr>
              <w:pStyle w:val="13"/>
              <w:keepNext/>
              <w:keepLines w:val="0"/>
              <w:pageBreakBefore w:val="0"/>
              <w:widowControl/>
              <w:kinsoku w:val="0"/>
              <w:wordWrap/>
              <w:overflowPunct/>
              <w:topLinePunct w:val="0"/>
              <w:autoSpaceDE w:val="0"/>
              <w:autoSpaceDN w:val="0"/>
              <w:bidi w:val="0"/>
              <w:adjustRightInd w:val="0"/>
              <w:snapToGrid w:val="0"/>
              <w:spacing w:before="55" w:line="240" w:lineRule="auto"/>
              <w:ind w:left="201"/>
              <w:textAlignment w:val="baseline"/>
              <w:rPr>
                <w:rFonts w:hint="eastAsia" w:ascii="微软雅黑" w:hAnsi="微软雅黑" w:eastAsia="微软雅黑" w:cs="微软雅黑"/>
                <w:b/>
                <w:bCs/>
                <w:sz w:val="20"/>
                <w:szCs w:val="20"/>
              </w:rPr>
            </w:pPr>
          </w:p>
        </w:tc>
        <w:tc>
          <w:tcPr>
            <w:tcW w:w="791" w:type="dxa"/>
            <w:vAlign w:val="top"/>
          </w:tcPr>
          <w:p>
            <w:pPr>
              <w:pStyle w:val="13"/>
              <w:keepNext/>
              <w:keepLines w:val="0"/>
              <w:pageBreakBefore w:val="0"/>
              <w:widowControl/>
              <w:kinsoku w:val="0"/>
              <w:wordWrap/>
              <w:overflowPunct/>
              <w:topLinePunct w:val="0"/>
              <w:autoSpaceDE w:val="0"/>
              <w:autoSpaceDN w:val="0"/>
              <w:bidi w:val="0"/>
              <w:adjustRightInd w:val="0"/>
              <w:snapToGrid w:val="0"/>
              <w:spacing w:before="56" w:line="240" w:lineRule="auto"/>
              <w:ind w:left="173"/>
              <w:textAlignment w:val="baseline"/>
              <w:rPr>
                <w:rFonts w:hint="eastAsia" w:ascii="微软雅黑" w:hAnsi="微软雅黑" w:eastAsia="微软雅黑" w:cs="微软雅黑"/>
                <w:b/>
                <w:bCs/>
                <w:sz w:val="20"/>
                <w:szCs w:val="20"/>
              </w:rPr>
            </w:pPr>
            <w:r>
              <w:rPr>
                <w:rFonts w:hint="eastAsia" w:ascii="微软雅黑" w:hAnsi="微软雅黑" w:eastAsia="微软雅黑" w:cs="微软雅黑"/>
                <w:b/>
                <w:bCs/>
                <w:spacing w:val="1"/>
                <w:sz w:val="20"/>
                <w:szCs w:val="20"/>
              </w:rPr>
              <w:t>学号</w:t>
            </w:r>
          </w:p>
        </w:tc>
        <w:tc>
          <w:tcPr>
            <w:tcW w:w="1737" w:type="dxa"/>
            <w:vAlign w:val="top"/>
          </w:tcPr>
          <w:p>
            <w:pPr>
              <w:keepNext/>
              <w:keepLines w:val="0"/>
              <w:pageBreakBefore w:val="0"/>
              <w:widowControl/>
              <w:kinsoku w:val="0"/>
              <w:wordWrap/>
              <w:overflowPunct/>
              <w:topLinePunct w:val="0"/>
              <w:autoSpaceDE w:val="0"/>
              <w:autoSpaceDN w:val="0"/>
              <w:bidi w:val="0"/>
              <w:adjustRightInd w:val="0"/>
              <w:snapToGrid w:val="0"/>
              <w:spacing w:before="99" w:line="240" w:lineRule="auto"/>
              <w:ind w:left="207"/>
              <w:textAlignment w:val="baseline"/>
              <w:rPr>
                <w:rFonts w:hint="eastAsia" w:ascii="微软雅黑" w:hAnsi="微软雅黑" w:eastAsia="微软雅黑" w:cs="微软雅黑"/>
                <w:b/>
                <w:bCs/>
                <w:sz w:val="20"/>
                <w:szCs w:val="20"/>
              </w:rPr>
            </w:pPr>
            <w:bookmarkStart w:id="2" w:name="_GoBack"/>
            <w:bookmarkEnd w:id="2"/>
          </w:p>
        </w:tc>
        <w:tc>
          <w:tcPr>
            <w:tcW w:w="1077" w:type="dxa"/>
            <w:vAlign w:val="top"/>
          </w:tcPr>
          <w:p>
            <w:pPr>
              <w:pStyle w:val="13"/>
              <w:keepNext/>
              <w:keepLines w:val="0"/>
              <w:pageBreakBefore w:val="0"/>
              <w:widowControl/>
              <w:kinsoku w:val="0"/>
              <w:wordWrap/>
              <w:overflowPunct/>
              <w:topLinePunct w:val="0"/>
              <w:autoSpaceDE w:val="0"/>
              <w:autoSpaceDN w:val="0"/>
              <w:bidi w:val="0"/>
              <w:adjustRightInd w:val="0"/>
              <w:snapToGrid w:val="0"/>
              <w:spacing w:before="56" w:line="240" w:lineRule="auto"/>
              <w:ind w:left="218"/>
              <w:textAlignment w:val="baseline"/>
              <w:rPr>
                <w:rFonts w:hint="eastAsia" w:ascii="微软雅黑" w:hAnsi="微软雅黑" w:eastAsia="微软雅黑" w:cs="微软雅黑"/>
                <w:b/>
                <w:bCs/>
                <w:sz w:val="20"/>
                <w:szCs w:val="20"/>
              </w:rPr>
            </w:pPr>
            <w:r>
              <w:rPr>
                <w:rFonts w:hint="eastAsia" w:ascii="微软雅黑" w:hAnsi="微软雅黑" w:eastAsia="微软雅黑" w:cs="微软雅黑"/>
                <w:b/>
                <w:bCs/>
                <w:spacing w:val="3"/>
                <w:sz w:val="20"/>
                <w:szCs w:val="20"/>
              </w:rPr>
              <w:t>专业</w:t>
            </w:r>
          </w:p>
        </w:tc>
        <w:tc>
          <w:tcPr>
            <w:tcW w:w="3666" w:type="dxa"/>
            <w:vAlign w:val="top"/>
          </w:tcPr>
          <w:p>
            <w:pPr>
              <w:pStyle w:val="13"/>
              <w:keepNext/>
              <w:keepLines w:val="0"/>
              <w:pageBreakBefore w:val="0"/>
              <w:widowControl/>
              <w:kinsoku w:val="0"/>
              <w:wordWrap/>
              <w:overflowPunct/>
              <w:topLinePunct w:val="0"/>
              <w:autoSpaceDE w:val="0"/>
              <w:autoSpaceDN w:val="0"/>
              <w:bidi w:val="0"/>
              <w:adjustRightInd w:val="0"/>
              <w:snapToGrid w:val="0"/>
              <w:spacing w:before="55" w:line="240" w:lineRule="auto"/>
              <w:ind w:left="1709"/>
              <w:textAlignment w:val="baseline"/>
              <w:rPr>
                <w:rFonts w:hint="eastAsia" w:ascii="微软雅黑" w:hAnsi="微软雅黑" w:eastAsia="微软雅黑" w:cs="微软雅黑"/>
                <w:b/>
                <w:bCs/>
                <w:sz w:val="20"/>
                <w:szCs w:val="20"/>
              </w:rPr>
            </w:pPr>
            <w:r>
              <w:rPr>
                <w:rFonts w:hint="eastAsia" w:ascii="微软雅黑" w:hAnsi="微软雅黑" w:eastAsia="微软雅黑" w:cs="微软雅黑"/>
                <w:b/>
                <w:bCs/>
                <w:spacing w:val="6"/>
                <w:sz w:val="20"/>
                <w:szCs w:val="20"/>
              </w:rPr>
              <w:t>物流管理</w:t>
            </w: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445" w:hRule="atLeast"/>
        </w:trPr>
        <w:tc>
          <w:tcPr>
            <w:tcW w:w="2631" w:type="dxa"/>
            <w:gridSpan w:val="3"/>
            <w:tcBorders>
              <w:bottom w:val="single" w:color="000000" w:sz="2"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41" w:line="240" w:lineRule="auto"/>
              <w:ind w:left="246"/>
              <w:textAlignment w:val="baseline"/>
              <w:rPr>
                <w:rFonts w:hint="eastAsia" w:ascii="微软雅黑" w:hAnsi="微软雅黑" w:eastAsia="微软雅黑" w:cs="微软雅黑"/>
                <w:b/>
                <w:bCs/>
                <w:sz w:val="20"/>
                <w:szCs w:val="20"/>
              </w:rPr>
            </w:pPr>
            <w:r>
              <w:rPr>
                <w:rFonts w:hint="eastAsia" w:ascii="微软雅黑" w:hAnsi="微软雅黑" w:eastAsia="微软雅黑" w:cs="微软雅黑"/>
                <w:b/>
                <w:bCs/>
                <w:spacing w:val="7"/>
                <w:sz w:val="20"/>
                <w:szCs w:val="20"/>
              </w:rPr>
              <w:t>毕业设计（论文）题目</w:t>
            </w:r>
          </w:p>
        </w:tc>
        <w:tc>
          <w:tcPr>
            <w:tcW w:w="6480" w:type="dxa"/>
            <w:gridSpan w:val="3"/>
            <w:tcBorders>
              <w:bottom w:val="single" w:color="000000" w:sz="2"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21" w:line="240" w:lineRule="auto"/>
              <w:ind w:left="1144"/>
              <w:textAlignment w:val="baseline"/>
              <w:rPr>
                <w:rFonts w:hint="eastAsia" w:ascii="微软雅黑" w:hAnsi="微软雅黑" w:eastAsia="微软雅黑" w:cs="微软雅黑"/>
                <w:b/>
                <w:bCs/>
                <w:sz w:val="20"/>
                <w:szCs w:val="20"/>
              </w:rPr>
            </w:pPr>
            <w:r>
              <w:rPr>
                <w:rFonts w:hint="eastAsia" w:ascii="微软雅黑" w:hAnsi="微软雅黑" w:eastAsia="微软雅黑" w:cs="微软雅黑"/>
                <w:b/>
                <w:bCs/>
                <w:spacing w:val="9"/>
                <w:sz w:val="20"/>
                <w:szCs w:val="20"/>
              </w:rPr>
              <w:t>基于</w:t>
            </w:r>
            <w:r>
              <w:rPr>
                <w:rFonts w:hint="eastAsia" w:ascii="微软雅黑" w:hAnsi="微软雅黑" w:eastAsia="微软雅黑" w:cs="微软雅黑"/>
                <w:b/>
                <w:bCs/>
                <w:sz w:val="20"/>
                <w:szCs w:val="20"/>
              </w:rPr>
              <w:t>GIS</w:t>
            </w:r>
            <w:r>
              <w:rPr>
                <w:rFonts w:hint="eastAsia" w:ascii="微软雅黑" w:hAnsi="微软雅黑" w:eastAsia="微软雅黑" w:cs="微软雅黑"/>
                <w:b/>
                <w:bCs/>
                <w:spacing w:val="9"/>
                <w:sz w:val="20"/>
                <w:szCs w:val="20"/>
              </w:rPr>
              <w:t>分析的P公司</w:t>
            </w:r>
            <w:r>
              <w:rPr>
                <w:rFonts w:hint="eastAsia" w:ascii="微软雅黑" w:hAnsi="微软雅黑" w:eastAsia="微软雅黑" w:cs="微软雅黑"/>
                <w:b/>
                <w:bCs/>
                <w:spacing w:val="9"/>
                <w:sz w:val="20"/>
                <w:szCs w:val="20"/>
                <w:lang w:val="en-US" w:eastAsia="zh-CN"/>
              </w:rPr>
              <w:t>福州市</w:t>
            </w:r>
            <w:r>
              <w:rPr>
                <w:rFonts w:hint="eastAsia" w:ascii="微软雅黑" w:hAnsi="微软雅黑" w:eastAsia="微软雅黑" w:cs="微软雅黑"/>
                <w:b/>
                <w:bCs/>
                <w:spacing w:val="9"/>
                <w:sz w:val="20"/>
                <w:szCs w:val="20"/>
              </w:rPr>
              <w:t>前置仓选址优化研究</w:t>
            </w:r>
          </w:p>
        </w:tc>
      </w:tr>
      <w:tr>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Ex>
        <w:trPr>
          <w:trHeight w:val="13027" w:hRule="atLeast"/>
        </w:trPr>
        <w:tc>
          <w:tcPr>
            <w:tcW w:w="9111" w:type="dxa"/>
            <w:gridSpan w:val="6"/>
            <w:tcBorders>
              <w:top w:val="single" w:color="000000" w:sz="2" w:space="0"/>
              <w:bottom w:val="single" w:color="000000" w:sz="2"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173" w:line="240" w:lineRule="auto"/>
              <w:ind w:left="113"/>
              <w:textAlignment w:val="baseline"/>
              <w:rPr>
                <w:rStyle w:val="14"/>
                <w:rFonts w:hint="eastAsia" w:ascii="微软雅黑" w:hAnsi="微软雅黑" w:eastAsia="微软雅黑" w:cs="微软雅黑"/>
                <w:b/>
                <w:sz w:val="28"/>
                <w:szCs w:val="28"/>
              </w:rPr>
            </w:pPr>
            <w:r>
              <w:rPr>
                <w:rStyle w:val="14"/>
                <w:rFonts w:hint="eastAsia" w:ascii="微软雅黑" w:hAnsi="微软雅黑" w:eastAsia="微软雅黑" w:cs="微软雅黑"/>
                <w:b/>
                <w:sz w:val="28"/>
                <w:szCs w:val="28"/>
              </w:rPr>
              <w:t>一、课题来源及研究目的和意义</w:t>
            </w:r>
          </w:p>
          <w:p>
            <w:pPr>
              <w:pStyle w:val="3"/>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微软雅黑" w:hAnsi="微软雅黑" w:eastAsia="微软雅黑" w:cs="微软雅黑"/>
                <w:sz w:val="24"/>
                <w:szCs w:val="24"/>
              </w:rPr>
            </w:pPr>
            <w:r>
              <w:rPr>
                <w:rFonts w:hint="eastAsia" w:ascii="微软雅黑" w:hAnsi="微软雅黑" w:eastAsia="微软雅黑" w:cs="微软雅黑"/>
                <w:sz w:val="24"/>
                <w:szCs w:val="24"/>
              </w:rPr>
              <w:t>（一）课题来源</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微软雅黑" w:hAnsi="微软雅黑" w:eastAsia="微软雅黑" w:cs="微软雅黑"/>
                <w:szCs w:val="24"/>
              </w:rPr>
            </w:pPr>
            <w:r>
              <w:rPr>
                <w:rFonts w:hint="eastAsia"/>
                <w:lang w:val="en-US" w:eastAsia="zh-CN"/>
              </w:rPr>
              <w:t>本课题</w:t>
            </w:r>
            <w:r>
              <w:rPr>
                <w:rFonts w:hint="eastAsia"/>
                <w:lang w:eastAsia="zh-CN"/>
              </w:rPr>
              <w:t>结合实习单位情况、个人研究兴趣以及文献基础等，</w:t>
            </w:r>
            <w:r>
              <w:rPr>
                <w:rFonts w:hint="eastAsia"/>
                <w:lang w:val="en-US" w:eastAsia="zh-CN"/>
              </w:rPr>
              <w:t>以“GIS分析”为基础，结合福建P公司前置仓选址，拟定选题《基于GIS分析的P公司福州市前置仓选址优化研究》</w:t>
            </w:r>
            <w:r>
              <w:rPr>
                <w:rFonts w:hint="eastAsia"/>
              </w:rPr>
              <w:t>。</w:t>
            </w:r>
          </w:p>
          <w:p>
            <w:pPr>
              <w:pStyle w:val="3"/>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r>
              <w:t>（二）研究目的和意义</w:t>
            </w:r>
          </w:p>
          <w:p>
            <w:pPr>
              <w:pStyle w:val="3"/>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spacing w:val="-2"/>
              </w:rPr>
            </w:pPr>
            <w:r>
              <w:t>1.研究目的</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r>
              <w:rPr>
                <w:rFonts w:hint="eastAsia"/>
              </w:rPr>
              <w:t>随着数字经济与消费升级的深度融合，生鲜电商已成为重塑现代都市生活、连接农田与餐桌的关键基础设施。在此背景下，末端配送的即时性与可靠性直接决定了用户体验与企业核心竞争力。前置仓模式凭借其贴近社区、响应迅速的优势，成为行业解决“最后一公里”瓶颈的主流选择。国家层面持续推动冷链物流高质量发展与城市一刻钟便民生活圈建设，使得前置仓的科学布局不仅关乎企业运营效率与成本，更具备了优化城市物流体系、保障民生供给的社会价值。因此，对特定企业前置仓网络进行精准的选址优化，是响应产业发展趋势与政策导向、实现社会资源高效配置的迫切需求，具有显著的时代意义与实践重要性。</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lang w:eastAsia="zh-CN"/>
              </w:rPr>
            </w:pPr>
            <w:r>
              <w:rPr>
                <w:rFonts w:hint="eastAsia"/>
              </w:rPr>
              <w:t>在学术与应用研究领域，基于地理信息系统（GIS）与运筹学模型的设施选址研究已形成成熟范式，并在物流中心、充电桩、医疗服务设施等多个领域得到成功验证。聚焦于生鲜电商前置仓选址，现有研究普遍关注多目标优化，旨在平衡成本、时效与客户满意度等多元指标，并广泛引入了聚类算法、遗传算法等智能求解方法。然而，当前研究仍面临若干瓶颈：其一，对潜在需求的空间刻画仍显粗放，多数研究依赖历史订单数据（存在获取门槛与滞后性）或对兴趣点（POI）进行简单聚合，未能有效量化不同区域间需求强度的细微差异，导致“需求均质化”假设与复杂现实存在偏差；其二，构建的模型往往追求理论上的多目标帕累托最优，但在企业实际决策中，尤其是在评估现有网络效率或规划增量布点时，决策者更需要一个直观、聚焦的核心绩效指标（如直接提升潜在客户覆盖规模）来驱动决策</w:t>
            </w:r>
            <w:r>
              <w:rPr>
                <w:rFonts w:hint="eastAsia"/>
                <w:lang w:eastAsia="zh-CN"/>
              </w:rPr>
              <w:t>。</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spacing w:val="-2"/>
              </w:rPr>
            </w:pPr>
            <w:r>
              <w:rPr>
                <w:rFonts w:hint="eastAsia"/>
              </w:rPr>
              <w:t>本研究核心目标是：面向P公司的具体业务场景，构建一套以“服务（加权）人口覆盖率最大化”为单一核心驱动、深度融合GIS空间分析技术与业务逻辑的选址优化决策支持框架。研究旨在精准诊断其现有前置仓网络在3公里服务半径内，与城市住宅人口真实分布格局之间的匹配度与盲区，并解决因布局不合理可能导致的服务能力闲置或需求覆盖不足的实际问题。通过构建“现状评估—全局优化对比—增量选址建议”的递进式分析流程，最终为P公司提供明确的选址调整优先级与新增仓点的精准坐标建议。预期贡献在于，将学术模型转化为企业可理解、可执行、可验证的决策工具，助力P公司在控制资本性支出的前提下，通过空间资源的优化重组，显著提升其物流网络的服务人口覆盖广度与密度，从而直接增强其市场响应能力、客户粘性及区域竞争力，为企业的精细化运营与战略性扩张提</w:t>
            </w:r>
            <w:r>
              <w:rPr>
                <w:rFonts w:hint="eastAsia"/>
                <w:spacing w:val="-2"/>
              </w:rPr>
              <w:t>供坚实的数据基石。</w:t>
            </w:r>
          </w:p>
          <w:p>
            <w:pPr>
              <w:pStyle w:val="13"/>
              <w:keepNext/>
              <w:keepLines w:val="0"/>
              <w:pageBreakBefore w:val="0"/>
              <w:widowControl/>
              <w:kinsoku w:val="0"/>
              <w:wordWrap/>
              <w:overflowPunct/>
              <w:topLinePunct w:val="0"/>
              <w:autoSpaceDE w:val="0"/>
              <w:autoSpaceDN w:val="0"/>
              <w:bidi w:val="0"/>
              <w:adjustRightInd w:val="0"/>
              <w:snapToGrid w:val="0"/>
              <w:spacing w:before="1" w:line="240" w:lineRule="auto"/>
              <w:ind w:left="590"/>
              <w:textAlignment w:val="baseline"/>
              <w:rPr>
                <w:rFonts w:hint="eastAsia"/>
                <w:spacing w:val="-2"/>
              </w:rPr>
            </w:pPr>
          </w:p>
          <w:p>
            <w:pPr>
              <w:pStyle w:val="3"/>
              <w:keepNext/>
              <w:keepLines w:val="0"/>
              <w:pageBreakBefore w:val="0"/>
              <w:widowControl/>
              <w:kinsoku w:val="0"/>
              <w:wordWrap/>
              <w:overflowPunct/>
              <w:topLinePunct w:val="0"/>
              <w:autoSpaceDE w:val="0"/>
              <w:autoSpaceDN w:val="0"/>
              <w:bidi w:val="0"/>
              <w:adjustRightInd w:val="0"/>
              <w:snapToGrid w:val="0"/>
              <w:spacing w:line="240" w:lineRule="auto"/>
              <w:textAlignment w:val="baseline"/>
            </w:pPr>
            <w:r>
              <w:t>2.研究意义</w:t>
            </w:r>
          </w:p>
          <w:p>
            <w:pPr>
              <w:pStyle w:val="3"/>
              <w:keepNext/>
              <w:keepLines w:val="0"/>
              <w:pageBreakBefore w:val="0"/>
              <w:widowControl/>
              <w:kinsoku w:val="0"/>
              <w:wordWrap/>
              <w:overflowPunct/>
              <w:topLinePunct w:val="0"/>
              <w:autoSpaceDE w:val="0"/>
              <w:autoSpaceDN w:val="0"/>
              <w:bidi w:val="0"/>
              <w:adjustRightInd w:val="0"/>
              <w:snapToGrid w:val="0"/>
              <w:spacing w:line="240" w:lineRule="auto"/>
              <w:textAlignment w:val="baseline"/>
            </w:pPr>
            <w:r>
              <w:t>（1）理论意义</w:t>
            </w:r>
          </w:p>
          <w:p>
            <w:pPr>
              <w:bidi w:val="0"/>
              <w:rPr>
                <w:rFonts w:hint="default"/>
              </w:rPr>
            </w:pPr>
            <w:r>
              <w:rPr>
                <w:rFonts w:hint="default"/>
              </w:rPr>
              <w:t>本研究针对现有前置仓选址研究中需求空间刻画相对均质化、多目标模型决策导向不够聚焦的局限，通过将POI空间聚类与互联网热力图加权分析相结合，提出了一种更精细、动态的潜在需求建模新方法。这深化了对城市消费需求空间异质性的量化理解，丰富了设施选址理论中需求侧的分析维度。同时，研究构建了以“服务人口覆盖率最大化”为单一核心目标的GIS优化分析框架，为在特定约束下（如固定设施数量）的网络效率评估与增量决策，提供了一种清晰、可复制的单目标优化范式，推动了选址理论与企业具体决策场景的紧密结合，为后续相关研究提供了新的思路与方法借鉴。</w:t>
            </w:r>
          </w:p>
          <w:p>
            <w:pPr>
              <w:pStyle w:val="3"/>
              <w:bidi w:val="0"/>
            </w:pPr>
            <w:r>
              <w:t>（2）现实意义</w:t>
            </w:r>
          </w:p>
          <w:p>
            <w:pPr>
              <w:bidi w:val="0"/>
              <w:rPr>
                <w:rFonts w:hint="default"/>
              </w:rPr>
            </w:pPr>
            <w:r>
              <w:rPr>
                <w:rFonts w:hint="default"/>
              </w:rPr>
              <w:t>本研究直接服务于P公司的运营优化与战略决策。研究成果能够为该公司提供一套基于客观空间数据的选址诊断与规划工具，帮助其精准识别服务盲区，优化存量网络布局，并科学规划新增仓点。这有助于企业在控制成本的前提下，显著提升其物流网络的服务覆盖范围与人口触达效率，从而增强客户体验、市场竞争力与单仓运营效益。此外，本研究所验证的“数据获取-需求建模-空间优化”技术路径，也可为同行业其他生鲜电商企业优化末端物流网络提供可操作的参考方案，并为城市商业设施规划与民生物流体系建设提供基于实证的分析案例与决策支持。</w:t>
            </w:r>
          </w:p>
          <w:p>
            <w:pPr>
              <w:pStyle w:val="13"/>
              <w:keepNext/>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outlineLvl w:val="0"/>
              <w:rPr>
                <w:b/>
                <w:bCs/>
                <w:spacing w:val="-6"/>
                <w:sz w:val="28"/>
                <w:szCs w:val="28"/>
              </w:rPr>
            </w:pPr>
          </w:p>
          <w:p>
            <w:pPr>
              <w:pStyle w:val="13"/>
              <w:keepNext/>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outlineLvl w:val="0"/>
              <w:rPr>
                <w:b/>
                <w:bCs/>
                <w:spacing w:val="-6"/>
                <w:sz w:val="28"/>
                <w:szCs w:val="28"/>
              </w:rPr>
            </w:pPr>
          </w:p>
          <w:p>
            <w:pPr>
              <w:pStyle w:val="13"/>
              <w:keepNext/>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outlineLvl w:val="0"/>
              <w:rPr>
                <w:b/>
                <w:bCs/>
                <w:spacing w:val="-6"/>
                <w:sz w:val="28"/>
                <w:szCs w:val="28"/>
              </w:rPr>
            </w:pPr>
          </w:p>
          <w:p>
            <w:pPr>
              <w:pStyle w:val="13"/>
              <w:keepNext/>
              <w:keepLines w:val="0"/>
              <w:pageBreakBefore w:val="0"/>
              <w:widowControl/>
              <w:kinsoku w:val="0"/>
              <w:wordWrap/>
              <w:overflowPunct/>
              <w:topLinePunct w:val="0"/>
              <w:autoSpaceDE w:val="0"/>
              <w:autoSpaceDN w:val="0"/>
              <w:bidi w:val="0"/>
              <w:adjustRightInd w:val="0"/>
              <w:snapToGrid w:val="0"/>
              <w:spacing w:line="240" w:lineRule="auto"/>
              <w:ind w:left="113"/>
              <w:textAlignment w:val="baseline"/>
              <w:outlineLvl w:val="0"/>
              <w:rPr>
                <w:b/>
                <w:bCs/>
                <w:spacing w:val="-6"/>
                <w:sz w:val="28"/>
                <w:szCs w:val="28"/>
              </w:rPr>
            </w:pPr>
          </w:p>
          <w:p>
            <w:pPr>
              <w:pStyle w:val="2"/>
              <w:bidi w:val="0"/>
              <w:ind w:left="0" w:leftChars="0" w:firstLine="560" w:firstLineChars="200"/>
            </w:pPr>
            <w:r>
              <w:t>二、国内外在该方向的研究现状及分析</w:t>
            </w:r>
          </w:p>
          <w:p>
            <w:pPr>
              <w:pStyle w:val="3"/>
              <w:bidi w:val="0"/>
            </w:pPr>
            <w:r>
              <w:t>1.研究现状</w:t>
            </w:r>
          </w:p>
          <w:p>
            <w:pPr>
              <w:bidi w:val="0"/>
            </w:pPr>
            <w:r>
              <w:rPr>
                <w:rFonts w:hint="default"/>
              </w:rPr>
              <w:t>生鲜电商前置仓作为连接供应链与末端消费者的关键节点，其科学选址是保障配送时效、控制运营成本与提升竞争力的核心。当前研究已形成以地理信息系统（GIS）为空间分析基础，融合多目标决策与智能优化算法的成熟范式。学者们普遍认识到，单纯的成本最小化已难以应对复杂的城市商业环境，研究重点转向如何在有限资源下最大化服务覆盖、提升客户满意度并兼顾企业经济效益。这一领域的研究主要集中在需求空间的精准刻画、多目标优化模型的构建以及GIS与智能算法的深度集成三个方面。</w:t>
            </w:r>
            <w:r>
              <w:rPr>
                <w:rFonts w:hint="eastAsia"/>
                <w:lang w:val="en-US" w:eastAsia="zh-CN"/>
              </w:rPr>
              <w:t>2</w:t>
            </w:r>
            <w:r>
              <w:rPr>
                <w:rFonts w:hint="default"/>
              </w:rPr>
              <w:t>.前置仓选址优化问题与模型研究现状</w:t>
            </w:r>
          </w:p>
          <w:p>
            <w:pPr>
              <w:bidi w:val="0"/>
            </w:pPr>
            <w:r>
              <w:rPr>
                <w:rFonts w:hint="default"/>
              </w:rPr>
              <w:t>生鲜电商前置仓的选址优化研究，其核心在于构建能够精准平衡企业运营效率与市场需求响应的决策模型。当前，该领域的研究模型已从早期的单一成本最小化目标，演进为涵盖成本、服务与客户体验的多目标综合优化体系。王林(2026)在其对生鲜农产品电商物流的宏观审视中指出，大数据是优化物流体系的关键，这为本研究利用多源空间数据进行需求建模提供了理论支撑。在具体建模实践中，学者们针对不同商业模式细化了目标函数。例如，高潮志(2025)针对仓店一体模式，系统性地构建了包含配送、运输、运营、货损及自提成本在内的总成本最小化模型，其创新在于清晰解剖了该模式下复杂的成本构成，为理解前置仓运营的经济性提供了精细框架。</w:t>
            </w:r>
          </w:p>
          <w:p>
            <w:pPr>
              <w:bidi w:val="0"/>
              <w:rPr>
                <w:rFonts w:hint="default"/>
              </w:rPr>
            </w:pPr>
            <w:r>
              <w:rPr>
                <w:rFonts w:hint="default"/>
              </w:rPr>
              <w:t>随着竞争焦点转向用户体验，最大化服务覆盖与客户满意度成为模型的重要维度。刘子程(2025)和徐贝(2025)的研究不约而同地采用了“总成本最小化-客户满意度最大化”的双目标范式。刘子程(2025)的创新在于将路径规划与选址耦合，并运用灰色预测模型预估区域需求，增强了模型的前瞻性；而徐贝(2025)则侧重于通过聚类有效性评估和GM(1,1)预测来夯实需求数据基础，其研究价值在于提供了一套从需求分析到方案求解的完整、可操作技术流程。邹诗涵(2024)进一步构建了选址与路径协同优化的双层规划模型，考虑了货损、惩罚等多重成本，体现了从单点选址到网络协同的系统思维演进。王春生等(2024)则从产业视角强调，前置仓选址对于降低社会总物流成本具有重要意义，凸显了该研究的宏观价值。</w:t>
            </w:r>
            <w:r>
              <w:rPr>
                <w:rFonts w:hint="eastAsia"/>
                <w:lang w:val="en-US" w:eastAsia="zh-CN"/>
              </w:rPr>
              <w:t>3</w:t>
            </w:r>
            <w:r>
              <w:rPr>
                <w:rFonts w:hint="default"/>
              </w:rPr>
              <w:t>.基于GIS的空间分析与算法集成研究现状</w:t>
            </w:r>
          </w:p>
          <w:p>
            <w:pPr>
              <w:bidi w:val="0"/>
              <w:rPr>
                <w:rFonts w:hint="default"/>
              </w:rPr>
            </w:pPr>
            <w:r>
              <w:rPr>
                <w:rFonts w:hint="default"/>
              </w:rPr>
              <w:t>地理信息系统（GIS）作为处理空间问题的核心工具，已深度融入前置仓选址研究的各个环节，其角色从辅助可视化跃升为不可或缺的空间分析引擎和决策支持平台。相关研究普遍遵循“空间分析初筛-优化模型精解”的两阶段范式。在空间分析阶段，GIS主要用于处理多准则、非均质的空间约束。任佳玲等(2024)的研究展示了经典方法，即利用ArcGIS进行客户分布可视化与初步备选点筛选，再结合AHP（层次分析法）进行多准则综合评判，其方法清晰可靠，为处理诸如交通、竞争、地价等复杂因素提供了范例。黄晓辉(2024)在医院选址中的研究更具方法创新性，他提出了熵权法与AHP的组合赋权法，有效平衡了主观经验与客观数据，并利用GIS实现各因素图层加权叠加生成适宜性评价图，这种方法论极大增强了选址指标体系的科学性与说服力，可直接借鉴于前置仓选址的综合性评价。边畅(2024)在充电桩选址中应用的“GIS+TOPSIS”两阶段模型，则展示了如何将空间量化分析与多方案精准排序相结合，确保了最终方案的合理性。</w:t>
            </w:r>
          </w:p>
          <w:p>
            <w:pPr>
              <w:bidi w:val="0"/>
              <w:rPr>
                <w:rFonts w:hint="default"/>
              </w:rPr>
            </w:pPr>
            <w:r>
              <w:rPr>
                <w:rFonts w:hint="default"/>
              </w:rPr>
              <w:t>在优化求解阶段，GIS处理后的空间数据（如需求点坐标、备选点集合）被导入数学模型，并通常采用元启发式算法求解。刘子程(2025)和徐贝(2025)均采用了改进的NSGA-II算法来求解其多目标模型，证明了该算法在获得Pareto最优解集方面的有效性。高潮志(2025)则设计了改进的麻雀搜索算法进行求解，体现了算法选择的多样性。这些实践表明，智能优化算法是解决此类NP-hard问题的有效工具。值得注意的是，Ojghaz与Heravi(2026)在建筑工程领域的研究虽主题迥异，但其构建的集成BIM、GIS与机器学习（ML）的框架，以及利用可解释人工智能（XAI）提供可视化决策反馈的思路，极具前瞻性。这启示我们，前置仓选址优化未来可探索与更高级的AI模型结合，并增强优化过程的交互性与可解释性，从而提升决策支持系统的智能化水平。</w:t>
            </w:r>
          </w:p>
          <w:p>
            <w:pPr>
              <w:bidi w:val="0"/>
              <w:rPr>
                <w:rFonts w:hint="default"/>
              </w:rPr>
            </w:pPr>
            <w:r>
              <w:rPr>
                <w:rFonts w:hint="eastAsia"/>
                <w:lang w:val="en-US" w:eastAsia="zh-CN"/>
              </w:rPr>
              <w:t>4.</w:t>
            </w:r>
            <w:r>
              <w:rPr>
                <w:rFonts w:hint="default"/>
              </w:rPr>
              <w:t>文献述评：现有研究为本课题奠定了坚实的方法论基础：在需求侧，利用POI数据与K-means聚类已成为标准做法；在模型侧，多目标优化是主流方向；在技术侧，GIS与智能算法的结合已被广泛验证。然而，通过深度剖析发现仍有深化空间：其一，在需求建模的“精度”上，多数研究对聚类后需求点的处理是均质的，未能融合如热力图此类能反映实时人口活跃度的动态数据源，以刻画需求强度的微观梯度。其二，在优化目标的“聚焦度”上，复杂的多目标模型虽全面，但在企业进行“网络效率诊断”与“增量扩张规划”时，一个如同服务（加权）人口覆盖率最大化这样直观、核心的单目标，可能更具直接的决策驱动力。其三，在研究路径的“衔接性”上，优化结果与现状的对比分析以及分阶段（如优化存量、规划增量）的实施方案设计，尚有系统化整合的空间。</w:t>
            </w:r>
          </w:p>
          <w:p>
            <w:pPr>
              <w:bidi w:val="0"/>
              <w:rPr>
                <w:rFonts w:hint="default"/>
              </w:rPr>
            </w:pPr>
            <w:r>
              <w:rPr>
                <w:rFonts w:hint="default"/>
              </w:rPr>
              <w:t>因此，本研究将在充分吸收现有成果的基础上，致力于弥补上述缺口。具体而言，将创新性地融合POI空间聚类与热力图加权，以构建更精细的需求表面；明确以服务（加权）人口覆盖最大化为核心目标，构建高度聚焦的优化模型；并设计“现状评估—全局优化对比—增量选址建议”的递进式分析框架，最终为P公司提供一套数据驱动、逻辑严密的选址优化决策支持方案。</w:t>
            </w:r>
          </w:p>
          <w:p>
            <w:pPr>
              <w:bidi w:val="0"/>
              <w:rPr>
                <w:rFonts w:hint="default"/>
              </w:rPr>
            </w:pPr>
          </w:p>
          <w:p>
            <w:pPr>
              <w:pStyle w:val="7"/>
              <w:keepNext/>
              <w:keepLines w:val="0"/>
              <w:pageBreakBefore w:val="0"/>
              <w:widowControl/>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0" w:right="0" w:firstLine="0"/>
              <w:textAlignment w:val="baseline"/>
              <w:rPr>
                <w:rFonts w:hint="default" w:ascii="Segoe UI" w:hAnsi="Segoe UI" w:eastAsia="Segoe UI" w:cs="Segoe UI"/>
                <w:i w:val="0"/>
                <w:iCs w:val="0"/>
                <w:caps w:val="0"/>
                <w:color w:val="0F1115"/>
                <w:spacing w:val="0"/>
                <w:sz w:val="24"/>
                <w:szCs w:val="24"/>
              </w:rPr>
            </w:pPr>
          </w:p>
          <w:p>
            <w:pPr>
              <w:bidi w:val="0"/>
            </w:pPr>
          </w:p>
          <w:p>
            <w:pPr>
              <w:bidi w:val="0"/>
            </w:pPr>
          </w:p>
          <w:p>
            <w:pPr>
              <w:rPr>
                <w:rFonts w:hint="default"/>
                <w:lang w:val="en-US" w:eastAsia="zh-CN"/>
              </w:rPr>
            </w:pPr>
          </w:p>
        </w:tc>
      </w:tr>
    </w:tbl>
    <w:p>
      <w:pPr>
        <w:keepNext/>
        <w:keepLines w:val="0"/>
        <w:pageBreakBefore w:val="0"/>
        <w:widowControl/>
        <w:kinsoku w:val="0"/>
        <w:wordWrap/>
        <w:overflowPunct/>
        <w:topLinePunct w:val="0"/>
        <w:autoSpaceDE w:val="0"/>
        <w:autoSpaceDN w:val="0"/>
        <w:bidi w:val="0"/>
        <w:adjustRightInd w:val="0"/>
        <w:snapToGrid w:val="0"/>
        <w:spacing w:line="240" w:lineRule="auto"/>
        <w:ind w:left="0" w:leftChars="0" w:firstLine="0" w:firstLineChars="0"/>
        <w:textAlignment w:val="baseline"/>
        <w:rPr>
          <w:rFonts w:ascii="Arial"/>
          <w:sz w:val="21"/>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hAnsi="Arial" w:eastAsia="Arial" w:cs="Arial"/>
          <w:sz w:val="21"/>
          <w:szCs w:val="21"/>
        </w:rPr>
        <w:sectPr>
          <w:pgSz w:w="11906" w:h="16839"/>
          <w:pgMar w:top="1418" w:right="1473" w:bottom="0" w:left="1295" w:header="0" w:footer="0" w:gutter="0"/>
          <w:cols w:space="720" w:num="1"/>
        </w:sectPr>
      </w:pP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sz w:val="21"/>
        </w:rPr>
      </w:pPr>
    </w:p>
    <w:tbl>
      <w:tblPr>
        <w:tblStyle w:val="12"/>
        <w:tblW w:w="9117" w:type="dxa"/>
        <w:tblInd w:w="6" w:type="dxa"/>
        <w:tblBorders>
          <w:top w:val="single" w:color="000000" w:sz="2" w:space="0"/>
          <w:left w:val="single" w:color="000000" w:sz="10" w:space="0"/>
          <w:bottom w:val="single" w:color="000000" w:sz="2"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9117"/>
      </w:tblGrid>
      <w:tr>
        <w:tblPrEx>
          <w:tblBorders>
            <w:top w:val="single" w:color="000000" w:sz="2" w:space="0"/>
            <w:left w:val="single" w:color="000000" w:sz="10" w:space="0"/>
            <w:bottom w:val="single" w:color="000000" w:sz="2" w:space="0"/>
            <w:right w:val="single" w:color="000000" w:sz="10" w:space="0"/>
            <w:insideH w:val="none" w:color="auto" w:sz="0" w:space="0"/>
            <w:insideV w:val="none" w:color="auto" w:sz="0" w:space="0"/>
          </w:tblBorders>
          <w:tblLayout w:type="fixed"/>
        </w:tblPrEx>
        <w:trPr>
          <w:trHeight w:val="14425" w:hRule="atLeast"/>
        </w:trPr>
        <w:tc>
          <w:tcPr>
            <w:tcW w:w="9117" w:type="dxa"/>
            <w:vAlign w:val="top"/>
          </w:tcPr>
          <w:p>
            <w:pPr>
              <w:pStyle w:val="2"/>
              <w:bidi w:val="0"/>
            </w:pPr>
            <w:r>
              <w:t>三、主要研究内容</w:t>
            </w:r>
          </w:p>
          <w:p>
            <w:pPr>
              <w:pStyle w:val="3"/>
              <w:bidi w:val="0"/>
            </w:pPr>
            <w:r>
              <w:t>1.研究内容</w:t>
            </w:r>
          </w:p>
          <w:p>
            <w:pPr>
              <w:bidi w:val="0"/>
            </w:pPr>
            <w:r>
              <w:t>数据收集</w:t>
            </w:r>
            <w:r>
              <w:rPr>
                <w:rFonts w:hint="default"/>
              </w:rPr>
              <w:t>：利用Bigemap软件采集城市住宅区POI点位数据，并获取对应区域的互联网热力图数据，以此作为刻画潜在客户空间分布与需求强度的基础数据集。</w:t>
            </w:r>
          </w:p>
          <w:p>
            <w:pPr>
              <w:bidi w:val="0"/>
            </w:pPr>
            <w:r>
              <w:rPr>
                <w:rFonts w:hint="default"/>
              </w:rPr>
              <w:t>模型构建：对POI数据进行K-means空间聚类以生成需求点，并依据热力值对其赋予权重。基于此，构建以最大化覆盖加权人口数量为目标、以3公里为服务半径的前置仓选址优化模型。</w:t>
            </w:r>
          </w:p>
          <w:p>
            <w:pPr>
              <w:bidi w:val="0"/>
            </w:pPr>
            <w:r>
              <w:rPr>
                <w:rFonts w:hint="default"/>
              </w:rPr>
              <w:t>优化前后对比：首先计算P公司现有前置仓网络的服务覆盖人口。随后，在保持仓库数量不变的约束下，求解优化模型得到新布局，并与现状进行覆盖人口与空间分布的可视化及量化对比分析。</w:t>
            </w:r>
          </w:p>
          <w:p>
            <w:pPr>
              <w:bidi w:val="0"/>
            </w:pPr>
            <w:r>
              <w:rPr>
                <w:rFonts w:hint="default"/>
              </w:rPr>
              <w:t>后续设置建议：在固定现有仓点位置的前提下，以模型求解新增五个前置仓的最优选址坐标，精确计算其带来的覆盖人口增量，据此为P公司的阶段性扩张提供优先级明确的落位建议。</w:t>
            </w:r>
          </w:p>
          <w:p>
            <w:pPr>
              <w:pStyle w:val="3"/>
              <w:bidi w:val="0"/>
            </w:pPr>
            <w:r>
              <w:t>2.论文框架</w:t>
            </w:r>
          </w:p>
          <w:p>
            <w:pPr>
              <w:bidi w:val="0"/>
            </w:pPr>
            <w:r>
              <w:t>摘要</w:t>
            </w:r>
          </w:p>
          <w:p>
            <w:pPr>
              <w:bidi w:val="0"/>
            </w:pPr>
            <w:r>
              <w:t>Abstract</w:t>
            </w:r>
          </w:p>
          <w:p>
            <w:pPr>
              <w:bidi w:val="0"/>
              <w:ind w:left="1241" w:leftChars="217" w:hanging="720" w:hangingChars="300"/>
              <w:rPr>
                <w:rFonts w:hint="default" w:eastAsia="微软雅黑"/>
                <w:lang w:val="en-US" w:eastAsia="zh-CN"/>
              </w:rPr>
            </w:pPr>
            <w:r>
              <w:rPr>
                <w:rFonts w:hint="default"/>
              </w:rPr>
              <w:t>第一章绪论</w:t>
            </w:r>
            <w:r>
              <w:rPr>
                <w:rFonts w:hint="default"/>
              </w:rPr>
              <w:br w:type="textWrapping"/>
            </w:r>
            <w:r>
              <w:rPr>
                <w:rFonts w:hint="default"/>
              </w:rPr>
              <w:t>1.1研究背景与意义</w:t>
            </w:r>
            <w:r>
              <w:rPr>
                <w:rFonts w:hint="default"/>
              </w:rPr>
              <w:br w:type="textWrapping"/>
            </w:r>
            <w:r>
              <w:rPr>
                <w:rFonts w:hint="default"/>
              </w:rPr>
              <w:t>1.2国内外研究现状</w:t>
            </w:r>
            <w:r>
              <w:rPr>
                <w:rFonts w:hint="default"/>
              </w:rPr>
              <w:br w:type="textWrapping"/>
            </w:r>
            <w:r>
              <w:rPr>
                <w:rFonts w:hint="default"/>
              </w:rPr>
              <w:t>1.3研究</w:t>
            </w:r>
            <w:r>
              <w:rPr>
                <w:rFonts w:hint="eastAsia"/>
                <w:lang w:val="en-US" w:eastAsia="zh-CN"/>
              </w:rPr>
              <w:t>内容与方法</w:t>
            </w:r>
          </w:p>
          <w:p>
            <w:pPr>
              <w:ind w:left="1241" w:leftChars="217" w:hanging="720" w:hangingChars="300"/>
              <w:rPr>
                <w:lang w:eastAsia="zh-CN"/>
              </w:rPr>
            </w:pPr>
            <w:r>
              <w:rPr>
                <w:rFonts w:hint="default"/>
              </w:rPr>
              <w:t>第二章相关理论与技术基础</w:t>
            </w:r>
            <w:r>
              <w:rPr>
                <w:rFonts w:hint="default"/>
              </w:rPr>
              <w:br w:type="textWrapping"/>
            </w:r>
            <w:r>
              <w:rPr>
                <w:lang w:eastAsia="zh-CN"/>
              </w:rPr>
              <w:t>2.1设施选址</w:t>
            </w:r>
            <w:r>
              <w:rPr>
                <w:rFonts w:hint="eastAsia"/>
                <w:lang w:eastAsia="zh-CN"/>
              </w:rPr>
              <w:t>问题</w:t>
            </w:r>
            <w:r>
              <w:rPr>
                <w:lang w:eastAsia="zh-CN"/>
              </w:rPr>
              <w:br w:type="textWrapping"/>
            </w:r>
            <w:r>
              <w:rPr>
                <w:lang w:eastAsia="zh-CN"/>
              </w:rPr>
              <w:t>2.2地理信息系统（GIS）空间分析方法</w:t>
            </w:r>
            <w:r>
              <w:rPr>
                <w:lang w:eastAsia="zh-CN"/>
              </w:rPr>
              <w:br w:type="textWrapping"/>
            </w:r>
            <w:r>
              <w:rPr>
                <w:lang w:eastAsia="zh-CN"/>
              </w:rPr>
              <w:t>2.3空间数据挖掘与K-means聚类算法</w:t>
            </w:r>
          </w:p>
          <w:p>
            <w:pPr>
              <w:ind w:left="1241" w:leftChars="217" w:hanging="720" w:hangingChars="300"/>
              <w:rPr>
                <w:rFonts w:hint="default"/>
              </w:rPr>
            </w:pPr>
            <w:r>
              <w:rPr>
                <w:rFonts w:hint="default"/>
              </w:rPr>
              <w:t>第三章</w:t>
            </w:r>
            <w:r>
              <w:rPr>
                <w:rFonts w:hint="eastAsia"/>
                <w:lang w:eastAsia="zh-CN"/>
              </w:rPr>
              <w:t>P公司前置仓选址现状与问题分析</w:t>
            </w:r>
            <w:r>
              <w:rPr>
                <w:lang w:eastAsia="zh-CN"/>
              </w:rPr>
              <w:br w:type="textWrapping"/>
            </w:r>
            <w:r>
              <w:rPr>
                <w:lang w:eastAsia="zh-CN"/>
              </w:rPr>
              <w:t>3.1生鲜电商行业发展与前置仓模式现状</w:t>
            </w:r>
            <w:r>
              <w:rPr>
                <w:lang w:eastAsia="zh-CN"/>
              </w:rPr>
              <w:br w:type="textWrapping"/>
            </w:r>
            <w:r>
              <w:rPr>
                <w:lang w:eastAsia="zh-CN"/>
              </w:rPr>
              <w:t>3.2 P公司业务概况与前置仓布局现状</w:t>
            </w:r>
            <w:r>
              <w:rPr>
                <w:lang w:eastAsia="zh-CN"/>
              </w:rPr>
              <w:br w:type="textWrapping"/>
            </w:r>
            <w:r>
              <w:rPr>
                <w:lang w:eastAsia="zh-CN"/>
              </w:rPr>
              <w:t>3.3 P公司前置仓网络问题</w:t>
            </w:r>
            <w:r>
              <w:rPr>
                <w:rFonts w:hint="eastAsia"/>
                <w:lang w:eastAsia="zh-CN"/>
              </w:rPr>
              <w:t>及</w:t>
            </w:r>
            <w:r>
              <w:rPr>
                <w:lang w:eastAsia="zh-CN"/>
              </w:rPr>
              <w:t>诊断</w:t>
            </w:r>
          </w:p>
          <w:p>
            <w:pPr>
              <w:bidi w:val="0"/>
              <w:ind w:left="1241" w:leftChars="217" w:hanging="720" w:hangingChars="300"/>
              <w:rPr>
                <w:lang w:eastAsia="zh-CN"/>
              </w:rPr>
            </w:pPr>
            <w:r>
              <w:rPr>
                <w:rFonts w:hint="default"/>
              </w:rPr>
              <w:t>第四章</w:t>
            </w:r>
            <w:bookmarkStart w:id="0" w:name="OLE_LINK1"/>
            <w:r>
              <w:rPr>
                <w:rFonts w:hint="eastAsia"/>
                <w:lang w:eastAsia="zh-CN"/>
              </w:rPr>
              <w:t>P公司前置仓</w:t>
            </w:r>
            <w:bookmarkEnd w:id="0"/>
            <w:r>
              <w:rPr>
                <w:lang w:eastAsia="zh-CN"/>
              </w:rPr>
              <w:t>选址优化</w:t>
            </w:r>
            <w:r>
              <w:rPr>
                <w:rFonts w:hint="eastAsia"/>
                <w:lang w:eastAsia="zh-CN"/>
              </w:rPr>
              <w:t>的</w:t>
            </w:r>
            <w:r>
              <w:rPr>
                <w:lang w:eastAsia="zh-CN"/>
              </w:rPr>
              <w:t>系统分析与总体设计</w:t>
            </w:r>
          </w:p>
          <w:p>
            <w:pPr>
              <w:bidi w:val="0"/>
              <w:ind w:left="1241" w:leftChars="517" w:firstLine="0" w:firstLineChars="0"/>
              <w:rPr>
                <w:rFonts w:hint="default"/>
              </w:rPr>
            </w:pPr>
            <w:r>
              <w:rPr>
                <w:rFonts w:hint="default"/>
              </w:rPr>
              <w:t>4.1系统需求分析与决策支持目标</w:t>
            </w:r>
            <w:r>
              <w:rPr>
                <w:rFonts w:hint="default"/>
              </w:rPr>
              <w:br w:type="textWrapping"/>
            </w:r>
            <w:r>
              <w:rPr>
                <w:rFonts w:hint="default"/>
              </w:rPr>
              <w:t>4.2系统总体架构设计</w:t>
            </w:r>
            <w:r>
              <w:rPr>
                <w:rFonts w:hint="default"/>
              </w:rPr>
              <w:br w:type="textWrapping"/>
            </w:r>
            <w:r>
              <w:rPr>
                <w:rFonts w:hint="default"/>
              </w:rPr>
              <w:t>4.3核心优化流程设计</w:t>
            </w:r>
          </w:p>
          <w:p>
            <w:pPr>
              <w:ind w:left="1241" w:leftChars="217" w:hanging="720" w:hangingChars="300"/>
              <w:rPr>
                <w:lang w:eastAsia="zh-CN"/>
              </w:rPr>
            </w:pPr>
            <w:r>
              <w:rPr>
                <w:rFonts w:hint="default"/>
              </w:rPr>
              <w:t>第五章</w:t>
            </w:r>
            <w:bookmarkStart w:id="1" w:name="OLE_LINK2"/>
            <w:r>
              <w:rPr>
                <w:rFonts w:hint="eastAsia"/>
                <w:lang w:eastAsia="zh-CN"/>
              </w:rPr>
              <w:t>P公司前置仓选址</w:t>
            </w:r>
            <w:bookmarkEnd w:id="1"/>
            <w:r>
              <w:rPr>
                <w:lang w:eastAsia="zh-CN"/>
              </w:rPr>
              <w:t>优化模型</w:t>
            </w:r>
            <w:r>
              <w:rPr>
                <w:rFonts w:hint="eastAsia"/>
                <w:lang w:eastAsia="zh-CN"/>
              </w:rPr>
              <w:t>构建与算法设计</w:t>
            </w:r>
            <w:r>
              <w:rPr>
                <w:lang w:eastAsia="zh-CN"/>
              </w:rPr>
              <w:br w:type="textWrapping"/>
            </w:r>
            <w:r>
              <w:rPr>
                <w:lang w:eastAsia="zh-CN"/>
              </w:rPr>
              <w:t>5.1多源空间数据采集与预处理（POI、热力图）</w:t>
            </w:r>
            <w:r>
              <w:rPr>
                <w:lang w:eastAsia="zh-CN"/>
              </w:rPr>
              <w:br w:type="textWrapping"/>
            </w:r>
            <w:r>
              <w:rPr>
                <w:lang w:eastAsia="zh-CN"/>
              </w:rPr>
              <w:t>5.2基于K-means与热力图加权的需求点建模</w:t>
            </w:r>
            <w:r>
              <w:rPr>
                <w:lang w:eastAsia="zh-CN"/>
              </w:rPr>
              <w:br w:type="textWrapping"/>
            </w:r>
            <w:r>
              <w:rPr>
                <w:lang w:eastAsia="zh-CN"/>
              </w:rPr>
              <w:t>5.3基于最大覆盖模型的前置仓选址优化模型构建</w:t>
            </w:r>
          </w:p>
          <w:p>
            <w:pPr>
              <w:ind w:left="1241" w:leftChars="217" w:hanging="720" w:hangingChars="300"/>
              <w:rPr>
                <w:rFonts w:hint="eastAsia"/>
                <w:lang w:eastAsia="zh-CN"/>
              </w:rPr>
            </w:pPr>
            <w:r>
              <w:rPr>
                <w:rFonts w:hint="eastAsia"/>
                <w:lang w:eastAsia="zh-CN"/>
              </w:rPr>
              <w:t xml:space="preserve">           5.4 模型求解算法</w:t>
            </w:r>
          </w:p>
          <w:p>
            <w:pPr>
              <w:ind w:left="1241" w:leftChars="217" w:hanging="720" w:hangingChars="300"/>
              <w:rPr>
                <w:rFonts w:hint="default"/>
              </w:rPr>
            </w:pPr>
            <w:r>
              <w:rPr>
                <w:rFonts w:hint="default"/>
              </w:rPr>
              <w:t>第六章案例实证分析与优化建议</w:t>
            </w:r>
          </w:p>
          <w:p>
            <w:pPr>
              <w:ind w:left="1241" w:leftChars="517" w:firstLine="0" w:firstLineChars="0"/>
              <w:rPr>
                <w:rFonts w:hint="eastAsia"/>
                <w:lang w:eastAsia="zh-CN"/>
              </w:rPr>
            </w:pPr>
            <w:r>
              <w:rPr>
                <w:lang w:eastAsia="zh-CN"/>
              </w:rPr>
              <w:t>6.1</w:t>
            </w:r>
            <w:r>
              <w:rPr>
                <w:rFonts w:hint="eastAsia"/>
                <w:lang w:eastAsia="zh-CN"/>
              </w:rPr>
              <w:t xml:space="preserve"> 案例背景</w:t>
            </w:r>
          </w:p>
          <w:p>
            <w:pPr>
              <w:ind w:left="1241" w:leftChars="517" w:firstLine="0" w:firstLineChars="0"/>
              <w:rPr>
                <w:lang w:eastAsia="zh-CN"/>
              </w:rPr>
            </w:pPr>
            <w:r>
              <w:rPr>
                <w:rFonts w:hint="eastAsia"/>
                <w:lang w:eastAsia="zh-CN"/>
              </w:rPr>
              <w:t>6.2 算法参数设置、数据来源与处理</w:t>
            </w:r>
          </w:p>
          <w:p>
            <w:pPr>
              <w:ind w:firstLine="1200" w:firstLineChars="500"/>
              <w:rPr>
                <w:rFonts w:hint="eastAsia"/>
                <w:lang w:eastAsia="zh-CN"/>
              </w:rPr>
            </w:pPr>
            <w:r>
              <w:rPr>
                <w:rFonts w:hint="eastAsia"/>
                <w:lang w:eastAsia="zh-CN"/>
              </w:rPr>
              <w:t>6.3 P公司前置仓选址优化结果</w:t>
            </w:r>
          </w:p>
          <w:p>
            <w:pPr>
              <w:ind w:firstLine="1200" w:firstLineChars="500"/>
              <w:rPr>
                <w:lang w:eastAsia="zh-CN"/>
              </w:rPr>
            </w:pPr>
            <w:r>
              <w:rPr>
                <w:lang w:eastAsia="zh-CN"/>
              </w:rPr>
              <w:t>6.</w:t>
            </w:r>
            <w:r>
              <w:rPr>
                <w:rFonts w:hint="eastAsia"/>
                <w:lang w:eastAsia="zh-CN"/>
              </w:rPr>
              <w:t>4</w:t>
            </w:r>
            <w:r>
              <w:rPr>
                <w:lang w:eastAsia="zh-CN"/>
              </w:rPr>
              <w:t>优化前后对比分析：覆盖人口与服务盲区评估</w:t>
            </w:r>
          </w:p>
          <w:p>
            <w:pPr>
              <w:ind w:firstLine="1200" w:firstLineChars="500"/>
              <w:rPr>
                <w:lang w:eastAsia="zh-CN"/>
              </w:rPr>
            </w:pPr>
            <w:r>
              <w:rPr>
                <w:lang w:eastAsia="zh-CN"/>
              </w:rPr>
              <w:t>6.</w:t>
            </w:r>
            <w:r>
              <w:rPr>
                <w:rFonts w:hint="eastAsia"/>
                <w:lang w:eastAsia="zh-CN"/>
              </w:rPr>
              <w:t xml:space="preserve">5 </w:t>
            </w:r>
            <w:r>
              <w:rPr>
                <w:lang w:eastAsia="zh-CN"/>
              </w:rPr>
              <w:t>管理启示与选址策略建议</w:t>
            </w:r>
          </w:p>
          <w:p>
            <w:pPr>
              <w:bidi w:val="0"/>
              <w:ind w:left="1241" w:leftChars="217" w:hanging="720" w:hangingChars="300"/>
              <w:rPr>
                <w:rFonts w:hint="default"/>
              </w:rPr>
            </w:pPr>
            <w:r>
              <w:rPr>
                <w:rFonts w:hint="default"/>
              </w:rPr>
              <w:t>第七章结论与展望</w:t>
            </w:r>
            <w:r>
              <w:rPr>
                <w:rFonts w:hint="default"/>
              </w:rPr>
              <w:br w:type="textWrapping"/>
            </w:r>
            <w:r>
              <w:rPr>
                <w:rFonts w:hint="default"/>
              </w:rPr>
              <w:t>7.1研究成果总结</w:t>
            </w:r>
            <w:r>
              <w:rPr>
                <w:rFonts w:hint="default"/>
              </w:rPr>
              <w:br w:type="textWrapping"/>
            </w:r>
            <w:r>
              <w:rPr>
                <w:rFonts w:hint="default"/>
              </w:rPr>
              <w:t>7.2研究局限与未来展望</w:t>
            </w:r>
          </w:p>
          <w:p>
            <w:pPr>
              <w:bidi w:val="0"/>
            </w:pPr>
            <w:r>
              <w:t>结论与展望</w:t>
            </w:r>
          </w:p>
          <w:p>
            <w:pPr>
              <w:bidi w:val="0"/>
            </w:pPr>
            <w:r>
              <w:t>参考文献</w:t>
            </w:r>
          </w:p>
          <w:p>
            <w:pPr>
              <w:bidi w:val="0"/>
            </w:pPr>
            <w:r>
              <w:rPr>
                <w:rFonts w:hint="eastAsia"/>
                <w:lang w:val="en-US" w:eastAsia="zh-CN"/>
              </w:rPr>
              <w:t>附</w:t>
            </w:r>
            <w:r>
              <w:t>录</w:t>
            </w:r>
          </w:p>
          <w:p>
            <w:pPr>
              <w:bidi w:val="0"/>
              <w:rPr>
                <w:rFonts w:hint="default"/>
              </w:rPr>
            </w:pPr>
            <w:r>
              <w:t>致谢</w:t>
            </w:r>
          </w:p>
          <w:p>
            <w:pPr>
              <w:pStyle w:val="2"/>
              <w:numPr>
                <w:ilvl w:val="0"/>
                <w:numId w:val="1"/>
              </w:numPr>
              <w:bidi w:val="0"/>
            </w:pPr>
            <w:r>
              <w:t>研究方案及进度安排，预期达到的目标</w:t>
            </w:r>
          </w:p>
          <w:p>
            <w:pPr>
              <w:pStyle w:val="3"/>
              <w:bidi w:val="0"/>
              <w:rPr>
                <w:rFonts w:hint="default"/>
                <w:lang w:val="en-US" w:eastAsia="zh-CN"/>
              </w:rPr>
            </w:pPr>
            <w:r>
              <w:rPr>
                <w:rFonts w:hint="eastAsia"/>
                <w:lang w:val="en-US" w:eastAsia="zh-CN"/>
              </w:rPr>
              <w:t>1，研究方案</w:t>
            </w:r>
          </w:p>
          <w:p>
            <w:pPr>
              <w:pStyle w:val="7"/>
              <w:keepNext/>
              <w:keepLines w:val="0"/>
              <w:pageBreakBefore w:val="0"/>
              <w:widowControl/>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283" w:leftChars="118" w:right="0" w:firstLine="240" w:firstLineChars="100"/>
              <w:jc w:val="both"/>
              <w:textAlignment w:val="baseline"/>
              <w:rPr>
                <w:rStyle w:val="15"/>
                <w:rFonts w:hint="default"/>
              </w:rPr>
            </w:pPr>
            <w:r>
              <w:rPr>
                <w:rStyle w:val="15"/>
                <w:rFonts w:hint="default"/>
              </w:rPr>
              <w:t>（1）数据收集</w:t>
            </w:r>
          </w:p>
          <w:p>
            <w:pPr>
              <w:pStyle w:val="7"/>
              <w:keepNext/>
              <w:keepLines w:val="0"/>
              <w:pageBreakBefore w:val="0"/>
              <w:widowControl/>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283" w:leftChars="118" w:right="0" w:firstLine="480" w:firstLineChars="200"/>
              <w:jc w:val="both"/>
              <w:textAlignment w:val="baseline"/>
            </w:pPr>
            <w:r>
              <w:rPr>
                <w:rFonts w:hint="default"/>
              </w:rPr>
              <w:t>为保障研究的精确性与可靠性，将系统性地开展多源空间数据收集与预处理工作。核心数据包括：利用Bigemap软件，以“住宅区”为关键词获取研究区域内详尽的POI（兴趣点）数据，作为潜在客户分布的基底；获取同时段的城市互联网热力图数据，以反映不同区域的人口活跃度差异；收集P公司所有现有前置仓的精确地理坐标。此外，还需获取城市路网等基础地理信息数据。所有数据需进行清洗、坐标系统一与格式标准化，为后续分析奠定坚实基础。</w:t>
            </w:r>
          </w:p>
          <w:p>
            <w:pPr>
              <w:pStyle w:val="3"/>
              <w:numPr>
                <w:ilvl w:val="0"/>
                <w:numId w:val="2"/>
              </w:numPr>
              <w:bidi w:val="0"/>
              <w:rPr>
                <w:rFonts w:hint="default"/>
              </w:rPr>
            </w:pPr>
            <w:r>
              <w:rPr>
                <w:rFonts w:hint="default"/>
              </w:rPr>
              <w:t>条件分析</w:t>
            </w:r>
          </w:p>
          <w:p>
            <w:pPr>
              <w:bidi w:val="0"/>
              <w:rPr>
                <w:rFonts w:hint="default"/>
              </w:rPr>
            </w:pPr>
            <w:r>
              <w:rPr>
                <w:rFonts w:hint="default"/>
              </w:rPr>
              <w:t>在构建模型前，需对影响选址的核心条件与约束进行界定与分析。关键条件包括：前置仓的标准服务半径（如3公里），此参数直接决定单仓的覆盖能力；由企业战略决定的布局成本约束，如计划新增的仓点数量（如5个）；需求空间的表征方式，即如何将海量POI数据聚合为模型可处理的离散需求点，并确定其权重（如直接计数或引入热力图加权）。本阶段将明确这些边界条件，并初步分析不同服务半径、不同需求加权方式可能对优化目标产生的影响。</w:t>
            </w:r>
          </w:p>
          <w:p>
            <w:pPr>
              <w:pStyle w:val="7"/>
              <w:keepNext/>
              <w:keepLines w:val="0"/>
              <w:pageBreakBefore w:val="0"/>
              <w:widowControl/>
              <w:numPr>
                <w:ilvl w:val="0"/>
                <w:numId w:val="2"/>
              </w:numPr>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43" w:leftChars="18" w:right="0" w:firstLine="480" w:firstLineChars="200"/>
              <w:textAlignment w:val="baseline"/>
              <w:rPr>
                <w:rFonts w:hint="default"/>
              </w:rPr>
            </w:pPr>
            <w:r>
              <w:rPr>
                <w:rStyle w:val="15"/>
                <w:rFonts w:hint="default"/>
              </w:rPr>
              <w:t>模型构建</w:t>
            </w:r>
          </w:p>
          <w:p>
            <w:pPr>
              <w:pStyle w:val="7"/>
              <w:keepNext/>
              <w:keepLines w:val="0"/>
              <w:pageBreakBefore w:val="0"/>
              <w:widowControl/>
              <w:numPr>
                <w:ilvl w:val="0"/>
                <w:numId w:val="0"/>
              </w:numPr>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right="41" w:rightChars="17" w:firstLine="480" w:firstLineChars="200"/>
              <w:textAlignment w:val="baseline"/>
              <w:rPr>
                <w:rFonts w:hint="default"/>
              </w:rPr>
            </w:pPr>
            <w:r>
              <w:rPr>
                <w:rFonts w:hint="default"/>
              </w:rPr>
              <w:t>基于设施选址理论与GIS空间分析原理，提取前置仓选址优化问题的关键因素。这些因素主要包括：由住宅区POI数据经空间聚类后形成的需求点地理分布，以及由互联网热力图数据映射得到的需求点权重（用以表征不同区域的需求强度）；前置仓的固定服务半径（如3公里）作为核心能力约束；模型将明确优化目标为</w:t>
            </w:r>
            <w:r>
              <w:rPr>
                <w:rFonts w:hint="eastAsia"/>
                <w:lang w:eastAsia="zh-CN"/>
              </w:rPr>
              <w:t>：</w:t>
            </w:r>
            <w:r>
              <w:rPr>
                <w:rFonts w:hint="eastAsia"/>
                <w:lang w:val="en-US" w:eastAsia="zh-CN"/>
              </w:rPr>
              <w:t>在前置仓数量以及服务半径不变下</w:t>
            </w:r>
            <w:r>
              <w:rPr>
                <w:rFonts w:hint="default"/>
              </w:rPr>
              <w:t>，选址方案能覆盖的加权需求人口总和最大。</w:t>
            </w:r>
          </w:p>
          <w:p>
            <w:pPr>
              <w:pStyle w:val="7"/>
              <w:keepNext/>
              <w:keepLines w:val="0"/>
              <w:pageBreakBefore w:val="0"/>
              <w:widowControl/>
              <w:numPr>
                <w:ilvl w:val="0"/>
                <w:numId w:val="2"/>
              </w:numPr>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43" w:leftChars="18" w:right="0" w:firstLine="480" w:firstLineChars="200"/>
              <w:textAlignment w:val="baseline"/>
              <w:rPr>
                <w:rStyle w:val="15"/>
                <w:rFonts w:hint="default"/>
              </w:rPr>
            </w:pPr>
            <w:r>
              <w:rPr>
                <w:rStyle w:val="15"/>
                <w:rFonts w:hint="default"/>
              </w:rPr>
              <w:t>模型求</w:t>
            </w:r>
            <w:r>
              <w:rPr>
                <w:rStyle w:val="15"/>
                <w:rFonts w:hint="eastAsia"/>
                <w:lang w:val="en-US" w:eastAsia="zh-CN"/>
              </w:rPr>
              <w:t>解</w:t>
            </w:r>
          </w:p>
          <w:p>
            <w:pPr>
              <w:pStyle w:val="7"/>
              <w:keepNext/>
              <w:keepLines w:val="0"/>
              <w:pageBreakBefore w:val="0"/>
              <w:widowControl/>
              <w:numPr>
                <w:ilvl w:val="0"/>
                <w:numId w:val="0"/>
              </w:numPr>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right="41" w:rightChars="17" w:firstLine="480" w:firstLineChars="200"/>
              <w:textAlignment w:val="baseline"/>
              <w:rPr>
                <w:rFonts w:hint="default"/>
              </w:rPr>
            </w:pPr>
            <w:r>
              <w:rPr>
                <w:rFonts w:hint="default"/>
              </w:rPr>
              <w:t>运用适用于组合优化问题的智能算法对上述模型进行求解。求解过程将分两步实施：第一步是全局优化对比，即在保持设施点总数与P公司现状相同的条件下，重新求解最优选址方案，用于评估现有网络的优化潜力并与现状进行对比。第二步是增量布点优化，即固定所有现有仓点位置，以新增指定数量（如5个）前置仓为目标进行求解，得到最优的新增仓点坐标集合，为公司拓展计划提供直接方案。</w:t>
            </w:r>
          </w:p>
          <w:p>
            <w:pPr>
              <w:pStyle w:val="7"/>
              <w:keepNext/>
              <w:keepLines w:val="0"/>
              <w:pageBreakBefore w:val="0"/>
              <w:widowControl/>
              <w:numPr>
                <w:ilvl w:val="0"/>
                <w:numId w:val="2"/>
              </w:numPr>
              <w:suppressLineNumbers w:val="0"/>
              <w:shd w:val="clear" w:fill="FFFFFF"/>
              <w:kinsoku w:val="0"/>
              <w:wordWrap/>
              <w:overflowPunct/>
              <w:topLinePunct w:val="0"/>
              <w:autoSpaceDE w:val="0"/>
              <w:autoSpaceDN w:val="0"/>
              <w:bidi w:val="0"/>
              <w:adjustRightInd w:val="0"/>
              <w:snapToGrid w:val="0"/>
              <w:spacing w:before="240" w:beforeAutospacing="0" w:after="0" w:afterAutospacing="0" w:line="240" w:lineRule="auto"/>
              <w:ind w:left="43" w:leftChars="18" w:right="0" w:firstLine="480" w:firstLineChars="200"/>
              <w:textAlignment w:val="baseline"/>
              <w:rPr>
                <w:b/>
                <w:bCs/>
                <w:spacing w:val="-5"/>
              </w:rPr>
            </w:pPr>
            <w:r>
              <w:rPr>
                <w:rStyle w:val="15"/>
                <w:rFonts w:hint="default"/>
              </w:rPr>
              <w:t>验证与优化</w:t>
            </w:r>
            <w:r>
              <w:rPr>
                <w:rFonts w:hint="default" w:ascii="Segoe UI" w:hAnsi="Segoe UI" w:eastAsia="Segoe UI" w:cs="Segoe UI"/>
                <w:i w:val="0"/>
                <w:iCs w:val="0"/>
                <w:caps w:val="0"/>
                <w:color w:val="0F1115"/>
                <w:spacing w:val="0"/>
                <w:sz w:val="24"/>
                <w:szCs w:val="24"/>
                <w:shd w:val="clear" w:fill="FFFFFF"/>
              </w:rPr>
              <w:br w:type="textWrapping"/>
            </w:r>
            <w:r>
              <w:rPr>
                <w:rFonts w:hint="eastAsia" w:ascii="Segoe UI" w:hAnsi="Segoe UI" w:eastAsia="宋体" w:cs="Segoe UI"/>
                <w:i w:val="0"/>
                <w:iCs w:val="0"/>
                <w:caps w:val="0"/>
                <w:color w:val="0F1115"/>
                <w:spacing w:val="0"/>
                <w:sz w:val="24"/>
                <w:szCs w:val="24"/>
                <w:shd w:val="clear" w:fill="FFFFFF"/>
                <w:lang w:val="en-US" w:eastAsia="zh-CN"/>
              </w:rPr>
              <w:t xml:space="preserve">       </w:t>
            </w:r>
            <w:r>
              <w:rPr>
                <w:rFonts w:hint="default"/>
              </w:rPr>
              <w:t>对求解得到的选址方案进行多维度验证与效果评估。首先，利用GIS的空间叠加分析功能，可视化展示新方案相较于现状方案所扩大的服务覆盖范围。其次，定量计算并对比新旧方案在覆盖的加权总人口、覆盖的需求点数量等关键指标上的具体数值与提升百分比。最后，基于定量分析结果，总结优化方案的效能，并为P公司提出明确的网络调整与扩展的优先级建议，完成从理论模型到管理决策的转化。</w:t>
            </w:r>
          </w:p>
          <w:p>
            <w:pPr>
              <w:pStyle w:val="3"/>
              <w:bidi w:val="0"/>
            </w:pPr>
            <w:r>
              <w:t>2.进度安排</w:t>
            </w:r>
          </w:p>
          <w:p>
            <w:pPr>
              <w:bidi w:val="0"/>
            </w:pPr>
            <w:r>
              <w:t>（一）2024.10.08——2024.11.20选择、确定选题方向；</w:t>
            </w:r>
          </w:p>
          <w:p>
            <w:pPr>
              <w:bidi w:val="0"/>
            </w:pPr>
            <w:r>
              <w:t>（二）2024.11.21——2024.12.03搜集论文参考资料，拟定、修改论文大纲；</w:t>
            </w:r>
          </w:p>
          <w:p>
            <w:pPr>
              <w:bidi w:val="0"/>
            </w:pPr>
            <w:r>
              <w:t>（三）2024.12.04——2024.12.17撰写、修改、确定并提交论文开题报告；</w:t>
            </w:r>
          </w:p>
          <w:p>
            <w:pPr>
              <w:bidi w:val="0"/>
            </w:pPr>
            <w:r>
              <w:t>（四）2024.12.18——2025.04.13撰写、修改论文正文；</w:t>
            </w:r>
          </w:p>
          <w:p>
            <w:pPr>
              <w:bidi w:val="0"/>
            </w:pPr>
            <w:r>
              <w:t>（五）2025.04.14——2025.04.20论文中期检查；</w:t>
            </w:r>
          </w:p>
          <w:p>
            <w:pPr>
              <w:bidi w:val="0"/>
            </w:pPr>
            <w:r>
              <w:t>（六）2025.04.14——2025.05.18修改、确定论文正文；</w:t>
            </w:r>
          </w:p>
          <w:p>
            <w:pPr>
              <w:bidi w:val="0"/>
            </w:pPr>
            <w:r>
              <w:t>（七）2025.05.24——2025.06.01参加答辩，最终定稿。</w:t>
            </w:r>
          </w:p>
          <w:p>
            <w:pPr>
              <w:pStyle w:val="3"/>
              <w:bidi w:val="0"/>
            </w:pPr>
            <w:r>
              <w:t>3.预期目标</w:t>
            </w:r>
          </w:p>
          <w:p>
            <w:pPr>
              <w:bidi w:val="0"/>
            </w:pPr>
            <w:r>
              <w:t>本研究旨在为P公司构建一套数据驱动的前置仓选址优化方案。核心思路是融合多源地理空间数据，精确量化城市需求分布，并运用空间优化模型，在既定约束下生成能使服务人口覆盖最大化的选址方案。</w:t>
            </w:r>
          </w:p>
          <w:p>
            <w:pPr>
              <w:pStyle w:val="2"/>
              <w:bidi w:val="0"/>
            </w:pPr>
            <w:r>
              <w:t>五、为完成课题已具备和所需的条件</w:t>
            </w:r>
          </w:p>
          <w:p>
            <w:pPr>
              <w:bidi w:val="0"/>
              <w:ind w:left="521" w:leftChars="217" w:firstLine="0" w:firstLineChars="0"/>
              <w:rPr>
                <w:rStyle w:val="15"/>
                <w:rFonts w:hint="default"/>
              </w:rPr>
            </w:pPr>
            <w:r>
              <w:rPr>
                <w:rStyle w:val="15"/>
                <w:rFonts w:hint="default"/>
              </w:rPr>
              <w:t>（一）数据与背景支持</w:t>
            </w:r>
          </w:p>
          <w:p>
            <w:pPr>
              <w:bidi w:val="0"/>
            </w:pPr>
            <w:r>
              <w:rPr>
                <w:rFonts w:hint="default"/>
              </w:rPr>
              <w:t>已具备的条件：已通过公开渠道及合作意向，初步获得P公司在福州市的前置仓位置信息，掌握了其现有网络布局的基础地理数据，为评估现状提供了核心输入。</w:t>
            </w:r>
            <w:r>
              <w:rPr>
                <w:rFonts w:hint="default"/>
              </w:rPr>
              <w:br w:type="textWrapping"/>
            </w:r>
            <w:r>
              <w:rPr>
                <w:rFonts w:hint="default"/>
              </w:rPr>
              <w:t>尚需准备的条件：</w:t>
            </w:r>
          </w:p>
          <w:p>
            <w:pPr>
              <w:bidi w:val="0"/>
            </w:pPr>
            <w:r>
              <w:rPr>
                <w:rFonts w:hint="eastAsia"/>
                <w:lang w:val="en-US" w:eastAsia="zh-CN"/>
              </w:rPr>
              <w:t>1.</w:t>
            </w:r>
            <w:r>
              <w:rPr>
                <w:rFonts w:hint="default"/>
              </w:rPr>
              <w:t>福州市POI数据：需完成Bigemap软件的正式授权与采购，并以其为工具，采集福州市全域，特别是主城区的详细“住宅区”POI数据。</w:t>
            </w:r>
          </w:p>
          <w:p>
            <w:pPr>
              <w:bidi w:val="0"/>
            </w:pPr>
            <w:r>
              <w:rPr>
                <w:rFonts w:hint="eastAsia"/>
                <w:lang w:val="en-US" w:eastAsia="zh-CN"/>
              </w:rPr>
              <w:t>2.</w:t>
            </w:r>
            <w:r>
              <w:rPr>
                <w:rFonts w:hint="default"/>
              </w:rPr>
              <w:t>福州市热力图数据：需明确并接入能够提供福州市实时或历史人口热力分布的第三方数据平台（如百度慧眼、腾讯位置大数据等），获取与研究时段匹配的栅格或矢量热力图数据。</w:t>
            </w:r>
          </w:p>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pPr>
          </w:p>
          <w:p>
            <w:pPr>
              <w:numPr>
                <w:ilvl w:val="0"/>
                <w:numId w:val="3"/>
              </w:numPr>
              <w:bidi w:val="0"/>
              <w:rPr>
                <w:rStyle w:val="15"/>
                <w:rFonts w:hint="default"/>
              </w:rPr>
            </w:pPr>
            <w:r>
              <w:rPr>
                <w:rStyle w:val="15"/>
                <w:rFonts w:hint="default"/>
              </w:rPr>
              <w:t>理论与技术储备</w:t>
            </w:r>
          </w:p>
          <w:p>
            <w:pPr>
              <w:numPr>
                <w:ilvl w:val="0"/>
                <w:numId w:val="0"/>
              </w:numPr>
              <w:bidi w:val="0"/>
              <w:ind w:right="41" w:rightChars="17" w:firstLine="480" w:firstLineChars="200"/>
            </w:pPr>
            <w:r>
              <w:rPr>
                <w:rFonts w:hint="default"/>
              </w:rPr>
              <w:t>已具备的条件：已掌握设施选址理论中的“最大覆盖模型”核心思想，并对K-means空间聚类算法、GIS基本空间分析功能（如缓冲区分析）完成了前期文献调研与原理学习，具备了开展研究的理论基础。</w:t>
            </w:r>
            <w:r>
              <w:rPr>
                <w:rFonts w:hint="default"/>
              </w:rPr>
              <w:br w:type="textWrapping"/>
            </w:r>
            <w:r>
              <w:rPr>
                <w:rFonts w:hint="default"/>
              </w:rPr>
              <w:t>尚需准备的条件：</w:t>
            </w:r>
          </w:p>
          <w:p>
            <w:pPr>
              <w:bidi w:val="0"/>
            </w:pPr>
            <w:r>
              <w:rPr>
                <w:rFonts w:hint="eastAsia"/>
                <w:lang w:val="en-US" w:eastAsia="zh-CN"/>
              </w:rPr>
              <w:t>1.</w:t>
            </w:r>
            <w:r>
              <w:rPr>
                <w:rFonts w:hint="default"/>
              </w:rPr>
              <w:t>GIS软件实操能力：需系统学习ArcGIS或QGIS等专业GIS软件的操作，特别是涉及数据导入、坐标转换、空间连接、专题制图等完成本研究所必需的核心技能。</w:t>
            </w:r>
          </w:p>
          <w:p>
            <w:pPr>
              <w:bidi w:val="0"/>
            </w:pPr>
            <w:r>
              <w:rPr>
                <w:rFonts w:hint="eastAsia"/>
                <w:lang w:val="en-US" w:eastAsia="zh-CN"/>
              </w:rPr>
              <w:t>2.</w:t>
            </w:r>
            <w:r>
              <w:rPr>
                <w:rFonts w:hint="default"/>
              </w:rPr>
              <w:t>热力值赋值算法：需深入设计并验证将“热力图数据”关联并赋权给“POI聚类结果”的具体算法流程，确定加权计算规则，这是实现需求空间精细刻画的技术关键。</w:t>
            </w:r>
          </w:p>
          <w:p>
            <w:pPr>
              <w:pStyle w:val="2"/>
              <w:bidi w:val="0"/>
            </w:pPr>
            <w:r>
              <w:t>六、预计研究过程中可能遇到的困难和问题，以及解决的措施</w:t>
            </w:r>
          </w:p>
          <w:p>
            <w:pPr>
              <w:pStyle w:val="7"/>
              <w:keepNext/>
              <w:keepLines w:val="0"/>
              <w:pageBreakBefore w:val="0"/>
              <w:widowControl/>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0" w:right="0" w:firstLine="0"/>
              <w:textAlignment w:val="baseline"/>
            </w:pPr>
            <w:r>
              <w:rPr>
                <w:rStyle w:val="15"/>
                <w:rFonts w:hint="default"/>
              </w:rPr>
              <w:t>1.困难和问题</w:t>
            </w:r>
            <w:r>
              <w:rPr>
                <w:rFonts w:hint="default" w:ascii="Segoe UI" w:hAnsi="Segoe UI" w:eastAsia="Segoe UI" w:cs="Segoe UI"/>
                <w:i w:val="0"/>
                <w:iCs w:val="0"/>
                <w:caps w:val="0"/>
                <w:color w:val="0F1115"/>
                <w:spacing w:val="0"/>
                <w:sz w:val="24"/>
                <w:szCs w:val="24"/>
                <w:shd w:val="clear" w:fill="FFFFFF"/>
              </w:rPr>
              <w:br w:type="textWrapping"/>
            </w:r>
            <w:r>
              <w:rPr>
                <w:rFonts w:hint="default"/>
              </w:rPr>
              <w:t>（1）在GIS空间分析、设施选址模型及智能算法应用于商业物流领域的交叉文献阅读和积累尚显不足，部分前沿或专业性较强的外文文献查找困难。</w:t>
            </w:r>
            <w:r>
              <w:rPr>
                <w:rFonts w:hint="default"/>
              </w:rPr>
              <w:br w:type="textWrapping"/>
            </w:r>
            <w:r>
              <w:rPr>
                <w:rFonts w:hint="default"/>
              </w:rPr>
              <w:t>（2）研究涉及多源空间数据（POI、热力图）的融合处理，技术流程复杂，包括热力值赋权算法设计、K-means聚类参数确定以及GIS建模分析等环节，在具体实现上可能遇到技术瓶颈。</w:t>
            </w:r>
            <w:r>
              <w:rPr>
                <w:rFonts w:hint="default"/>
              </w:rPr>
              <w:br w:type="textWrapping"/>
            </w:r>
            <w:r>
              <w:rPr>
                <w:rFonts w:hint="default"/>
              </w:rPr>
              <w:t>（3）研究所需的P公司商业数据（如精确的仓容、成本结构）可能无法完整获取，且部分关键数据（如热力图）来自公开平台，其精确度和时效性可能存在局限，影响模型输入的准确性。</w:t>
            </w:r>
          </w:p>
          <w:p>
            <w:pPr>
              <w:pStyle w:val="7"/>
              <w:keepNext/>
              <w:keepLines w:val="0"/>
              <w:pageBreakBefore w:val="0"/>
              <w:widowControl/>
              <w:suppressLineNumbers w:val="0"/>
              <w:shd w:val="clear" w:fill="FFFFFF"/>
              <w:kinsoku w:val="0"/>
              <w:wordWrap/>
              <w:overflowPunct/>
              <w:topLinePunct w:val="0"/>
              <w:autoSpaceDE w:val="0"/>
              <w:autoSpaceDN w:val="0"/>
              <w:bidi w:val="0"/>
              <w:adjustRightInd w:val="0"/>
              <w:snapToGrid w:val="0"/>
              <w:spacing w:before="240" w:beforeAutospacing="0" w:after="240" w:afterAutospacing="0" w:line="240" w:lineRule="auto"/>
              <w:ind w:left="0" w:right="0" w:firstLine="0"/>
              <w:textAlignment w:val="baseline"/>
              <w:rPr>
                <w:rFonts w:hint="default"/>
              </w:rPr>
            </w:pPr>
            <w:r>
              <w:rPr>
                <w:rStyle w:val="15"/>
                <w:rFonts w:hint="default"/>
              </w:rPr>
              <w:t>2.解决措施</w:t>
            </w:r>
            <w:r>
              <w:rPr>
                <w:rStyle w:val="15"/>
                <w:rFonts w:hint="default"/>
              </w:rPr>
              <w:br w:type="textWrapping"/>
            </w:r>
            <w:r>
              <w:rPr>
                <w:rFonts w:hint="default"/>
              </w:rPr>
              <w:t>（1）系统学习文献检索方法，利用学校图书馆的数据库资源及文献传递服务重点攻关；同时，向导师及研究方向相近的同学请教，获取高质量的经典文献与前沿研究推荐。</w:t>
            </w:r>
            <w:r>
              <w:rPr>
                <w:rFonts w:hint="default"/>
              </w:rPr>
              <w:br w:type="textWrapping"/>
            </w:r>
            <w:r>
              <w:rPr>
                <w:rFonts w:hint="default"/>
              </w:rPr>
              <w:t>（2）针对技术实现难点，采取“分步验证、工具结合”的策略：首先利用Python的</w:t>
            </w:r>
            <w:r>
              <w:t>scikit-learn</w:t>
            </w:r>
            <w:r>
              <w:rPr>
                <w:rFonts w:hint="default"/>
              </w:rPr>
              <w:t>库独立验证聚类与赋权算法的核心逻辑；随后，借助ArcGIS或QGIS软件强大的可视化与空间分析工具完成地理处理与建模，确保流程正确。</w:t>
            </w:r>
            <w:r>
              <w:rPr>
                <w:rFonts w:hint="default"/>
              </w:rPr>
              <w:br w:type="textWrapping"/>
            </w:r>
            <w:r>
              <w:rPr>
                <w:rFonts w:hint="default"/>
              </w:rPr>
              <w:t>（3）对于缺失的商业数据，将基于行业报告、公开案例进行合理估算与假设，并在论文中明确说明；对于公开平台数据，将通过多时段对比、与其他来源数据交叉验证等方式评估其稳定性，并分析其对研究结论可能的影响。</w:t>
            </w:r>
            <w:r>
              <w:rPr>
                <w:rFonts w:hint="default"/>
              </w:rPr>
              <w:br w:type="textWrapping"/>
            </w:r>
            <w:r>
              <w:rPr>
                <w:rFonts w:hint="default"/>
              </w:rPr>
              <w:t>（4）在研究全程，特别是技术路线确定、模型构建与结果分析等关键阶段，保持与指导老师的主动、定期沟通，积极向有GIS或数据分析经验的同学请教，确保研究方向正确、方法可行。</w:t>
            </w:r>
          </w:p>
          <w:p>
            <w:pPr>
              <w:pStyle w:val="2"/>
              <w:bidi w:val="0"/>
            </w:pPr>
            <w:r>
              <w:t>七、主要参考文献</w:t>
            </w:r>
          </w:p>
          <w:p>
            <w:pPr>
              <w:rPr>
                <w:rFonts w:hint="eastAsia"/>
              </w:rPr>
            </w:pPr>
            <w:r>
              <w:rPr>
                <w:rFonts w:hint="eastAsia"/>
              </w:rPr>
              <w:t>[1]Shahbazi A O ,Gholamreza H . An Integrated BIM-GIS Framework for Building Quality Assessment Based on Price Estimation: Evaluating Design and Location Factors[J].Journal of Construction Engineering and Management,2026,152(4):DOI:10.1061/JCEMD4.COENG-16875.</w:t>
            </w:r>
          </w:p>
          <w:p>
            <w:pPr>
              <w:rPr>
                <w:rFonts w:hint="eastAsia"/>
              </w:rPr>
            </w:pPr>
            <w:r>
              <w:rPr>
                <w:rFonts w:hint="eastAsia"/>
              </w:rPr>
              <w:t>[2]Bansal K V .GIS and BIM in Infrastructure Projects:An Introduction to Applications Across the Lifecycle[M].CRC Press:2026-02-03:</w:t>
            </w:r>
          </w:p>
          <w:p>
            <w:pPr>
              <w:rPr>
                <w:rFonts w:hint="eastAsia"/>
              </w:rPr>
            </w:pPr>
            <w:r>
              <w:rPr>
                <w:rFonts w:hint="eastAsia"/>
              </w:rPr>
              <w:t>[3]Kanannejad Z ,Taylor R W ,Nikaein K , et al. Active Pediatric Systemic Lupus Erythematosus in Fars Province, Iran: Associations With Geographical and Meteorological Determinants-A Retrospective Cross‑Sectional Study.[J].Health science reports,2026,9(2):e71755.DOI:10.1002/HSR2.71755.</w:t>
            </w:r>
          </w:p>
          <w:p>
            <w:pPr>
              <w:rPr>
                <w:rFonts w:hint="eastAsia"/>
              </w:rPr>
            </w:pPr>
            <w:r>
              <w:rPr>
                <w:rFonts w:hint="eastAsia"/>
              </w:rPr>
              <w:t>[4]Jiang K ,Shen C ,Tang X , et al. SF6 gas leakage identification system for GIS equipment based on infrared imaging image enhancement[J].Engineering Research Express,2026,8(3):035303-035303.DOI:10.1088/2631-8695/AE3435.</w:t>
            </w:r>
          </w:p>
          <w:p>
            <w:pPr>
              <w:rPr>
                <w:rFonts w:hint="eastAsia"/>
              </w:rPr>
            </w:pPr>
            <w:r>
              <w:rPr>
                <w:rFonts w:hint="eastAsia"/>
              </w:rPr>
              <w:t>[5]Wang Y C ,Ren Z C ,Feng J J , et al. Dual-atom engineering and alloying strategies to trigger multi-site synergies for boosting oxygen reduction and Zn-air battery[J].Journal of Energy Storage,2026,152(PB):120687-120687.DOI:10.1016/J.EST.2026.120687.</w:t>
            </w:r>
          </w:p>
          <w:p>
            <w:pPr>
              <w:rPr>
                <w:rFonts w:hint="eastAsia"/>
              </w:rPr>
            </w:pPr>
            <w:r>
              <w:rPr>
                <w:rFonts w:hint="eastAsia"/>
              </w:rPr>
              <w:t>[6]王林. 大数据时代生鲜农产品电商物流现状与优化路径[J].食品与机械,2026,42(01):252.</w:t>
            </w:r>
          </w:p>
          <w:p>
            <w:pPr>
              <w:rPr>
                <w:rFonts w:hint="eastAsia"/>
              </w:rPr>
            </w:pPr>
            <w:r>
              <w:rPr>
                <w:rFonts w:hint="eastAsia"/>
              </w:rPr>
              <w:t>[7]杜俊威. 数字技术赋能生鲜电商供应链物流优化策略研究[J].全国流通经济,2025,(21):17-20.DOI:10.16834/j.cnki.issn1009-5292.2025.21.007.</w:t>
            </w:r>
          </w:p>
          <w:p>
            <w:pPr>
              <w:rPr>
                <w:rFonts w:hint="eastAsia"/>
              </w:rPr>
            </w:pPr>
            <w:r>
              <w:rPr>
                <w:rFonts w:hint="eastAsia"/>
              </w:rPr>
              <w:t xml:space="preserve">[8]高潮志.仓店一体模式下B生鲜电商服务点选址研究[D].西安理工大学,2025.DOI:10.27398/d.cnki.gxalu.2025.000719. </w:t>
            </w:r>
          </w:p>
          <w:p>
            <w:pPr>
              <w:rPr>
                <w:rFonts w:hint="eastAsia"/>
              </w:rPr>
            </w:pPr>
            <w:r>
              <w:rPr>
                <w:rFonts w:hint="eastAsia"/>
              </w:rPr>
              <w:t xml:space="preserve">[9]刘子程.S公司生鲜电商前置仓选址及路径规划研究[D].大连交通大学,2025.DOI:10.26990/d.cnki.gsltc.2025.000601. </w:t>
            </w:r>
          </w:p>
          <w:p>
            <w:pPr>
              <w:rPr>
                <w:rFonts w:hint="eastAsia"/>
              </w:rPr>
            </w:pPr>
            <w:r>
              <w:rPr>
                <w:rFonts w:hint="eastAsia"/>
              </w:rPr>
              <w:t xml:space="preserve">[10]刘晨昂.考虑消费者满意度的生鲜电商物流服务质量评价研究[D].大连交通大学,2025.DOI:10.26990/d.cnki.gsltc.2025.000941. </w:t>
            </w:r>
          </w:p>
          <w:p>
            <w:pPr>
              <w:rPr>
                <w:rFonts w:hint="eastAsia"/>
              </w:rPr>
            </w:pPr>
            <w:r>
              <w:rPr>
                <w:rFonts w:hint="eastAsia"/>
              </w:rPr>
              <w:t xml:space="preserve">[11]隋晓琪.H公司生鲜电商末端配送物流服务质量评价研究[D].大连交通大学,2025.DOI:10.26990/d.cnki.gsltc.2025.000981. </w:t>
            </w:r>
          </w:p>
          <w:p>
            <w:pPr>
              <w:rPr>
                <w:rFonts w:hint="eastAsia"/>
              </w:rPr>
            </w:pPr>
            <w:r>
              <w:rPr>
                <w:rFonts w:hint="eastAsia"/>
              </w:rPr>
              <w:t xml:space="preserve">[12]黄亦远.基于在线评论的生鲜电商平台冷链物流服务质量评价研究[D].江南大学,2025.DOI:10.27169/d.cnki.gwqgu.2025.000258. </w:t>
            </w:r>
          </w:p>
          <w:p>
            <w:pPr>
              <w:rPr>
                <w:rFonts w:hint="eastAsia"/>
              </w:rPr>
            </w:pPr>
            <w:r>
              <w:rPr>
                <w:rFonts w:hint="eastAsia"/>
              </w:rPr>
              <w:t xml:space="preserve">[13]徐贝.D生鲜电商企业面向武汉市的前置仓选址研究[D].中南林业科技大学,2025.DOI:10.27662/d.cnki.gznlc.2025.001560. </w:t>
            </w:r>
          </w:p>
          <w:p>
            <w:pPr>
              <w:rPr>
                <w:rFonts w:hint="eastAsia"/>
              </w:rPr>
            </w:pPr>
            <w:r>
              <w:rPr>
                <w:rFonts w:hint="eastAsia"/>
              </w:rPr>
              <w:t xml:space="preserve">[14]邹诗涵.生鲜电商冷链物流前置仓选址和路径优化问题研究[D].沈阳工业大学,2024.DOI:10.27322/d.cnki.gsgyu.2024.001979. </w:t>
            </w:r>
          </w:p>
          <w:p>
            <w:pPr>
              <w:rPr>
                <w:rFonts w:hint="eastAsia"/>
              </w:rPr>
            </w:pPr>
            <w:r>
              <w:rPr>
                <w:rFonts w:hint="eastAsia"/>
              </w:rPr>
              <w:t>[15]任佳玲,王晓宇,袁媛. 基于GIS-AHP的物流配送中心选址研究[J].太原学院学报(自然科学版),2024,42(03):78-84.DOI:10.14152/j.cnki.2096-191X.2024.03.013.</w:t>
            </w:r>
          </w:p>
          <w:p>
            <w:pPr>
              <w:rPr>
                <w:rFonts w:hint="eastAsia"/>
              </w:rPr>
            </w:pPr>
            <w:r>
              <w:rPr>
                <w:rFonts w:hint="eastAsia"/>
              </w:rPr>
              <w:t xml:space="preserve">[16]边畅.基于GIS&amp;amp;TOPSIS的包头市公共充电桩选址研究[D].内蒙古科技大学,2024.DOI:10.27724/d.cnki.gnmgk.2024.000077. </w:t>
            </w:r>
          </w:p>
          <w:p>
            <w:pPr>
              <w:rPr>
                <w:rFonts w:hint="eastAsia"/>
              </w:rPr>
            </w:pPr>
            <w:r>
              <w:rPr>
                <w:rFonts w:hint="eastAsia"/>
              </w:rPr>
              <w:t xml:space="preserve">[17]黄晓辉.基于GIS与熵权-AHP组合赋权的医院选址研究[D].江西理工大学,2024.DOI:10.27176/d.cnki.gnfyc.2024.000454. </w:t>
            </w:r>
          </w:p>
          <w:p>
            <w:pPr>
              <w:rPr>
                <w:rFonts w:hint="eastAsia"/>
              </w:rPr>
            </w:pPr>
            <w:r>
              <w:rPr>
                <w:rFonts w:hint="eastAsia"/>
              </w:rPr>
              <w:t>[18]王春生,林润鹏,张良卫,等. 基于生鲜电商末端履约模式的前置仓选址优化研究[J].中国储运,2024,(05):175-176.DOI:10.16301/j.cnki.cn12-1204/f.2024.05.131.</w:t>
            </w:r>
          </w:p>
          <w:p>
            <w:pPr>
              <w:rPr>
                <w:rFonts w:hint="eastAsia"/>
              </w:rPr>
            </w:pPr>
            <w:r>
              <w:rPr>
                <w:rFonts w:hint="eastAsia"/>
              </w:rPr>
              <w:t xml:space="preserve">[19]钟健.面向生鲜电商农产品物流的运输及配送效益优化研究[D].重庆大学,2023.DOI:10.27670/d.cnki.gcqdu.2023.002854. </w:t>
            </w:r>
          </w:p>
          <w:p>
            <w:pPr>
              <w:rPr>
                <w:rFonts w:hint="eastAsia"/>
              </w:rPr>
            </w:pPr>
            <w:r>
              <w:rPr>
                <w:rFonts w:hint="eastAsia"/>
              </w:rPr>
              <w:t xml:space="preserve">[20]古红霞.考虑客户满意度的生鲜电商前置仓选址及路径规划[D].福建工程学院,2023.DOI:10.27865/d.cnki.gfgxy.2023.000086. </w:t>
            </w:r>
          </w:p>
          <w:p>
            <w:pPr>
              <w:rPr>
                <w:rFonts w:hint="eastAsia"/>
              </w:rPr>
            </w:pPr>
            <w:r>
              <w:rPr>
                <w:rFonts w:hint="eastAsia"/>
              </w:rPr>
              <w:t>[21]毕会娜,孟佳林,李春阳. 生鲜电商新零售模式应用及其提升路径[J].商业经济研究,2021,(22):101-104.</w:t>
            </w:r>
          </w:p>
          <w:p>
            <w:pPr>
              <w:rPr>
                <w:rFonts w:hint="eastAsia"/>
              </w:rPr>
            </w:pPr>
            <w:r>
              <w:rPr>
                <w:rFonts w:hint="eastAsia"/>
              </w:rPr>
              <w:t>[22]刘柳. 基于波特五力模型的生鲜电商行业现状分析与策略——以“盒马鲜生”为例[J].安阳师范学院学报,2021,(05):142-147.DOI:10.16140/j.cnki.1671-5330.2021.05.031.</w:t>
            </w:r>
          </w:p>
          <w:p>
            <w:pPr>
              <w:rPr>
                <w:rFonts w:hint="eastAsia"/>
              </w:rPr>
            </w:pPr>
            <w:r>
              <w:rPr>
                <w:rFonts w:hint="eastAsia"/>
              </w:rPr>
              <w:t>[23]昝梦莹,陈光,王征兵. 我国生鲜电商发展历程、现实困境与应对策略[J].经济问题,2020,(12):68-74.DOI:10.16011/j.cnki.jjwt.2020.12.009.</w:t>
            </w:r>
          </w:p>
          <w:p>
            <w:pPr>
              <w:rPr>
                <w:rFonts w:hint="eastAsia"/>
              </w:rPr>
            </w:pPr>
            <w:r>
              <w:rPr>
                <w:rFonts w:hint="eastAsia"/>
              </w:rPr>
              <w:t xml:space="preserve">[24]盛虎宜.生鲜电商物流配送的车辆路径问题研究[D].电子科技大学,2019. </w:t>
            </w:r>
          </w:p>
          <w:p>
            <w:pPr>
              <w:rPr>
                <w:rFonts w:hint="eastAsia"/>
              </w:rPr>
            </w:pPr>
            <w:r>
              <w:rPr>
                <w:rFonts w:hint="eastAsia"/>
              </w:rPr>
              <w:t>[25]邢惠淳. “新零售”背景下生鲜电商商业模式比较分析——以盒马鲜生和每日优鲜为例[J].商业经济研究,2019,(04):85-87.</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tbl>
            <w:tblPr>
              <w:tblStyle w:val="12"/>
              <w:tblW w:w="9165" w:type="dxa"/>
              <w:tblInd w:w="-4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51"/>
              <w:gridCol w:w="2618"/>
              <w:gridCol w:w="1256"/>
              <w:gridCol w:w="344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1835" w:hRule="atLeast"/>
              </w:trPr>
              <w:tc>
                <w:tcPr>
                  <w:tcW w:w="9165" w:type="dxa"/>
                  <w:gridSpan w:val="4"/>
                  <w:tcBorders>
                    <w:left w:val="single" w:color="000000" w:sz="10" w:space="0"/>
                    <w:right w:val="single" w:color="000000" w:sz="10"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56" w:line="240" w:lineRule="auto"/>
                    <w:ind w:left="110"/>
                    <w:textAlignment w:val="baseline"/>
                  </w:pPr>
                  <w:r>
                    <w:rPr>
                      <w:spacing w:val="-2"/>
                    </w:rPr>
                    <w:t>指导教师评语：</w:t>
                  </w:r>
                </w:p>
                <w:p>
                  <w:pPr>
                    <w:pStyle w:val="13"/>
                    <w:keepNext/>
                    <w:keepLines w:val="0"/>
                    <w:pageBreakBefore w:val="0"/>
                    <w:widowControl/>
                    <w:kinsoku w:val="0"/>
                    <w:wordWrap/>
                    <w:overflowPunct/>
                    <w:topLinePunct w:val="0"/>
                    <w:autoSpaceDE w:val="0"/>
                    <w:autoSpaceDN w:val="0"/>
                    <w:bidi w:val="0"/>
                    <w:adjustRightInd w:val="0"/>
                    <w:snapToGrid w:val="0"/>
                    <w:spacing w:before="26" w:line="240" w:lineRule="auto"/>
                    <w:ind w:left="107" w:right="96" w:firstLine="480"/>
                    <w:jc w:val="both"/>
                    <w:textAlignment w:val="baseline"/>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753" w:hRule="atLeast"/>
              </w:trPr>
              <w:tc>
                <w:tcPr>
                  <w:tcW w:w="1851" w:type="dxa"/>
                  <w:tcBorders>
                    <w:left w:val="single" w:color="000000" w:sz="10" w:space="0"/>
                    <w:bottom w:val="single" w:color="000000" w:sz="10"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282" w:line="240" w:lineRule="auto"/>
                    <w:ind w:left="262"/>
                    <w:textAlignment w:val="baseline"/>
                    <w:rPr>
                      <w:sz w:val="20"/>
                      <w:szCs w:val="20"/>
                    </w:rPr>
                  </w:pPr>
                  <w:r>
                    <w:rPr>
                      <w:b/>
                      <w:bCs/>
                      <w:spacing w:val="6"/>
                      <w:sz w:val="20"/>
                      <w:szCs w:val="20"/>
                    </w:rPr>
                    <w:t>指导教师签字</w:t>
                  </w:r>
                </w:p>
              </w:tc>
              <w:tc>
                <w:tcPr>
                  <w:tcW w:w="2618" w:type="dxa"/>
                  <w:tcBorders>
                    <w:bottom w:val="single" w:color="000000" w:sz="10" w:space="0"/>
                  </w:tcBorders>
                  <w:vAlign w:val="top"/>
                </w:tcPr>
                <w:p>
                  <w:pPr>
                    <w:keepNext/>
                    <w:keepLines w:val="0"/>
                    <w:pageBreakBefore w:val="0"/>
                    <w:widowControl/>
                    <w:kinsoku w:val="0"/>
                    <w:wordWrap/>
                    <w:overflowPunct/>
                    <w:topLinePunct w:val="0"/>
                    <w:autoSpaceDE w:val="0"/>
                    <w:autoSpaceDN w:val="0"/>
                    <w:bidi w:val="0"/>
                    <w:adjustRightInd w:val="0"/>
                    <w:snapToGrid w:val="0"/>
                    <w:spacing w:before="117" w:line="240" w:lineRule="auto"/>
                    <w:ind w:firstLine="98"/>
                    <w:textAlignment w:val="baseline"/>
                  </w:pPr>
                </w:p>
              </w:tc>
              <w:tc>
                <w:tcPr>
                  <w:tcW w:w="1256" w:type="dxa"/>
                  <w:tcBorders>
                    <w:bottom w:val="single" w:color="000000" w:sz="10"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282" w:line="240" w:lineRule="auto"/>
                    <w:ind w:left="0" w:leftChars="0" w:firstLine="0" w:firstLineChars="0"/>
                    <w:textAlignment w:val="baseline"/>
                    <w:rPr>
                      <w:sz w:val="20"/>
                      <w:szCs w:val="20"/>
                    </w:rPr>
                  </w:pPr>
                  <w:r>
                    <w:rPr>
                      <w:b/>
                      <w:bCs/>
                      <w:spacing w:val="6"/>
                      <w:sz w:val="20"/>
                      <w:szCs w:val="20"/>
                    </w:rPr>
                    <w:t>签字时间</w:t>
                  </w:r>
                </w:p>
              </w:tc>
              <w:tc>
                <w:tcPr>
                  <w:tcW w:w="3440" w:type="dxa"/>
                  <w:tcBorders>
                    <w:bottom w:val="single" w:color="000000" w:sz="10" w:space="0"/>
                    <w:right w:val="single" w:color="000000" w:sz="10" w:space="0"/>
                  </w:tcBorders>
                  <w:vAlign w:val="top"/>
                </w:tcPr>
                <w:p>
                  <w:pPr>
                    <w:pStyle w:val="13"/>
                    <w:keepNext/>
                    <w:keepLines w:val="0"/>
                    <w:pageBreakBefore w:val="0"/>
                    <w:widowControl/>
                    <w:kinsoku w:val="0"/>
                    <w:wordWrap/>
                    <w:overflowPunct/>
                    <w:topLinePunct w:val="0"/>
                    <w:autoSpaceDE w:val="0"/>
                    <w:autoSpaceDN w:val="0"/>
                    <w:bidi w:val="0"/>
                    <w:adjustRightInd w:val="0"/>
                    <w:snapToGrid w:val="0"/>
                    <w:spacing w:before="282" w:line="240" w:lineRule="auto"/>
                    <w:ind w:left="955"/>
                    <w:textAlignment w:val="baseline"/>
                    <w:rPr>
                      <w:sz w:val="20"/>
                      <w:szCs w:val="20"/>
                    </w:rPr>
                  </w:pPr>
                </w:p>
              </w:tc>
            </w:tr>
          </w:tbl>
          <w:p>
            <w:pPr>
              <w:pStyle w:val="13"/>
              <w:keepNext/>
              <w:keepLines w:val="0"/>
              <w:pageBreakBefore w:val="0"/>
              <w:widowControl/>
              <w:kinsoku w:val="0"/>
              <w:wordWrap/>
              <w:overflowPunct/>
              <w:topLinePunct w:val="0"/>
              <w:autoSpaceDE w:val="0"/>
              <w:autoSpaceDN w:val="0"/>
              <w:bidi w:val="0"/>
              <w:adjustRightInd w:val="0"/>
              <w:snapToGrid w:val="0"/>
              <w:spacing w:before="115" w:line="240" w:lineRule="auto"/>
              <w:ind w:left="0" w:leftChars="0" w:firstLine="0" w:firstLineChars="0"/>
              <w:textAlignment w:val="baseline"/>
            </w:pPr>
          </w:p>
        </w:tc>
      </w:tr>
    </w:tbl>
    <w:p>
      <w:pPr>
        <w:keepNext/>
        <w:keepLines w:val="0"/>
        <w:pageBreakBefore w:val="0"/>
        <w:widowControl/>
        <w:kinsoku w:val="0"/>
        <w:wordWrap/>
        <w:overflowPunct/>
        <w:topLinePunct w:val="0"/>
        <w:autoSpaceDE w:val="0"/>
        <w:autoSpaceDN w:val="0"/>
        <w:bidi w:val="0"/>
        <w:adjustRightInd w:val="0"/>
        <w:snapToGrid w:val="0"/>
        <w:spacing w:line="240" w:lineRule="auto"/>
        <w:textAlignment w:val="baseline"/>
        <w:rPr>
          <w:rFonts w:ascii="Arial" w:hAnsi="Arial" w:eastAsia="Arial" w:cs="Arial"/>
          <w:sz w:val="21"/>
          <w:szCs w:val="21"/>
        </w:rPr>
        <w:sectPr>
          <w:pgSz w:w="11906" w:h="16839"/>
          <w:pgMar w:top="1418" w:right="1473" w:bottom="0" w:left="1295" w:header="0" w:footer="0" w:gutter="0"/>
          <w:cols w:space="720" w:num="1"/>
        </w:sectPr>
      </w:pPr>
    </w:p>
    <w:p>
      <w:pPr>
        <w:keepNext/>
        <w:keepLines w:val="0"/>
        <w:pageBreakBefore w:val="0"/>
        <w:widowControl/>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default" w:ascii="Arial" w:eastAsia="微软雅黑"/>
          <w:sz w:val="21"/>
          <w:lang w:val="en-US" w:eastAsia="zh-CN"/>
        </w:rPr>
      </w:pPr>
    </w:p>
    <w:sectPr>
      <w:pgSz w:w="11906" w:h="16839"/>
      <w:pgMar w:top="1418" w:right="1473" w:bottom="0" w:left="129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3496F3"/>
    <w:multiLevelType w:val="singleLevel"/>
    <w:tmpl w:val="A13496F3"/>
    <w:lvl w:ilvl="0" w:tentative="0">
      <w:start w:val="2"/>
      <w:numFmt w:val="chineseCounting"/>
      <w:suff w:val="nothing"/>
      <w:lvlText w:val="（%1）"/>
      <w:lvlJc w:val="left"/>
      <w:rPr>
        <w:rFonts w:hint="eastAsia"/>
      </w:rPr>
    </w:lvl>
  </w:abstractNum>
  <w:abstractNum w:abstractNumId="1">
    <w:nsid w:val="E7A343D2"/>
    <w:multiLevelType w:val="singleLevel"/>
    <w:tmpl w:val="E7A343D2"/>
    <w:lvl w:ilvl="0" w:tentative="0">
      <w:start w:val="4"/>
      <w:numFmt w:val="chineseCounting"/>
      <w:suff w:val="nothing"/>
      <w:lvlText w:val="%1、"/>
      <w:lvlJc w:val="left"/>
      <w:rPr>
        <w:rFonts w:hint="eastAsia"/>
      </w:rPr>
    </w:lvl>
  </w:abstractNum>
  <w:abstractNum w:abstractNumId="2">
    <w:nsid w:val="19E24AF9"/>
    <w:multiLevelType w:val="singleLevel"/>
    <w:tmpl w:val="19E24AF9"/>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4"/>
  </w:compat>
  <w:rsids>
    <w:rsidRoot w:val="00000000"/>
    <w:rsid w:val="13A81493"/>
    <w:rsid w:val="225136E4"/>
    <w:rsid w:val="404C11EE"/>
    <w:rsid w:val="49DD4E1E"/>
    <w:rsid w:val="61955C3C"/>
    <w:rsid w:val="704D21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ind w:left="43" w:leftChars="18" w:right="41" w:rightChars="17" w:firstLine="640" w:firstLineChars="200"/>
      <w:jc w:val="left"/>
      <w:textAlignment w:val="baseline"/>
    </w:pPr>
    <w:rPr>
      <w:rFonts w:ascii="Arial" w:hAnsi="Arial" w:eastAsia="微软雅黑" w:cs="Arial"/>
      <w:snapToGrid w:val="0"/>
      <w:color w:val="000000"/>
      <w:kern w:val="0"/>
      <w:sz w:val="24"/>
      <w:szCs w:val="21"/>
      <w:lang w:val="en-US" w:eastAsia="en-US" w:bidi="ar-SA"/>
    </w:rPr>
  </w:style>
  <w:style w:type="paragraph" w:styleId="2">
    <w:name w:val="heading 1"/>
    <w:basedOn w:val="1"/>
    <w:next w:val="1"/>
    <w:link w:val="14"/>
    <w:qFormat/>
    <w:uiPriority w:val="0"/>
    <w:pPr>
      <w:keepNext/>
      <w:keepLines/>
      <w:spacing w:before="340" w:beforeLines="0" w:beforeAutospacing="0" w:after="330" w:afterLines="0" w:afterAutospacing="0" w:line="240" w:lineRule="auto"/>
      <w:outlineLvl w:val="0"/>
    </w:pPr>
    <w:rPr>
      <w:b/>
      <w:kern w:val="44"/>
      <w:sz w:val="28"/>
    </w:rPr>
  </w:style>
  <w:style w:type="paragraph" w:styleId="3">
    <w:name w:val="heading 2"/>
    <w:basedOn w:val="1"/>
    <w:next w:val="1"/>
    <w:link w:val="15"/>
    <w:unhideWhenUsed/>
    <w:qFormat/>
    <w:uiPriority w:val="0"/>
    <w:pPr>
      <w:keepNext/>
      <w:keepLines/>
      <w:spacing w:before="260" w:beforeLines="0" w:beforeAutospacing="0" w:after="260" w:afterLines="0" w:afterAutospacing="0" w:line="240" w:lineRule="auto"/>
      <w:outlineLvl w:val="1"/>
    </w:pPr>
    <w:rPr>
      <w:b/>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table" w:customStyle="1" w:styleId="12">
    <w:name w:val="Table Normal"/>
    <w:semiHidden/>
    <w:unhideWhenUsed/>
    <w:qFormat/>
    <w:uiPriority w:val="0"/>
    <w:tblPr>
      <w:tblLayout w:type="fixed"/>
      <w:tblCellMar>
        <w:top w:w="0" w:type="dxa"/>
        <w:left w:w="0" w:type="dxa"/>
        <w:bottom w:w="0" w:type="dxa"/>
        <w:right w:w="0" w:type="dxa"/>
      </w:tblCellMar>
    </w:tblPr>
  </w:style>
  <w:style w:type="paragraph" w:customStyle="1" w:styleId="13">
    <w:name w:val="Table Text"/>
    <w:basedOn w:val="1"/>
    <w:semiHidden/>
    <w:qFormat/>
    <w:uiPriority w:val="0"/>
    <w:rPr>
      <w:rFonts w:ascii="宋体" w:hAnsi="宋体" w:eastAsia="宋体" w:cs="宋体"/>
      <w:sz w:val="24"/>
      <w:szCs w:val="24"/>
      <w:lang w:val="en-US" w:eastAsia="en-US" w:bidi="ar-SA"/>
    </w:rPr>
  </w:style>
  <w:style w:type="character" w:customStyle="1" w:styleId="14">
    <w:name w:val="标题 1 Char"/>
    <w:link w:val="2"/>
    <w:qFormat/>
    <w:uiPriority w:val="0"/>
    <w:rPr>
      <w:rFonts w:eastAsia="微软雅黑"/>
      <w:b/>
      <w:kern w:val="44"/>
      <w:sz w:val="28"/>
    </w:rPr>
  </w:style>
  <w:style w:type="character" w:customStyle="1" w:styleId="15">
    <w:name w:val="标题 2 Char"/>
    <w:link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7634</Words>
  <Characters>10024</Characters>
  <TotalTime>5</TotalTime>
  <ScaleCrop>false</ScaleCrop>
  <LinksUpToDate>false</LinksUpToDate>
  <CharactersWithSpaces>10178</CharactersWithSpaces>
  <Application>WPS Office_11.1.0.9021_F1E327BC-269C-435d-A152-05C5408002CA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2026-02-03T13:18:00Z</dcterms:created>
  <dc:creator>匿名用户</dc:creator>
  <cp:lastModifiedBy>Administrator</cp:lastModifiedBy>
  <dcterms:modified xsi:type="dcterms:W3CDTF">2026-04-17T13:08:45Z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2026-02-03T13:18:33Z</vt:filetime>
  </property>
  <property fmtid="{D5CDD505-2E9C-101B-9397-08002B2CF9AE}" pid="4" name="KSOTemplateDocerSaveRecord">
    <vt:lpwstr>eyJoZGlkIjoiZDZkZDE3YzU3ZmVkMTdlZDA2NTMyYTk1NzM3YzA2NDciLCJ1c2VySWQiOiIxMzg3MzI2NzUzIn0=</vt:lpwstr>
  </property>
  <property fmtid="{D5CDD505-2E9C-101B-9397-08002B2CF9AE}" pid="5" name="KSOProductBuildVer">
    <vt:lpwstr>2052-11.1.0.9021</vt:lpwstr>
  </property>
  <property fmtid="{D5CDD505-2E9C-101B-9397-08002B2CF9AE}" pid="6" name="ICV">
    <vt:lpwstr>3BF6D6A3688A400EA22E053FCF823621_12</vt:lpwstr>
  </property>
</Properties>
</file>