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color w:val="666666"/>
          <w:sz w:val="28"/>
          <w:szCs w:val="28"/>
        </w:rPr>
        <w:t xml:space="preserve">ERP de Seguros</w:t>
      </w:r>
    </w:p>
    <w:p>
      <w:pPr>
        <w:spacing w:after="80" w:before="0"/>
      </w:pPr>
      <w:r>
        <w:rPr>
          <w:rFonts w:ascii="Arial" w:cs="Arial" w:eastAsia="Arial" w:hAnsi="Arial"/>
          <w:b/>
          <w:bCs/>
          <w:color w:val="2E4057"/>
          <w:sz w:val="52"/>
          <w:szCs w:val="52"/>
        </w:rPr>
        <w:t xml:space="preserve">Módulo 6 — Pre-emisión</w:t>
      </w:r>
    </w:p>
    <w:p>
      <w:pPr>
        <w:spacing w:after="60" w:before="0"/>
      </w:pPr>
      <w:r>
        <w:rPr>
          <w:rFonts w:ascii="Arial" w:cs="Arial" w:eastAsia="Arial" w:hAnsi="Arial"/>
          <w:color w:val="1B6CA8"/>
          <w:sz w:val="22"/>
          <w:szCs w:val="22"/>
        </w:rPr>
        <w:t xml:space="preserve">Cobro online · Generación de documentos · Despacho electrónico · Emisión asíncrona con Go</w:t>
      </w:r>
    </w:p>
    <w:p>
      <w:pPr>
        <w:spacing w:after="480" w:before="60"/>
      </w:pPr>
      <w:r>
        <w:rPr>
          <w:rFonts w:ascii="Arial" w:cs="Arial" w:eastAsia="Arial" w:hAnsi="Arial"/>
          <w:color w:val="888888"/>
          <w:sz w:val="20"/>
          <w:szCs w:val="20"/>
        </w:rPr>
        <w:t xml:space="preserve">Versión 1.0 — Para revisión y modificación</w:t>
      </w:r>
    </w:p>
    <w:p>
      <w:pPr>
        <w:pBdr>
          <w:bottom w:val="single" w:color="2E4057" w:sz="6" w:space="1"/>
        </w:pBdr>
        <w:spacing w:after="240" w:before="0"/>
      </w:pPr>
    </w:p>
    <w:p>
      <w:pPr>
        <w:pStyle w:val="Heading1"/>
        <w:spacing w:after="120" w:before="360"/>
      </w:pPr>
      <w:r>
        <w:rPr>
          <w:rFonts w:ascii="Arial" w:cs="Arial" w:eastAsia="Arial" w:hAnsi="Arial"/>
          <w:b/>
          <w:bCs/>
          <w:color w:val="2E4057"/>
          <w:sz w:val="36"/>
          <w:szCs w:val="36"/>
        </w:rPr>
        <w:t xml:space="preserve">1. Descripción general del módulo</w:t>
      </w:r>
    </w:p>
    <w:p>
      <w:pPr>
        <w:spacing w:after="60" w:before="60"/>
      </w:pPr>
      <w:r>
        <w:rPr>
          <w:rFonts w:ascii="Arial" w:cs="Arial" w:eastAsia="Arial" w:hAnsi="Arial"/>
          <w:sz w:val="20"/>
          <w:szCs w:val="20"/>
        </w:rPr>
        <w:t xml:space="preserve">El Módulo 6 — Pre-emisión es el puente entre la cotización aceptada (Módulo 5) y la póliza emitida (Módulo 7). Gestiona el completado de datos faltantes, el cobro online del primer premio mediante múltiples medios de pago, la generación de los documentos de la póliza, el despacho electrónico al asegurado y productor, y finalmente dispara la emisión asíncrona de la póliza mediante una arquitectura de eventos con Go.</w:t>
      </w:r>
    </w:p>
    <w:p>
      <w:pPr>
        <w:spacing w:after="60" w:before="60"/>
      </w:pPr>
      <w:r>
        <w:rPr>
          <w:rFonts w:ascii="Arial" w:cs="Arial" w:eastAsia="Arial" w:hAnsi="Arial"/>
          <w:sz w:val="20"/>
          <w:szCs w:val="20"/>
        </w:rPr>
        <w:t xml:space="preserve">El diseño garantiza que el asegurado reciba todos sus documentos (carátula, cuadro de póliza, condiciones generales, cláusulas, recibo de pago) inmediatamente después del cobro aprobado, antes de que arranque el proceso de emisión formal en el sistema. La emisión es completamente asíncrona e independiente del despacho.</w:t>
      </w:r>
    </w:p>
    <w:p>
      <w:r>
        <w:t xml:space="preserve"/>
      </w:r>
    </w:p>
    <w:p>
      <w:pPr>
        <w:pStyle w:val="Heading1"/>
        <w:spacing w:after="120" w:before="360"/>
      </w:pPr>
      <w:r>
        <w:rPr>
          <w:rFonts w:ascii="Arial" w:cs="Arial" w:eastAsia="Arial" w:hAnsi="Arial"/>
          <w:b/>
          <w:bCs/>
          <w:color w:val="2E4057"/>
          <w:sz w:val="36"/>
          <w:szCs w:val="36"/>
        </w:rPr>
        <w:t xml:space="preserve">2. Flujo post-cobro aprobado</w:t>
      </w:r>
    </w:p>
    <w:p>
      <w:pPr>
        <w:spacing w:after="60" w:before="60"/>
      </w:pPr>
      <w:r>
        <w:rPr>
          <w:rFonts w:ascii="Arial" w:cs="Arial" w:eastAsia="Arial" w:hAnsi="Arial"/>
          <w:sz w:val="20"/>
          <w:szCs w:val="20"/>
        </w:rPr>
        <w:t xml:space="preserve">La secuencia de pasos tras la confirmación del cobro es la siguiente:</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4600"/>
      </w:tblGrid>
      <w:tr>
        <w:trPr>
          <w:tblHeader/>
        </w:trPr>
        <w:tc>
          <w:tcPr>
            <w:tcW w:type="dxa" w:w="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Paso</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Modo</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Detalle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Cobro aprobado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Webhook pasarela recibido</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cod_autorizacion guardado en PRE_EMISION_COBROS. Estado → COBRO_APROBADO.</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Pre-reserva nro póliza</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Sistema sincrónico</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nro_poliza_reservado generado y guardado en PRE_EMISIONES antes de cualquier proceso async.</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Generación de PDFs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Sistema sincrónico</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 renderizan los templates HTML→PDF por ramo/producto: carátula, cuadro, condiciones, cláusulas/anexos, recibo. Registros en POLIZA_DOCUMENTOS_GENERADOS.</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Despacho electrónico</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Sistema sincrónico</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PDFs enviados a asegurado + productor por email, WhatsApp, portal o API. Registros en POLIZA_DESPACHO. El asegurado ya tiene sus documentos.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Publicar evento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Cola de mensajes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 publica evento EMISION_SOLICITADA en la cola (Kafka/RabbitMQ/NATS). Estado → EMISION_ENCOLADA.</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Worker Go procesa</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Asincrónico (background)</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Worker Go consume el evento, ejecuta la emisión de la póliza en el Módulo 7. Reintentos automáticos con back-off. Forzado manual disponible.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Póliza emitida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Módulo 7</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 póliza se crea usando nro_poliza_reservado. Estado PRE_EMISION → EMITIDA.</w:t>
            </w:r>
          </w:p>
        </w:tc>
      </w:tr>
    </w:tbl>
    <w:p>
      <w:r>
        <w:t xml:space="preserve"/>
      </w:r>
    </w:p>
    <w:p>
      <w:pPr>
        <w:pStyle w:val="Heading1"/>
        <w:spacing w:after="120" w:before="360"/>
      </w:pPr>
      <w:r>
        <w:rPr>
          <w:rFonts w:ascii="Arial" w:cs="Arial" w:eastAsia="Arial" w:hAnsi="Arial"/>
          <w:b/>
          <w:bCs/>
          <w:color w:val="2E4057"/>
          <w:sz w:val="36"/>
          <w:szCs w:val="36"/>
        </w:rPr>
        <w:t xml:space="preserve">3. Estados de la pre-emisión</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6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Estado</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Acción del sistema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PENDIENTE_DATOS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asegurado está completando datos faltantes de la cotización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Editable. Hereda datos del cotizador.</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DATOS_COMPLETOS</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Todos los datos requeridos están cargados</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Listo para seleccionar medio de pago.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PENDIENTE_COBRO</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Esperando acción de cobro (QR generado o débito programado)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PRE_EMISION_COBROS con intento activo.</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COBRO_APROBADO</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Cobro confirmado con cod_autorizacion</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Inicia generación de documentos.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DOCS_GENERADOS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Todos los PDFs generados exitosamente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Listo para despacho.</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DESPACHADO</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Documentos enviados al asegurado y productor</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Evento de emisión publicado en cola.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EMISION_ENCOLADA</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Evento consumido por el worker Go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Job de emisión en ejecución.</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EMITIDA</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Póliza creada en Módulo 7 con nro_poliza_reservado</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final exitoso.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COBRO_FALLIDO</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Todos los intentos de cobro agotados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Vuelve a PENDIENTE_COBRO si max no alcanzado.</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FALLO_EMISION</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Job de emisión falló tras max_intentos</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Requiere intervención manual o re-encolar.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VENCIDA</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Superó fecha_vencimiento sin completarse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Archivada. Cotización vuelve a ENVIADA.</w:t>
            </w:r>
          </w:p>
        </w:tc>
      </w:tr>
    </w:tbl>
    <w:p>
      <w:r>
        <w:t xml:space="preserve"/>
      </w:r>
    </w:p>
    <w:p>
      <w:pPr>
        <w:pStyle w:val="Heading1"/>
        <w:spacing w:after="120" w:before="360"/>
      </w:pPr>
      <w:r>
        <w:rPr>
          <w:rFonts w:ascii="Arial" w:cs="Arial" w:eastAsia="Arial" w:hAnsi="Arial"/>
          <w:b/>
          <w:bCs/>
          <w:color w:val="2E4057"/>
          <w:sz w:val="36"/>
          <w:szCs w:val="36"/>
        </w:rPr>
        <w:t xml:space="preserve">4. Decisiones de diseño</w:t>
      </w:r>
    </w:p>
    <w:p>
      <w:pPr>
        <w:pStyle w:val="Heading2"/>
        <w:spacing w:after="80" w:before="280"/>
      </w:pPr>
      <w:r>
        <w:rPr>
          <w:rFonts w:ascii="Arial" w:cs="Arial" w:eastAsia="Arial" w:hAnsi="Arial"/>
          <w:b/>
          <w:bCs/>
          <w:color w:val="1B6CA8"/>
          <w:sz w:val="28"/>
          <w:szCs w:val="28"/>
        </w:rPr>
        <w:t xml:space="preserve">4.1 Herencia de datos del cotizador — sin re-ingreso</w:t>
      </w:r>
    </w:p>
    <w:p>
      <w:pPr>
        <w:spacing w:after="60" w:before="60"/>
      </w:pPr>
      <w:r>
        <w:rPr>
          <w:rFonts w:ascii="Arial" w:cs="Arial" w:eastAsia="Arial" w:hAnsi="Arial"/>
          <w:sz w:val="20"/>
          <w:szCs w:val="20"/>
        </w:rPr>
        <w:t xml:space="preserve">Al crearse la pre-emisión, el sistema copia automáticamente todos los datos disponibles de la cotización: personas, objeto asegurado, coberturas, forma de pago seleccionada. Solo se solicita al asegurado completar lo que faltó en el cotizador (datos mínimos para cotizar vs. datos completos para emitir). El flag heredado_cotizacion en cada tabla identifica qué vino automático.</w:t>
      </w:r>
    </w:p>
    <w:p>
      <w:pPr>
        <w:pStyle w:val="Heading2"/>
        <w:spacing w:after="80" w:before="280"/>
      </w:pPr>
      <w:r>
        <w:rPr>
          <w:rFonts w:ascii="Arial" w:cs="Arial" w:eastAsia="Arial" w:hAnsi="Arial"/>
          <w:b/>
          <w:bCs/>
          <w:color w:val="1B6CA8"/>
          <w:sz w:val="28"/>
          <w:szCs w:val="28"/>
        </w:rPr>
        <w:t xml:space="preserve">4.2 Medios de pago totalmente abiertos — MEDIOS_PAGO_CONFIG</w:t>
      </w:r>
    </w:p>
    <w:p>
      <w:pPr>
        <w:spacing w:after="60" w:before="60"/>
      </w:pPr>
      <w:r>
        <w:rPr>
          <w:rFonts w:ascii="Arial" w:cs="Arial" w:eastAsia="Arial" w:hAnsi="Arial"/>
          <w:sz w:val="20"/>
          <w:szCs w:val="20"/>
        </w:rPr>
        <w:t xml:space="preserve">No hay hardcodeo de medios de pago. MEDIOS_PAGO_CONFIG es un catálogo configurable donde cada registro define un medio: su tipo (QR, DEBITO_AUTO, TARJETA_ONLINE, TRANSFERENCIA, EFECTIVO), el proveedor, la URL del endpoint, si genera QR, el tiempo de expiración del QR y los reintentos. Para sumar Naranja X, Interbanking, MODO o cualquier pasarela nueva solo se agrega un registro sin cambiar el esquema.</w:t>
      </w:r>
    </w:p>
    <w:p>
      <w:pPr>
        <w:pStyle w:val="Heading2"/>
        <w:spacing w:after="80" w:before="280"/>
      </w:pPr>
      <w:r>
        <w:rPr>
          <w:rFonts w:ascii="Arial" w:cs="Arial" w:eastAsia="Arial" w:hAnsi="Arial"/>
          <w:b/>
          <w:bCs/>
          <w:color w:val="1B6CA8"/>
          <w:sz w:val="28"/>
          <w:szCs w:val="28"/>
        </w:rPr>
        <w:t xml:space="preserve">4.3 Pre-reserva del número de póliza</w:t>
      </w:r>
    </w:p>
    <w:p>
      <w:pPr>
        <w:spacing w:after="60" w:before="60"/>
      </w:pPr>
      <w:r>
        <w:rPr>
          <w:rFonts w:ascii="Arial" w:cs="Arial" w:eastAsia="Arial" w:hAnsi="Arial"/>
          <w:sz w:val="20"/>
          <w:szCs w:val="20"/>
        </w:rPr>
        <w:t xml:space="preserve">Inmediatamente después de confirmar el cobro (y antes de generar documentos), el sistema pre-reserva el número de póliza en nro_poliza_reservado. Esto garantiza que el número aparezca correctamente en todos los documentos generados (carátula, cuadro, recibo) y que el worker Go use el mismo número al emitir formalmente la póliza en el Módulo 7.</w:t>
      </w:r>
    </w:p>
    <w:p>
      <w:pPr>
        <w:pStyle w:val="Heading2"/>
        <w:spacing w:after="80" w:before="280"/>
      </w:pPr>
      <w:r>
        <w:rPr>
          <w:rFonts w:ascii="Arial" w:cs="Arial" w:eastAsia="Arial" w:hAnsi="Arial"/>
          <w:b/>
          <w:bCs/>
          <w:color w:val="1B6CA8"/>
          <w:sz w:val="28"/>
          <w:szCs w:val="28"/>
        </w:rPr>
        <w:t xml:space="preserve">4.4 Templates por ramo y producto — POLIZA_TEMPLATES</w:t>
      </w:r>
    </w:p>
    <w:p>
      <w:pPr>
        <w:spacing w:after="60" w:before="60"/>
      </w:pPr>
      <w:r>
        <w:rPr>
          <w:rFonts w:ascii="Arial" w:cs="Arial" w:eastAsia="Arial" w:hAnsi="Arial"/>
          <w:sz w:val="20"/>
          <w:szCs w:val="20"/>
        </w:rPr>
        <w:t xml:space="preserve">Cada tipo de documento (carátula, cuadro de póliza, condiciones generales, cláusulas/anexos, recibo) tiene su propio template HTML con variables dinámicas del tipo {{nombre_asegurado}}, {{nro_poliza}}, {{suma_asegurada_incendio}}, {{fecha_inicio_vigencia}}. El template se elige según ramo_com_id + producto_id. Al estar versionados con vigencia, una actualización del diseño no afecta las pólizas ya emitidas.</w:t>
      </w:r>
    </w:p>
    <w:p>
      <w:pPr>
        <w:pStyle w:val="Heading2"/>
        <w:spacing w:after="80" w:before="280"/>
      </w:pPr>
      <w:r>
        <w:rPr>
          <w:rFonts w:ascii="Arial" w:cs="Arial" w:eastAsia="Arial" w:hAnsi="Arial"/>
          <w:b/>
          <w:bCs/>
          <w:color w:val="1B6CA8"/>
          <w:sz w:val="28"/>
          <w:szCs w:val="28"/>
        </w:rPr>
        <w:t xml:space="preserve">4.5 Despacho multicanal independiente del proveedor</w:t>
      </w:r>
    </w:p>
    <w:p>
      <w:pPr>
        <w:spacing w:after="60" w:before="60"/>
      </w:pPr>
      <w:r>
        <w:rPr>
          <w:rFonts w:ascii="Arial" w:cs="Arial" w:eastAsia="Arial" w:hAnsi="Arial"/>
          <w:sz w:val="20"/>
          <w:szCs w:val="20"/>
        </w:rPr>
        <w:t xml:space="preserve">POLIZA_DESPACHO registra cada envío por separado: un PDF puede despacharse al asegurado por email, al productor por WhatsApp y al portal simultáneamente. El campo proveedor_canal (SendGrid, SES, Twilio, WhatsApp Business API) permite cambiar de proveedor sin tocar el esquema. Cada intento de envío queda registrado con su resultado y referencia externa.</w:t>
      </w:r>
    </w:p>
    <w:p>
      <w:pPr>
        <w:pStyle w:val="Heading2"/>
        <w:spacing w:after="80" w:before="280"/>
      </w:pPr>
      <w:r>
        <w:rPr>
          <w:rFonts w:ascii="Arial" w:cs="Arial" w:eastAsia="Arial" w:hAnsi="Arial"/>
          <w:b/>
          <w:bCs/>
          <w:color w:val="1B6CA8"/>
          <w:sz w:val="28"/>
          <w:szCs w:val="28"/>
        </w:rPr>
        <w:t xml:space="preserve">4.6 Arquitectura de eventos Go — emisión asíncrona</w:t>
      </w:r>
    </w:p>
    <w:p>
      <w:pPr>
        <w:spacing w:after="60" w:before="60"/>
      </w:pPr>
      <w:r>
        <w:rPr>
          <w:rFonts w:ascii="Arial" w:cs="Arial" w:eastAsia="Arial" w:hAnsi="Arial"/>
          <w:sz w:val="20"/>
          <w:szCs w:val="20"/>
        </w:rPr>
        <w:t xml:space="preserve">Cuando el despacho de documentos está completo, el sistema publica un evento EMISION_SOLICITADA en la cola de mensajes (Kafka, RabbitMQ o NATS — el worker Go es agnóstico al broker). El worker consume el evento, ejecuta la lógica de emisión del Módulo 7 en background y actualiza EMISION_EVENTOS con su worker_id, resultado y fecha de procesamiento.</w:t>
      </w:r>
    </w:p>
    <w:p>
      <w:pPr>
        <w:spacing w:after="60" w:before="60"/>
      </w:pPr>
      <w:r>
        <w:rPr>
          <w:rFonts w:ascii="Arial" w:cs="Arial" w:eastAsia="Arial" w:hAnsi="Arial"/>
          <w:sz w:val="20"/>
          <w:szCs w:val="20"/>
        </w:rPr>
        <w:t xml:space="preserve">Si el worker falla, el evento queda en estado FALLIDO con el stack trace en error_detalle. El sistema reintenta automáticamente con back-off exponencial hasta max_intentos. Si se agotan los intentos, el operador puede forzar la emisión desde el backoffice (flag forzado_manual + usuario_forzado_id). En todos los casos, el asegurado ya tiene sus documentos y el cobro ya fue realizado — la emisión formal en el sistema es el único paso pendiente.</w:t>
      </w:r>
    </w:p>
    <w:p>
      <w:r>
        <w:t xml:space="preserve"/>
      </w:r>
    </w:p>
    <w:p>
      <w:pPr>
        <w:pStyle w:val="Heading1"/>
        <w:spacing w:after="120" w:before="360"/>
      </w:pPr>
      <w:r>
        <w:rPr>
          <w:rFonts w:ascii="Arial" w:cs="Arial" w:eastAsia="Arial" w:hAnsi="Arial"/>
          <w:b/>
          <w:bCs/>
          <w:color w:val="2E4057"/>
          <w:sz w:val="36"/>
          <w:szCs w:val="36"/>
        </w:rPr>
        <w:t xml:space="preserve">5. Entidades del módulo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2E4057" w:val="clear"/>
            <w:tcMar>
              <w:top w:type="dxa" w:w="100"/>
              <w:left w:type="dxa" w:w="160"/>
              <w:bottom w:type="dxa" w:w="100"/>
              <w:right w:type="dxa" w:w="160"/>
            </w:tcMar>
          </w:tcPr>
          <w:p>
            <w:r>
              <w:rPr>
                <w:rFonts w:ascii="Arial" w:cs="Arial" w:eastAsia="Arial" w:hAnsi="Arial"/>
                <w:b/>
                <w:bCs/>
                <w:color w:val="FFFFFF"/>
                <w:sz w:val="22"/>
                <w:szCs w:val="22"/>
              </w:rPr>
              <w:t xml:space="preserve">GRUPO A — Encabezado de la pre-emisión</w:t>
            </w:r>
          </w:p>
        </w:tc>
      </w:tr>
    </w:tbl>
    <w:p>
      <w:r>
        <w:t xml:space="preserve"/>
      </w:r>
    </w:p>
    <w:p>
      <w:pPr>
        <w:spacing w:after="60" w:before="200"/>
      </w:pPr>
      <w:r>
        <w:rPr>
          <w:rFonts w:ascii="Arial" w:cs="Arial" w:eastAsia="Arial" w:hAnsi="Arial"/>
          <w:b/>
          <w:bCs/>
          <w:color w:val="2E4057"/>
          <w:sz w:val="24"/>
          <w:szCs w:val="24"/>
        </w:rPr>
        <w:t xml:space="preserve">5.1 PRE_EMISIONES</w:t>
      </w:r>
    </w:p>
    <w:p>
      <w:pPr>
        <w:spacing w:after="60" w:before="60"/>
      </w:pPr>
      <w:r>
        <w:rPr>
          <w:rFonts w:ascii="Arial" w:cs="Arial" w:eastAsia="Arial" w:hAnsi="Arial"/>
          <w:sz w:val="20"/>
          <w:szCs w:val="20"/>
        </w:rPr>
        <w:t xml:space="preserve">Entidad central del módulo. Creada automáticamente cuando el asegurado acepta la cotización (Módulo 5). Orquesta el completado de datos, el cobro, la generación de documentos, el despacho electrónico y la emisión asíncrona de la póliza.</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PRE_EMISIONES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center"/>
            </w:pPr>
            <w:r>
              <w:rPr>
                <w:rFonts w:ascii="Arial" w:cs="Arial" w:eastAsia="Arial" w:hAnsi="Arial"/>
                <w:b/>
                <w:bCs/>
                <w:color w:val="2E4057"/>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 autoincremental</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nro_pre_emision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legible (ej: PRE-2024-00456)</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cotizacion_id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COTIZACIONES (Módulo 5). Cotización que originó esta pre-emisión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agente_id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AGENTES (Módulo 4). Productor responsable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sucursal_id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SUCURSALES (Módulo 1). Sucursal de emisión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 tabla de estados: PENDIENTE_DATOS → EMITIDA / VENCIDA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fecha_creacion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de creación de la pre-emisión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fecha_vencimiento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límite para completar el proceso (configurable por producto)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max_intentos_pago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Máximo de intentos de cobro permitidos (configurable por medio de pago)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importe_primer_cobro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Importe del primer cobro (primer cuota o premio anual)</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moneda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CHAR(3)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Moneda del cobro (ARS, USD)</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nro_poliza_reservado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póliza pre-reservado tras cobro aprobado. Usado en la emisión asíncrona.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observaciones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Notas internas del operador</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1B6CA8" w:val="clear"/>
            <w:tcMar>
              <w:top w:type="dxa" w:w="100"/>
              <w:left w:type="dxa" w:w="160"/>
              <w:bottom w:type="dxa" w:w="100"/>
              <w:right w:type="dxa" w:w="160"/>
            </w:tcMar>
          </w:tcPr>
          <w:p>
            <w:r>
              <w:rPr>
                <w:rFonts w:ascii="Arial" w:cs="Arial" w:eastAsia="Arial" w:hAnsi="Arial"/>
                <w:b/>
                <w:bCs/>
                <w:color w:val="FFFFFF"/>
                <w:sz w:val="22"/>
                <w:szCs w:val="22"/>
              </w:rPr>
              <w:t xml:space="preserve">GRUPO B — Personas, beneficiarios y objeto asegurado</w:t>
            </w:r>
          </w:p>
        </w:tc>
      </w:tr>
    </w:tbl>
    <w:p>
      <w:r>
        <w:t xml:space="preserve"/>
      </w:r>
    </w:p>
    <w:p>
      <w:pPr>
        <w:spacing w:after="60" w:before="200"/>
      </w:pPr>
      <w:r>
        <w:rPr>
          <w:rFonts w:ascii="Arial" w:cs="Arial" w:eastAsia="Arial" w:hAnsi="Arial"/>
          <w:b/>
          <w:bCs/>
          <w:color w:val="2E4057"/>
          <w:sz w:val="24"/>
          <w:szCs w:val="24"/>
        </w:rPr>
        <w:t xml:space="preserve">5.2 PRE_EMISION_PERSONAS</w:t>
      </w:r>
    </w:p>
    <w:p>
      <w:pPr>
        <w:spacing w:after="60" w:before="60"/>
      </w:pPr>
      <w:r>
        <w:rPr>
          <w:rFonts w:ascii="Arial" w:cs="Arial" w:eastAsia="Arial" w:hAnsi="Arial"/>
          <w:sz w:val="20"/>
          <w:szCs w:val="20"/>
        </w:rPr>
        <w:t xml:space="preserve">Personas vinculadas a la pre-emisión por rol: TOMADOR, ASEGURADO, PAGADOR. Hereda los datos ya cargados en el cotizador y solo solicita completar los faltantes. El flag heredado_cotizacion identifica qué vino automático.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4"/>
                <w:szCs w:val="24"/>
              </w:rPr>
              <w:t xml:space="preserve">PRE_EMISION_PERSONAS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persona_id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(Módulo 2). Datos completos de la persona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rol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TOMADOR, ASEGURADO, PAGADOR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datos_completos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Todos los datos requeridos para este rol están completos</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heredado_cotizacion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Persona fue cargada automáticamente desde la cotización</w:t>
            </w:r>
          </w:p>
        </w:tc>
      </w:tr>
    </w:tbl>
    <w:p>
      <w:r>
        <w:t xml:space="preserve"/>
      </w:r>
    </w:p>
    <w:p>
      <w:pPr>
        <w:spacing w:after="60" w:before="200"/>
      </w:pPr>
      <w:r>
        <w:rPr>
          <w:rFonts w:ascii="Arial" w:cs="Arial" w:eastAsia="Arial" w:hAnsi="Arial"/>
          <w:b/>
          <w:bCs/>
          <w:color w:val="2E4057"/>
          <w:sz w:val="24"/>
          <w:szCs w:val="24"/>
        </w:rPr>
        <w:t xml:space="preserve">5.3 PRE_EMISION_BENEFICIARIOS</w:t>
      </w:r>
    </w:p>
    <w:p>
      <w:pPr>
        <w:spacing w:after="60" w:before="60"/>
      </w:pPr>
      <w:r>
        <w:rPr>
          <w:rFonts w:ascii="Arial" w:cs="Arial" w:eastAsia="Arial" w:hAnsi="Arial"/>
          <w:sz w:val="20"/>
          <w:szCs w:val="20"/>
        </w:rPr>
        <w:t xml:space="preserve">Beneficiarios designados por el asegurado para cada ítem de la cotización. Con porcentaje de participación y relación con el asegurado.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4"/>
                <w:szCs w:val="24"/>
              </w:rPr>
              <w:t xml:space="preserve">PRE_EMISION_BENEFICIARIOS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persona_id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(Módulo 2)</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item_cotizacion_id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COTIZACION_ITEMS (Módulo 5). Ítem al que aplica el beneficiario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porcentaje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DECIMAL(6,4)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Porcentaje de participación (suma de todos los beneficiarios = 100%)</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relacion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CONYUGUE, HIJO, PADRE, HERMANO, OTRO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orden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Orden de preferencia (1 = primer beneficiario)</w:t>
            </w:r>
          </w:p>
        </w:tc>
      </w:tr>
    </w:tbl>
    <w:p>
      <w:r>
        <w:t xml:space="preserve"/>
      </w:r>
    </w:p>
    <w:p>
      <w:pPr>
        <w:spacing w:after="60" w:before="200"/>
      </w:pPr>
      <w:r>
        <w:rPr>
          <w:rFonts w:ascii="Arial" w:cs="Arial" w:eastAsia="Arial" w:hAnsi="Arial"/>
          <w:b/>
          <w:bCs/>
          <w:color w:val="2E4057"/>
          <w:sz w:val="24"/>
          <w:szCs w:val="24"/>
        </w:rPr>
        <w:t xml:space="preserve">5.4 PRE_EMISION_OBJETO_COMPLEMENTO</w:t>
      </w:r>
    </w:p>
    <w:p>
      <w:pPr>
        <w:spacing w:after="60" w:before="60"/>
      </w:pPr>
      <w:r>
        <w:rPr>
          <w:rFonts w:ascii="Arial" w:cs="Arial" w:eastAsia="Arial" w:hAnsi="Arial"/>
          <w:sz w:val="20"/>
          <w:szCs w:val="20"/>
        </w:rPr>
        <w:t xml:space="preserve">Atributos del objeto asegurado que no se cargaron en la cotización (porque el cotizador pide datos mínimos) y se completan en la pre-emisión. El flag heredado identifica los que vinieron del cotizador.</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4"/>
                <w:szCs w:val="24"/>
              </w:rPr>
              <w:t xml:space="preserve">PRE_EMISION_OBJETO_COMPLEMENTO</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cotizacion_item_objeto_id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COTIZACION_ITEM_OBJETO (Módulo 5). Objeto que se complementa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nombre_atributo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del atributo faltante (ej: nro_motor, nro_chasis, superficie_cubierta)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Valor del atributo ingresado en la pre-emisión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heredado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TRUE = vino del cotizador. FALSE = completado en pre-emisión.</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GRUPO C — Documentación y declaración jurada</w:t>
            </w:r>
          </w:p>
        </w:tc>
      </w:tr>
    </w:tbl>
    <w:p>
      <w:r>
        <w:t xml:space="preserve"/>
      </w:r>
    </w:p>
    <w:p>
      <w:pPr>
        <w:spacing w:after="60" w:before="200"/>
      </w:pPr>
      <w:r>
        <w:rPr>
          <w:rFonts w:ascii="Arial" w:cs="Arial" w:eastAsia="Arial" w:hAnsi="Arial"/>
          <w:b/>
          <w:bCs/>
          <w:color w:val="2E4057"/>
          <w:sz w:val="24"/>
          <w:szCs w:val="24"/>
        </w:rPr>
        <w:t xml:space="preserve">5.5 PRE_EMISION_DOCUMENTOS</w:t>
      </w:r>
    </w:p>
    <w:p>
      <w:pPr>
        <w:spacing w:after="60" w:before="60"/>
      </w:pPr>
      <w:r>
        <w:rPr>
          <w:rFonts w:ascii="Arial" w:cs="Arial" w:eastAsia="Arial" w:hAnsi="Arial"/>
          <w:sz w:val="20"/>
          <w:szCs w:val="20"/>
        </w:rPr>
        <w:t xml:space="preserve">Documentos que el asegurado debe adjuntar para completar la pre-emisión: DNI frente/dorso, VTV, título de propiedad, constancia AFIP, etc. Configurados por ramo y producto.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4"/>
                <w:szCs w:val="24"/>
              </w:rPr>
              <w:t xml:space="preserve">PRE_EMISION_DOCUMENTOS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vAlign w:val="center"/>
          </w:tcPr>
          <w:p>
            <w:pPr>
              <w:jc w:val="center"/>
            </w:pPr>
            <w:r>
              <w:rPr>
                <w:rFonts w:ascii="Arial" w:cs="Arial" w:eastAsia="Arial" w:hAnsi="Arial"/>
                <w:b/>
                <w:bCs/>
                <w:color w:val="0F766E"/>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tipo_documento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DNI_FRENTE, DNI_DORSO, VTV, TITULO_PROPIEDAD, CONSTANCIA_AFIP, OTRO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nombre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del archivo cargado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url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URL en storage (S3, Azure Blob, etc.)</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obligatorio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Documento obligatorio para completar la pre-emisión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verificado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Documento verificado por operador o proceso automático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fecha_carga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de carga del documento</w:t>
            </w:r>
          </w:p>
        </w:tc>
      </w:tr>
    </w:tbl>
    <w:p>
      <w:r>
        <w:t xml:space="preserve"/>
      </w:r>
    </w:p>
    <w:p>
      <w:pPr>
        <w:spacing w:after="60" w:before="200"/>
      </w:pPr>
      <w:r>
        <w:rPr>
          <w:rFonts w:ascii="Arial" w:cs="Arial" w:eastAsia="Arial" w:hAnsi="Arial"/>
          <w:b/>
          <w:bCs/>
          <w:color w:val="2E4057"/>
          <w:sz w:val="24"/>
          <w:szCs w:val="24"/>
        </w:rPr>
        <w:t xml:space="preserve">5.6 PRE_EMISION_DECL_JURADA</w:t>
      </w:r>
    </w:p>
    <w:p>
      <w:pPr>
        <w:spacing w:after="60" w:before="60"/>
      </w:pPr>
      <w:r>
        <w:rPr>
          <w:rFonts w:ascii="Arial" w:cs="Arial" w:eastAsia="Arial" w:hAnsi="Arial"/>
          <w:sz w:val="20"/>
          <w:szCs w:val="20"/>
        </w:rPr>
        <w:t xml:space="preserve">Respuestas a la declaración jurada del asegurado. Cada pregunta se registra con su respuesta, timestamp, IP de origen y hash del documento para validez legal y no repudio.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4"/>
                <w:szCs w:val="24"/>
              </w:rPr>
              <w:t xml:space="preserve">PRE_EMISION_DECL_JURADA</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vAlign w:val="center"/>
          </w:tcPr>
          <w:p>
            <w:pPr>
              <w:jc w:val="center"/>
            </w:pPr>
            <w:r>
              <w:rPr>
                <w:rFonts w:ascii="Arial" w:cs="Arial" w:eastAsia="Arial" w:hAnsi="Arial"/>
                <w:b/>
                <w:bCs/>
                <w:color w:val="0F766E"/>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pregunta_codigo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Código de la pregunta del catálogo (ej: DJ-SALUD-001)</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pregunta_texto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Texto completo de la pregunta al momento de la firma (snapshot)</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respuesta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Respuesta del asegurado (SI/NO o texto libre)</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fecha_respuesta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exacta de la respuesta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ip_origen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VARCHAR(45)</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IP del dispositivo del asegurado al momento de firmar</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hash_documento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Hash SHA-256 del PDF de declaración jurada para no repudio</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B45309" w:val="clear"/>
            <w:tcMar>
              <w:top w:type="dxa" w:w="100"/>
              <w:left w:type="dxa" w:w="160"/>
              <w:bottom w:type="dxa" w:w="100"/>
              <w:right w:type="dxa" w:w="160"/>
            </w:tcMar>
          </w:tcPr>
          <w:p>
            <w:r>
              <w:rPr>
                <w:rFonts w:ascii="Arial" w:cs="Arial" w:eastAsia="Arial" w:hAnsi="Arial"/>
                <w:b/>
                <w:bCs/>
                <w:color w:val="FFFFFF"/>
                <w:sz w:val="22"/>
                <w:szCs w:val="22"/>
              </w:rPr>
              <w:t xml:space="preserve">GRUPO D — Medios de pago y cobros</w:t>
            </w:r>
          </w:p>
        </w:tc>
      </w:tr>
    </w:tbl>
    <w:p>
      <w:r>
        <w:t xml:space="preserve"/>
      </w:r>
    </w:p>
    <w:p>
      <w:pPr>
        <w:spacing w:after="60" w:before="200"/>
      </w:pPr>
      <w:r>
        <w:rPr>
          <w:rFonts w:ascii="Arial" w:cs="Arial" w:eastAsia="Arial" w:hAnsi="Arial"/>
          <w:b/>
          <w:bCs/>
          <w:color w:val="2E4057"/>
          <w:sz w:val="24"/>
          <w:szCs w:val="24"/>
        </w:rPr>
        <w:t xml:space="preserve">5.7 MEDIOS_PAGO_CONFIG</w:t>
      </w:r>
    </w:p>
    <w:p>
      <w:pPr>
        <w:spacing w:after="60" w:before="60"/>
      </w:pPr>
      <w:r>
        <w:rPr>
          <w:rFonts w:ascii="Arial" w:cs="Arial" w:eastAsia="Arial" w:hAnsi="Arial"/>
          <w:sz w:val="20"/>
          <w:szCs w:val="20"/>
        </w:rPr>
        <w:t xml:space="preserve">Catálogo de medios de pago configurables. Completamente abierto a cualquier integración: QR (Mercado Pago, MODO, Interbanking), débito CBU/CVU, tarjeta online, transferencia, efectivo. Para sumar una nueva pasarela solo se agrega un registro.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4"/>
                <w:szCs w:val="24"/>
              </w:rPr>
              <w:t xml:space="preserve">MEDIOS_PAGO_CONFIG</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center"/>
            </w:pPr>
            <w:r>
              <w:rPr>
                <w:rFonts w:ascii="Arial" w:cs="Arial" w:eastAsia="Arial" w:hAnsi="Arial"/>
                <w:b/>
                <w:bCs/>
                <w:color w:val="B45309"/>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codigo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Código interno (MP_QR, MODO_QR, CBU_DEBITO, VISA_ONLINE, TRANSFERENCIA)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descripcion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visible para el usuario (ej: Pago con QR Mercado Pago)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QR, DEBITO_AUTO, TARJETA_ONLINE, TRANSFERENCIA, EFECTIVO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proveedor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del proveedor de la pasarela (MercadoPago, MODO, Prisma, etc.)</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endpoint_base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URL base de la API del proveedor (configurable por ambiente)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Medio de pago habilitado en el sistema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pago_inmediato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TRUE = cobro instantáneo (QR/tarjeta). FALSE = diferido (débito programado)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requiere_cbu</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Requiere CBU/CVU del asegurado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requiere_tarjeta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Requiere datos de tarjeta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requiere_qr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 código QR para el pago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max_reintentos</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Máximo de reintentos permitidos para este medio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segundos_expiracion_qr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Tiempo de vida del QR en segundos (ej: 300 = 5 minutos)</w:t>
            </w:r>
          </w:p>
        </w:tc>
      </w:tr>
    </w:tbl>
    <w:p>
      <w:r>
        <w:t xml:space="preserve"/>
      </w:r>
    </w:p>
    <w:p>
      <w:pPr>
        <w:spacing w:after="60" w:before="200"/>
      </w:pPr>
      <w:r>
        <w:rPr>
          <w:rFonts w:ascii="Arial" w:cs="Arial" w:eastAsia="Arial" w:hAnsi="Arial"/>
          <w:b/>
          <w:bCs/>
          <w:color w:val="2E4057"/>
          <w:sz w:val="24"/>
          <w:szCs w:val="24"/>
        </w:rPr>
        <w:t xml:space="preserve">5.8 PRE_EMISION_COBROS</w:t>
      </w:r>
    </w:p>
    <w:p>
      <w:pPr>
        <w:spacing w:after="60" w:before="60"/>
      </w:pPr>
      <w:r>
        <w:rPr>
          <w:rFonts w:ascii="Arial" w:cs="Arial" w:eastAsia="Arial" w:hAnsi="Arial"/>
          <w:sz w:val="20"/>
          <w:szCs w:val="20"/>
        </w:rPr>
        <w:t xml:space="preserve">Registro de cada intento de cobro. Cada intento crea un nuevo registro con nro_intento incremental. Guarda el QR generado, la respuesta del webhook de la pasarela, el código de autorización (si exitoso) y el detalle del error (si falló). La arquitectura soporta cualquier medio de pago sin cambios de esquema.</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4"/>
                <w:szCs w:val="24"/>
              </w:rPr>
              <w:t xml:space="preserve">PRE_EMISION_COBROS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center"/>
            </w:pPr>
            <w:r>
              <w:rPr>
                <w:rFonts w:ascii="Arial" w:cs="Arial" w:eastAsia="Arial" w:hAnsi="Arial"/>
                <w:b/>
                <w:bCs/>
                <w:color w:val="B45309"/>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medio_pago_config_id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MEDIOS_PAGO_CONFIG</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nro_intento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intento (1, 2, 3... hasta max_intentos_pago)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INICIADO, QR_GENERADO, PENDIENTE, APROBADO, RECHAZADO, EXPIRADO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importe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Importe del intento de cobro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moneda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CHAR(3)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Moneda (ARS, USD)</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fecha_inicio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inicio del intento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fecha_confirmacion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confirmación (NULL si no confirmado)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referencia_externa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de la transacción en el sistema del proveedor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qr_data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Datos del QR generado (string EMV/CMP para renderizar)</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qr_url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URL de la imagen del QR (si el proveedor la genera)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qr_expiracion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expiración del QR</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cbu_cvu_destino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CBU/CVU del asegurado para débito automático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nro_tarjeta_mask</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tarjeta enmascarado (**** **** **** 1234)</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cod_autorizacion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Código de autorización bancaria. Presencia = cobro aprobado.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resultado_codigo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Código de resultado del proveedor (APROBADO, SIN_FONDOS, DATOS_INV, etc.)</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resultado_descripcion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Descripción legible del resultado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webhook_payload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Payload completo del webhook recibido del proveedor (JSON raw para debug)</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5B3FA6" w:val="clear"/>
            <w:tcMar>
              <w:top w:type="dxa" w:w="100"/>
              <w:left w:type="dxa" w:w="160"/>
              <w:bottom w:type="dxa" w:w="100"/>
              <w:right w:type="dxa" w:w="160"/>
            </w:tcMar>
          </w:tcPr>
          <w:p>
            <w:r>
              <w:rPr>
                <w:rFonts w:ascii="Arial" w:cs="Arial" w:eastAsia="Arial" w:hAnsi="Arial"/>
                <w:b/>
                <w:bCs/>
                <w:color w:val="FFFFFF"/>
                <w:sz w:val="22"/>
                <w:szCs w:val="22"/>
              </w:rPr>
              <w:t xml:space="preserve">GRUPO E — Templates y generación de documentos</w:t>
            </w:r>
          </w:p>
        </w:tc>
      </w:tr>
    </w:tbl>
    <w:p>
      <w:r>
        <w:t xml:space="preserve"/>
      </w:r>
    </w:p>
    <w:p>
      <w:pPr>
        <w:spacing w:after="60" w:before="200"/>
      </w:pPr>
      <w:r>
        <w:rPr>
          <w:rFonts w:ascii="Arial" w:cs="Arial" w:eastAsia="Arial" w:hAnsi="Arial"/>
          <w:b/>
          <w:bCs/>
          <w:color w:val="2E4057"/>
          <w:sz w:val="24"/>
          <w:szCs w:val="24"/>
        </w:rPr>
        <w:t xml:space="preserve">5.9 POLIZA_TEMPLATES</w:t>
      </w:r>
    </w:p>
    <w:p>
      <w:pPr>
        <w:spacing w:after="60" w:before="60"/>
      </w:pPr>
      <w:r>
        <w:rPr>
          <w:rFonts w:ascii="Arial" w:cs="Arial" w:eastAsia="Arial" w:hAnsi="Arial"/>
          <w:sz w:val="20"/>
          <w:szCs w:val="20"/>
        </w:rPr>
        <w:t xml:space="preserve">Catálogo de templates de documentos por ramo y producto. Cada template es HTML con variables dinámicas del tipo {{nombre_asegurado}}, {{nro_poliza}}, {{suma_asegurada}}. Al estar versionados con vigencia, cambiar el diseño no afecta pólizas ya emitidas.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4"/>
                <w:szCs w:val="24"/>
              </w:rPr>
              <w:t xml:space="preserve">POLIZA_TEMPLATES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vAlign w:val="center"/>
          </w:tcPr>
          <w:p>
            <w:pPr>
              <w:jc w:val="center"/>
            </w:pPr>
            <w:r>
              <w:rPr>
                <w:rFonts w:ascii="Arial" w:cs="Arial" w:eastAsia="Arial" w:hAnsi="Arial"/>
                <w:b/>
                <w:bCs/>
                <w:color w:val="5B3FA6"/>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ramo_com_id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RAMOS_COM (Módulo 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producto_id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PRODUCTOS (Módulo 3). NULL = aplica a todos los productos del ramo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nombre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del template (ej: Cuadro Póliza Auto 2024)</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tipo_template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CARATULA, CUADRO_POLIZA, COND_GENERALES, CLAUSULAS_ANEXOS, RECIBO_PAGO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version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Versión del template (ej: 1.0, 2.1)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contenido_html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LONGTEXT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Contenido HTML del template con variables {{variable}} para renderizado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variables_requeridas</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Lista JSON de variables obligatorias para renderizar el template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Template activo (se usa en nuevas pre-emisiones)</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vigencia_desde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Inicio de vigencia del template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vigencia_hasta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 de vigencia (NULL si activo)</w:t>
            </w:r>
          </w:p>
        </w:tc>
      </w:tr>
    </w:tbl>
    <w:p>
      <w:r>
        <w:t xml:space="preserve"/>
      </w:r>
    </w:p>
    <w:p>
      <w:pPr>
        <w:spacing w:after="60" w:before="200"/>
      </w:pPr>
      <w:r>
        <w:rPr>
          <w:rFonts w:ascii="Arial" w:cs="Arial" w:eastAsia="Arial" w:hAnsi="Arial"/>
          <w:b/>
          <w:bCs/>
          <w:color w:val="2E4057"/>
          <w:sz w:val="24"/>
          <w:szCs w:val="24"/>
        </w:rPr>
        <w:t xml:space="preserve">5.10 POLIZA_DOCUMENTOS_GENERADOS</w:t>
      </w:r>
    </w:p>
    <w:p>
      <w:pPr>
        <w:spacing w:after="60" w:before="60"/>
      </w:pPr>
      <w:r>
        <w:rPr>
          <w:rFonts w:ascii="Arial" w:cs="Arial" w:eastAsia="Arial" w:hAnsi="Arial"/>
          <w:sz w:val="20"/>
          <w:szCs w:val="20"/>
        </w:rPr>
        <w:t xml:space="preserve">Registro de cada PDF generado para la pre-emisión. Incluye hash SHA-256 para integridad del documento, estado de generación y contador de reintentos. Si el renderizado falla (variable faltante, timeout), se reintenta automáticamente.</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4"/>
                <w:szCs w:val="24"/>
              </w:rPr>
              <w:t xml:space="preserve">POLIZA_DOCUMENTOS_GENERADOS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vAlign w:val="center"/>
          </w:tcPr>
          <w:p>
            <w:pPr>
              <w:jc w:val="center"/>
            </w:pPr>
            <w:r>
              <w:rPr>
                <w:rFonts w:ascii="Arial" w:cs="Arial" w:eastAsia="Arial" w:hAnsi="Arial"/>
                <w:b/>
                <w:bCs/>
                <w:color w:val="5B3FA6"/>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template_id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POLIZA_TEMPLATES. Template usado para generar este documento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tipo_documento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CARATULA, CUADRO_POLIZA, COND_GENERALES, CLAUSULAS_ANEXOS, RECIBO_PAGO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nombre_archivo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del archivo PDF generado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url_pdf</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URL del PDF en storage (S3, Azure Blob, GCS)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hash_pdf</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Hash SHA-256 del PDF para verificación de integridad</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estado_generacion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PENDIENTE, GENERANDO, GENERADO, FALLIDO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fecha_generacion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generación exitosa del PDF</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intentos_generacion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intentos de generación realizados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error_detalle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Detalle del error si la generación falló</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GRUPO F — Despacho electrónico</w:t>
            </w:r>
          </w:p>
        </w:tc>
      </w:tr>
    </w:tbl>
    <w:p>
      <w:r>
        <w:t xml:space="preserve"/>
      </w:r>
    </w:p>
    <w:p>
      <w:pPr>
        <w:spacing w:after="60" w:before="200"/>
      </w:pPr>
      <w:r>
        <w:rPr>
          <w:rFonts w:ascii="Arial" w:cs="Arial" w:eastAsia="Arial" w:hAnsi="Arial"/>
          <w:b/>
          <w:bCs/>
          <w:color w:val="2E4057"/>
          <w:sz w:val="24"/>
          <w:szCs w:val="24"/>
        </w:rPr>
        <w:t xml:space="preserve">5.11 POLIZA_DESPACHO</w:t>
      </w:r>
    </w:p>
    <w:p>
      <w:pPr>
        <w:spacing w:after="60" w:before="60"/>
      </w:pPr>
      <w:r>
        <w:rPr>
          <w:rFonts w:ascii="Arial" w:cs="Arial" w:eastAsia="Arial" w:hAnsi="Arial"/>
          <w:sz w:val="20"/>
          <w:szCs w:val="20"/>
        </w:rPr>
        <w:t xml:space="preserve">Registro de cada envío de documento a cada destinatario por cada canal. Un mismo PDF puede despacharse a asegurado por email, al productor por WhatsApp, y al portal. El campo proveedor_canal permite cambiar de SendGrid a SES o de Twilio a otro sin tocar el esquema.</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4"/>
                <w:szCs w:val="24"/>
              </w:rPr>
              <w:t xml:space="preserve">POLIZA_DESPACHO</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vAlign w:val="center"/>
          </w:tcPr>
          <w:p>
            <w:pPr>
              <w:jc w:val="center"/>
            </w:pPr>
            <w:r>
              <w:rPr>
                <w:rFonts w:ascii="Arial" w:cs="Arial" w:eastAsia="Arial" w:hAnsi="Arial"/>
                <w:b/>
                <w:bCs/>
                <w:color w:val="0F766E"/>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documento_id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POLIZA_DOCUMENTOS_GENERADOS. Documento a despachar</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canal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EMAIL, WHATSAPP, PORTAL, API, SMS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destinatario_tipo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ASEGURADO, TOMADOR, PRODUCTOR, SISTEMA_EXTERNO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persona_id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(Módulo 2). Destinatario persona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destinatario_valor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Email, número de celular, endpoint API o portal_user_id</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estado_envio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PENDIENTE, ENVIADO, ENTREGADO, FALLIDO, REBOTADO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fecha_programada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programada para el envío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fecha_envio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real de envío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intentos_envio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intentos de envío realizados</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proveedor_canal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Proveedor usado (SendGrid, SES, Twilio, WhatsApp Business API)</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referencia_externa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del mensaje en el sistema del proveedor de envío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error_detalle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Detalle del error si el envío falló</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3730A3" w:val="clear"/>
            <w:tcMar>
              <w:top w:type="dxa" w:w="100"/>
              <w:left w:type="dxa" w:w="160"/>
              <w:bottom w:type="dxa" w:w="100"/>
              <w:right w:type="dxa" w:w="160"/>
            </w:tcMar>
          </w:tcPr>
          <w:p>
            <w:r>
              <w:rPr>
                <w:rFonts w:ascii="Arial" w:cs="Arial" w:eastAsia="Arial" w:hAnsi="Arial"/>
                <w:b/>
                <w:bCs/>
                <w:color w:val="FFFFFF"/>
                <w:sz w:val="22"/>
                <w:szCs w:val="22"/>
              </w:rPr>
              <w:t xml:space="preserve">GRUPO G — Emisión asíncrona (arquitectura de eventos Go)</w:t>
            </w:r>
          </w:p>
        </w:tc>
      </w:tr>
    </w:tbl>
    <w:p>
      <w:r>
        <w:t xml:space="preserve"/>
      </w:r>
    </w:p>
    <w:p>
      <w:pPr>
        <w:spacing w:after="60" w:before="200"/>
      </w:pPr>
      <w:r>
        <w:rPr>
          <w:rFonts w:ascii="Arial" w:cs="Arial" w:eastAsia="Arial" w:hAnsi="Arial"/>
          <w:b/>
          <w:bCs/>
          <w:color w:val="2E4057"/>
          <w:sz w:val="24"/>
          <w:szCs w:val="24"/>
        </w:rPr>
        <w:t xml:space="preserve">5.12 EMISION_EVENTOS</w:t>
      </w:r>
    </w:p>
    <w:p>
      <w:pPr>
        <w:spacing w:after="60" w:before="60"/>
      </w:pPr>
      <w:r>
        <w:rPr>
          <w:rFonts w:ascii="Arial" w:cs="Arial" w:eastAsia="Arial" w:hAnsi="Arial"/>
          <w:sz w:val="20"/>
          <w:szCs w:val="20"/>
        </w:rPr>
        <w:t xml:space="preserve">Cola de eventos para la emisión asíncrona implementada con Go. Cuando el despacho está completo, el sistema publica un evento EMISION_SOLICITADA. Un worker Go lo consume y procesa la emisión en background. Soporta reintentos automáticos con back-off exponencial y forzado manual por operador.</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3730A3" w:val="clear"/>
            <w:tcMar>
              <w:top w:type="dxa" w:w="80"/>
              <w:left w:type="dxa" w:w="120"/>
              <w:bottom w:type="dxa" w:w="80"/>
              <w:right w:type="dxa" w:w="120"/>
            </w:tcMar>
          </w:tcPr>
          <w:p>
            <w:r>
              <w:rPr>
                <w:rFonts w:ascii="Arial" w:cs="Arial" w:eastAsia="Arial" w:hAnsi="Arial"/>
                <w:b/>
                <w:bCs/>
                <w:color w:val="FFFFFF"/>
                <w:sz w:val="24"/>
                <w:szCs w:val="24"/>
              </w:rPr>
              <w:t xml:space="preserve">EMISION_EVENTOS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0E7FF" w:val="clear"/>
            <w:tcMar>
              <w:top w:type="dxa" w:w="60"/>
              <w:left w:type="dxa" w:w="100"/>
              <w:bottom w:type="dxa" w:w="60"/>
              <w:right w:type="dxa" w:w="100"/>
            </w:tcMar>
            <w:vAlign w:val="center"/>
          </w:tcPr>
          <w:p>
            <w:pPr>
              <w:jc w:val="center"/>
            </w:pPr>
            <w:r>
              <w:rPr>
                <w:rFonts w:ascii="Arial" w:cs="Arial" w:eastAsia="Arial" w:hAnsi="Arial"/>
                <w:b/>
                <w:bCs/>
                <w:color w:val="3730A3"/>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tipo_evento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EMISION_SOLICITADA, EMISION_REINTENTO, EMISION_FORZADA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PUBLICADO, PROCESANDO, COMPLETADO, FALLIDO, CANCELADO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payload_json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Payload completo del evento en JSON (datos necesarios para el worker Go)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fecha_publicacion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publicación en la cola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fecha_procesado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en que el worker completó el procesamiento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intentos</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intentos de procesamiento realizados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max_intentos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Máximo de intentos configurado (back-off exponencial)</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worker_id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del worker Go que procesó el evento (para trazabilidad distribuida)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resultado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POLIZA_EMITIDA, ERROR_DATOS, ERROR_SISTEMA, TIMEOUT</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error_detalle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Stack trace o mensaje de error del worker Go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forzado_manual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TRUE = evento disparado manualmente por operador desde backoffice</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usuario_forzado_id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Operador que forzó la emisión manualmente</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9A3412" w:val="clear"/>
            <w:tcMar>
              <w:top w:type="dxa" w:w="100"/>
              <w:left w:type="dxa" w:w="160"/>
              <w:bottom w:type="dxa" w:w="100"/>
              <w:right w:type="dxa" w:w="160"/>
            </w:tcMar>
          </w:tcPr>
          <w:p>
            <w:r>
              <w:rPr>
                <w:rFonts w:ascii="Arial" w:cs="Arial" w:eastAsia="Arial" w:hAnsi="Arial"/>
                <w:b/>
                <w:bCs/>
                <w:color w:val="FFFFFF"/>
                <w:sz w:val="22"/>
                <w:szCs w:val="22"/>
              </w:rPr>
              <w:t xml:space="preserve">GRUPO H — Notificaciones y auditoría</w:t>
            </w:r>
          </w:p>
        </w:tc>
      </w:tr>
    </w:tbl>
    <w:p>
      <w:r>
        <w:t xml:space="preserve"/>
      </w:r>
    </w:p>
    <w:p>
      <w:pPr>
        <w:spacing w:after="60" w:before="200"/>
      </w:pPr>
      <w:r>
        <w:rPr>
          <w:rFonts w:ascii="Arial" w:cs="Arial" w:eastAsia="Arial" w:hAnsi="Arial"/>
          <w:b/>
          <w:bCs/>
          <w:color w:val="2E4057"/>
          <w:sz w:val="24"/>
          <w:szCs w:val="24"/>
        </w:rPr>
        <w:t xml:space="preserve">5.13 PRE_EMISION_NOTIFICACIONES</w:t>
      </w:r>
    </w:p>
    <w:p>
      <w:pPr>
        <w:spacing w:after="60" w:before="60"/>
      </w:pPr>
      <w:r>
        <w:rPr>
          <w:rFonts w:ascii="Arial" w:cs="Arial" w:eastAsia="Arial" w:hAnsi="Arial"/>
          <w:sz w:val="20"/>
          <w:szCs w:val="20"/>
        </w:rPr>
        <w:t xml:space="preserve">Notificaciones de estado enviadas al asegurado y productor en cada cambio relevante: cobro aprobado, cobro rechazado, documentos enviados, emisión completada. Cada canal y destinatario tiene su propio registro.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9A3412" w:val="clear"/>
            <w:tcMar>
              <w:top w:type="dxa" w:w="80"/>
              <w:left w:type="dxa" w:w="120"/>
              <w:bottom w:type="dxa" w:w="80"/>
              <w:right w:type="dxa" w:w="120"/>
            </w:tcMar>
          </w:tcPr>
          <w:p>
            <w:r>
              <w:rPr>
                <w:rFonts w:ascii="Arial" w:cs="Arial" w:eastAsia="Arial" w:hAnsi="Arial"/>
                <w:b/>
                <w:bCs/>
                <w:color w:val="FFFFFF"/>
                <w:sz w:val="24"/>
                <w:szCs w:val="24"/>
              </w:rPr>
              <w:t xml:space="preserve">PRE_EMISION_NOTIFICACIONES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vAlign w:val="center"/>
          </w:tcPr>
          <w:p>
            <w:pPr>
              <w:jc w:val="center"/>
            </w:pPr>
            <w:r>
              <w:rPr>
                <w:rFonts w:ascii="Arial" w:cs="Arial" w:eastAsia="Arial" w:hAnsi="Arial"/>
                <w:b/>
                <w:bCs/>
                <w:color w:val="9A3412"/>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cobro_id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PRE_EMISION_COBROS. NULL si no está relacionada a un cobro específico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tipo_notificacion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COBRO_APROBADO, COBRO_RECHAZADO, DOCS_ENVIADOS, POLIZA_EMITIDA, REINTENTO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canal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EMAIL, WHATSAPP, SMS, PUSH</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destinatario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Email, celular o token push del destinatario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estado_envio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ENVIADO, FALLIDO, PENDIENTE</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fecha_envio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envío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contenido_resumen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Resumen del contenido de la notificación enviada</w:t>
            </w:r>
          </w:p>
        </w:tc>
      </w:tr>
    </w:tbl>
    <w:p>
      <w:r>
        <w:t xml:space="preserve"/>
      </w:r>
    </w:p>
    <w:p>
      <w:pPr>
        <w:spacing w:after="60" w:before="200"/>
      </w:pPr>
      <w:r>
        <w:rPr>
          <w:rFonts w:ascii="Arial" w:cs="Arial" w:eastAsia="Arial" w:hAnsi="Arial"/>
          <w:b/>
          <w:bCs/>
          <w:color w:val="2E4057"/>
          <w:sz w:val="24"/>
          <w:szCs w:val="24"/>
        </w:rPr>
        <w:t xml:space="preserve">5.14 PRE_EMISION_AUDITORIA</w:t>
      </w:r>
    </w:p>
    <w:p>
      <w:pPr>
        <w:spacing w:after="60" w:before="60"/>
      </w:pPr>
      <w:r>
        <w:rPr>
          <w:rFonts w:ascii="Arial" w:cs="Arial" w:eastAsia="Arial" w:hAnsi="Arial"/>
          <w:sz w:val="20"/>
          <w:szCs w:val="20"/>
        </w:rPr>
        <w:t xml:space="preserve">Log completo de auditoría de todos los cambios de estado y acciones sobre la pre-emisión. Registra quién hizo qué, cuándo y desde qué IP. Esencial para trazabilidad regulatoria y soporte.</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9A3412" w:val="clear"/>
            <w:tcMar>
              <w:top w:type="dxa" w:w="80"/>
              <w:left w:type="dxa" w:w="120"/>
              <w:bottom w:type="dxa" w:w="80"/>
              <w:right w:type="dxa" w:w="120"/>
            </w:tcMar>
          </w:tcPr>
          <w:p>
            <w:r>
              <w:rPr>
                <w:rFonts w:ascii="Arial" w:cs="Arial" w:eastAsia="Arial" w:hAnsi="Arial"/>
                <w:b/>
                <w:bCs/>
                <w:color w:val="FFFFFF"/>
                <w:sz w:val="24"/>
                <w:szCs w:val="24"/>
              </w:rPr>
              <w:t xml:space="preserve">PRE_EMISION_AUDITORIA</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vAlign w:val="center"/>
          </w:tcPr>
          <w:p>
            <w:pPr>
              <w:jc w:val="center"/>
            </w:pPr>
            <w:r>
              <w:rPr>
                <w:rFonts w:ascii="Arial" w:cs="Arial" w:eastAsia="Arial" w:hAnsi="Arial"/>
                <w:b/>
                <w:bCs/>
                <w:color w:val="9A3412"/>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CREACION, DATOS_COMPLETADOS, COBRO_INICIADO, COBRO_APROBADO, PDF_GENERADO, DESPACHADO, EVENTO_PUBLICADO, EMISION_COMPLETADA, FORZADO_MANUAL, etc.</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estado_anterior</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antes de la acción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estado_nuevo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después de la acción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usuario_id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Usuario o sistema que ejecutó la acción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fecha_accion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exacta de la acción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ip_origen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VARCHAR(45)</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IP de origen de la acción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detalle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Información adicional sobre la acción (payload, respuesta, error)</w:t>
            </w:r>
          </w:p>
        </w:tc>
      </w:tr>
    </w:tbl>
    <w:p>
      <w:r>
        <w:t xml:space="preserve"/>
      </w:r>
    </w:p>
    <w:p>
      <w:pPr>
        <w:pStyle w:val="Heading1"/>
        <w:spacing w:after="120" w:before="360"/>
      </w:pPr>
      <w:r>
        <w:rPr>
          <w:rFonts w:ascii="Arial" w:cs="Arial" w:eastAsia="Arial" w:hAnsi="Arial"/>
          <w:b/>
          <w:bCs/>
          <w:color w:val="2E4057"/>
          <w:sz w:val="36"/>
          <w:szCs w:val="36"/>
        </w:rPr>
        <w:t xml:space="preserve">6. Relaciones entre entidades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500"/>
        <w:gridCol w:w="250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Entidad origen</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Cardinalidad</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Entidad destino</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PRE_EMISION_PERSONAS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Roles de personas heredados y completados</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PRE_EMISION_BENEFICIARIOS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Beneficiarios designados por ítem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PRE_EMISION_OBJETO_COMPLEMENTO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Atributos del objeto no cargados en cotización</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PRE_EMISION_DOCUMENTOS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Documentación obligatoria del asegurado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PRE_EMISION_DECL_JURADA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Declaración jurada con hash para no repudio</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MEDIOS_PAGO_CONFIG</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PRE_EMISION_COBROS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Configuración del medio de pago usado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PRE_EMISION_COBROS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Todos los intentos de cobro de la pre-emisión</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POLIZA_TEMPLATES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POLIZA_DOCUMENTOS_GENERADOS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Template usado para generar cada PDF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POLIZA_DOCUMENTOS_GENERADOS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PDFs generados para esta pre-emisión</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POLIZA_DOCUMENTOS_GENERADOS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POLIZA_DESPACHO</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Cada documento puede despacharse por múltiples canales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POLIZA_DESPACHO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Todos los despachos de la pre-emisión</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EMISION_EVENTOS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Eventos de emisión asíncrona publicados en cola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PRE_EMISION_NOTIFICACIONES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Notificaciones de estado enviadas</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PRE_EMISION_COBROS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PRE_EMISION_NOTIFICACIONES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Notificaciones disparadas por cambios en el cobro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PRE_EMISIONES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PRE_EMISION_AUDITORIA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Log completo de cambios de estado y acciones</w:t>
            </w:r>
          </w:p>
        </w:tc>
      </w:tr>
    </w:tbl>
    <w:p>
      <w:r>
        <w:t xml:space="preserve"/>
      </w:r>
    </w:p>
    <w:p>
      <w:pPr>
        <w:pStyle w:val="Heading1"/>
        <w:spacing w:after="120" w:before="360"/>
      </w:pPr>
      <w:r>
        <w:rPr>
          <w:rFonts w:ascii="Arial" w:cs="Arial" w:eastAsia="Arial" w:hAnsi="Arial"/>
          <w:b/>
          <w:bCs/>
          <w:color w:val="2E4057"/>
          <w:sz w:val="36"/>
          <w:szCs w:val="36"/>
        </w:rPr>
        <w:t xml:space="preserve">7. Integración con otros módulos</w:t>
      </w:r>
    </w:p>
    <w:p>
      <w:pPr>
        <w:spacing w:after="60" w:before="60"/>
      </w:pPr>
      <w:r>
        <w:rPr>
          <w:rFonts w:ascii="Arial" w:cs="Arial" w:eastAsia="Arial" w:hAnsi="Arial"/>
          <w:sz w:val="20"/>
          <w:szCs w:val="20"/>
        </w:rPr>
        <w:t xml:space="preserve">• Módulo 1 (Ramos): PRE_EMISIONES.sucursal_id → SUCURSALES. POLIZA_TEMPLATES.ramo_com_id → RAMOS_COM.</w:t>
      </w:r>
    </w:p>
    <w:p>
      <w:pPr>
        <w:spacing w:after="60" w:before="60"/>
      </w:pPr>
      <w:r>
        <w:rPr>
          <w:rFonts w:ascii="Arial" w:cs="Arial" w:eastAsia="Arial" w:hAnsi="Arial"/>
          <w:sz w:val="20"/>
          <w:szCs w:val="20"/>
        </w:rPr>
        <w:t xml:space="preserve">• Módulo 2 (Clientes): PRE_EMISION_PERSONAS.persona_id → PERSONAS. PRE_EMISION_BENEFICIARIOS.persona_id → PERSONAS. POLIZA_DESPACHO.persona_id → PERSONAS. EMISION_EVENTOS.usuario_forzado_id → PERSONAS.</w:t>
      </w:r>
    </w:p>
    <w:p>
      <w:pPr>
        <w:spacing w:after="60" w:before="60"/>
      </w:pPr>
      <w:r>
        <w:rPr>
          <w:rFonts w:ascii="Arial" w:cs="Arial" w:eastAsia="Arial" w:hAnsi="Arial"/>
          <w:sz w:val="20"/>
          <w:szCs w:val="20"/>
        </w:rPr>
        <w:t xml:space="preserve">• Módulo 3 (Producto): POLIZA_TEMPLATES.producto_id → PRODUCTOS. Las variables del template se resuelven desde coberturas, clausulas y anexos del producto.</w:t>
      </w:r>
    </w:p>
    <w:p>
      <w:pPr>
        <w:spacing w:after="60" w:before="60"/>
      </w:pPr>
      <w:r>
        <w:rPr>
          <w:rFonts w:ascii="Arial" w:cs="Arial" w:eastAsia="Arial" w:hAnsi="Arial"/>
          <w:sz w:val="20"/>
          <w:szCs w:val="20"/>
        </w:rPr>
        <w:t xml:space="preserve">• Módulo 4 (Agentes): PRE_EMISIONES.agente_id → AGENTES. La comisión del agente se calcula durante la emisión asíncrona en el Módulo 7.</w:t>
      </w:r>
    </w:p>
    <w:p>
      <w:pPr>
        <w:spacing w:after="60" w:before="60"/>
      </w:pPr>
      <w:r>
        <w:rPr>
          <w:rFonts w:ascii="Arial" w:cs="Arial" w:eastAsia="Arial" w:hAnsi="Arial"/>
          <w:sz w:val="20"/>
          <w:szCs w:val="20"/>
        </w:rPr>
        <w:t xml:space="preserve">• Módulo 5 (Cotizador): PRE_EMISIONES.cotizacion_id → COTIZACIONES. Al completarse la pre-emisión, la cotización pasa a estado CONVERTIDA.</w:t>
      </w:r>
    </w:p>
    <w:p>
      <w:pPr>
        <w:spacing w:after="60" w:before="60"/>
      </w:pPr>
      <w:r>
        <w:rPr>
          <w:rFonts w:ascii="Arial" w:cs="Arial" w:eastAsia="Arial" w:hAnsi="Arial"/>
          <w:sz w:val="20"/>
          <w:szCs w:val="20"/>
        </w:rPr>
        <w:t xml:space="preserve">• Módulo 7 (Pólizas, futuro): El worker Go crea la póliza en el Módulo 7 usando nro_poliza_reservado. EMISION_EVENTOS.resultado = POLIZA_EMITIDA registra el ID de la póliza creada en payload_json.</w:t>
      </w:r>
    </w:p>
    <w:p>
      <w:r>
        <w:t xml:space="preserve"/>
      </w:r>
    </w:p>
    <w:p>
      <w:pPr>
        <w:pStyle w:val="Heading1"/>
        <w:spacing w:after="120" w:before="360"/>
      </w:pPr>
      <w:r>
        <w:rPr>
          <w:rFonts w:ascii="Arial" w:cs="Arial" w:eastAsia="Arial" w:hAnsi="Arial"/>
          <w:b/>
          <w:bCs/>
          <w:color w:val="2E4057"/>
          <w:sz w:val="36"/>
          <w:szCs w:val="36"/>
        </w:rPr>
        <w:t xml:space="preserve">8. Notas para el equipo</w:t>
      </w:r>
    </w:p>
    <w:p>
      <w:pPr>
        <w:spacing w:after="60" w:before="60"/>
      </w:pPr>
      <w:r>
        <w:rPr>
          <w:rFonts w:ascii="Arial" w:cs="Arial" w:eastAsia="Arial" w:hAnsi="Arial"/>
          <w:sz w:val="20"/>
          <w:szCs w:val="20"/>
        </w:rPr>
        <w:t xml:space="preserve">☐  Definir el broker de mensajes para el worker Go: Kafka (alto throughput), RabbitMQ (más simple) o NATS (latencia muy baja). El esquema EMISION_EVENTOS es agnóstico al broker.</w:t>
      </w:r>
    </w:p>
    <w:p>
      <w:pPr>
        <w:spacing w:after="60" w:before="60"/>
      </w:pPr>
      <w:r>
        <w:rPr>
          <w:rFonts w:ascii="Arial" w:cs="Arial" w:eastAsia="Arial" w:hAnsi="Arial"/>
          <w:sz w:val="20"/>
          <w:szCs w:val="20"/>
        </w:rPr>
        <w:t xml:space="preserve">☐  Confirmar qué variables dinámicas requiere cada tipo de template y si hay variables específicas por ramo que no están en el esquema base.</w:t>
      </w:r>
    </w:p>
    <w:p>
      <w:pPr>
        <w:spacing w:after="60" w:before="60"/>
      </w:pPr>
      <w:r>
        <w:rPr>
          <w:rFonts w:ascii="Arial" w:cs="Arial" w:eastAsia="Arial" w:hAnsi="Arial"/>
          <w:sz w:val="20"/>
          <w:szCs w:val="20"/>
        </w:rPr>
        <w:t xml:space="preserve">☐  Definir el back-off exponencial del worker: ej. 1min → 5min → 15min → 60min antes de pasar a FALLIDO definitivo.</w:t>
      </w:r>
    </w:p>
    <w:p>
      <w:pPr>
        <w:spacing w:after="60" w:before="60"/>
      </w:pPr>
      <w:r>
        <w:rPr>
          <w:rFonts w:ascii="Arial" w:cs="Arial" w:eastAsia="Arial" w:hAnsi="Arial"/>
          <w:sz w:val="20"/>
          <w:szCs w:val="20"/>
        </w:rPr>
        <w:t xml:space="preserve">☐  Revisar si la firma digital del asegurado en la declaración jurada necesita integración con un proveedor de firma electrónica (FirmaDigital, DocuSign, etc.) o es suficiente con el hash + IP + timestamp.</w:t>
      </w:r>
    </w:p>
    <w:p>
      <w:pPr>
        <w:spacing w:after="60" w:before="60"/>
      </w:pPr>
      <w:r>
        <w:rPr>
          <w:rFonts w:ascii="Arial" w:cs="Arial" w:eastAsia="Arial" w:hAnsi="Arial"/>
          <w:sz w:val="20"/>
          <w:szCs w:val="20"/>
        </w:rPr>
        <w:t xml:space="preserve">☐  Confirmar si el recibo de pago debe generarse inmediatamente tras el cobro o puede esperar a que estén todos los PDFs (para enviarse junto al paquete completo).</w:t>
      </w:r>
    </w:p>
    <w:p>
      <w:pPr>
        <w:spacing w:after="60" w:before="60"/>
      </w:pPr>
      <w:r>
        <w:rPr>
          <w:rFonts w:ascii="Arial" w:cs="Arial" w:eastAsia="Arial" w:hAnsi="Arial"/>
          <w:sz w:val="20"/>
          <w:szCs w:val="20"/>
        </w:rPr>
        <w:t xml:space="preserve">☐  Definir si POLIZA_DESPACHO debe integrarse con un servicio de tracking de emails (webhooks de SendGrid/SES) para actualizar el estado ENTREGADO/REBOTADO en tiempo real.</w:t>
      </w:r>
    </w:p>
    <w:p>
      <w:pPr>
        <w:spacing w:after="60" w:before="60"/>
      </w:pPr>
      <w:r>
        <w:rPr>
          <w:rFonts w:ascii="Arial" w:cs="Arial" w:eastAsia="Arial" w:hAnsi="Arial"/>
          <w:sz w:val="20"/>
          <w:szCs w:val="20"/>
        </w:rPr>
        <w:t xml:space="preserve">☐  Evaluar si el portal web necesita una tabla separada de sesiones/tokens para el acceso del asegurado a sus documentos, o si se maneja con el token_aceptacion del Módulo 5.</w:t>
      </w:r>
    </w:p>
    <w:p>
      <w:pPr>
        <w:spacing w:after="120" w:before="480"/>
      </w:pPr>
      <w:r>
        <w:rPr>
          <w:rFonts w:ascii="Arial" w:cs="Arial" w:eastAsia="Arial" w:hAnsi="Arial"/>
          <w:color w:val="666666"/>
          <w:sz w:val="28"/>
          <w:szCs w:val="28"/>
        </w:rPr>
        <w:t xml:space="preserve">ERP de Seguros</w:t>
      </w:r>
    </w:p>
    <w:p>
      <w:pPr>
        <w:spacing w:after="80" w:before="0"/>
      </w:pPr>
      <w:r>
        <w:rPr>
          <w:rFonts w:ascii="Arial" w:cs="Arial" w:eastAsia="Arial" w:hAnsi="Arial"/>
          <w:b/>
          <w:bCs/>
          <w:color w:val="2E4057"/>
          <w:sz w:val="52"/>
          <w:szCs w:val="52"/>
        </w:rPr>
        <w:t xml:space="preserve">Módulo 6 — Pre-emisión</w:t>
      </w:r>
    </w:p>
    <w:p>
      <w:pPr>
        <w:spacing w:after="60" w:before="0"/>
      </w:pPr>
      <w:r>
        <w:rPr>
          <w:rFonts w:ascii="Arial" w:cs="Arial" w:eastAsia="Arial" w:hAnsi="Arial"/>
          <w:color w:val="1B6CA8"/>
          <w:sz w:val="28"/>
          <w:szCs w:val="28"/>
        </w:rPr>
        <w:t xml:space="preserve">Diagramas de flujo</w:t>
      </w:r>
    </w:p>
    <w:p>
      <w:pPr>
        <w:pBdr>
          <w:bottom w:val="single" w:color="2E4057" w:sz="6" w:space="1"/>
        </w:pBdr>
        <w:spacing w:after="300" w:before="60"/>
      </w:pPr>
    </w:p>
    <w:p>
      <w:pPr>
        <w:spacing w:after="60" w:before="0"/>
      </w:pPr>
      <w:r>
        <w:rPr>
          <w:rFonts w:ascii="Arial" w:cs="Arial" w:eastAsia="Arial" w:hAnsi="Arial"/>
          <w:b/>
          <w:bCs/>
          <w:color w:val="2E4057"/>
          <w:sz w:val="32"/>
          <w:szCs w:val="32"/>
        </w:rPr>
        <w:t xml:space="preserve">1. Flujo post-cobro aprobado</w:t>
      </w:r>
    </w:p>
    <w:p>
      <w:pPr>
        <w:spacing w:after="200" w:before="0"/>
      </w:pPr>
      <w:r>
        <w:rPr>
          <w:rFonts w:ascii="Arial" w:cs="Arial" w:eastAsia="Arial" w:hAnsi="Arial"/>
          <w:sz w:val="20"/>
          <w:szCs w:val="20"/>
        </w:rPr>
        <w:t xml:space="preserve">Secuencia de 7 pasos desde el cobro aprobado hasta la emisión asíncrona de la póliza. Los pasos 1 a 5 son sincrónicos (el asegurado recibe sus documentos en tiempo real). El paso 6 (Worker Go) es completamente asíncrono e independiente.</w:t>
      </w:r>
    </w:p>
    <w:p>
      <w:pPr>
        <w:spacing w:after="300" w:before="0"/>
      </w:pPr>
      <w:r>
        <w:drawing>
          <wp:inline distT="0" distB="0" distL="0" distR="0">
            <wp:extent cx="64770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6477000" cy="4905375"/>
                    </a:xfrm>
                    <a:prstGeom prst="rect">
                      <a:avLst/>
                    </a:prstGeom>
                  </pic:spPr>
                </pic:pic>
              </a:graphicData>
            </a:graphic>
          </wp:inline>
        </w:drawing>
      </w:r>
    </w:p>
    <w:p>
      <w:r>
        <w:br w:type="page"/>
      </w:r>
    </w:p>
    <w:p>
      <w:pPr>
        <w:spacing w:after="60" w:before="200"/>
      </w:pPr>
      <w:r>
        <w:rPr>
          <w:rFonts w:ascii="Arial" w:cs="Arial" w:eastAsia="Arial" w:hAnsi="Arial"/>
          <w:b/>
          <w:bCs/>
          <w:color w:val="2E4057"/>
          <w:sz w:val="32"/>
          <w:szCs w:val="32"/>
        </w:rPr>
        <w:t xml:space="preserve">2. Estados del ciclo de vida de la pre-emisión</w:t>
      </w:r>
    </w:p>
    <w:p>
      <w:pPr>
        <w:spacing w:after="200" w:before="0"/>
      </w:pPr>
      <w:r>
        <w:rPr>
          <w:rFonts w:ascii="Arial" w:cs="Arial" w:eastAsia="Arial" w:hAnsi="Arial"/>
          <w:sz w:val="20"/>
          <w:szCs w:val="20"/>
        </w:rPr>
        <w:t xml:space="preserve">La pre-emisión atraviesa hasta 9 estados en el flujo exitoso. COBRO_FALLIDO y FALLO_EMISION son estados de error con reintentos automáticos. VENCIDA puede ocurrir desde cualquier estado si se supera la fecha de vencimiento.</w:t>
      </w:r>
    </w:p>
    <w:p>
      <w:pPr>
        <w:spacing w:after="200" w:before="0"/>
      </w:pPr>
      <w:r>
        <w:drawing>
          <wp:inline distT="0" distB="0" distL="0" distR="0">
            <wp:extent cx="6477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6477000" cy="5486400"/>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6C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108" Type="http://schemas.openxmlformats.org/officeDocument/2006/relationships/image" Target="media/diag_0d3d7d206fe34d59f9e46242a994156def4edf6e.png"/>
  <Relationship Id="rId109" Type="http://schemas.openxmlformats.org/officeDocument/2006/relationships/image" Target="media/diag_f55e071784de7942948e40a009d2bdef98c47761.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2026-06-05T22:42:15.106Z</dcterms:created>
  <dcterms:modified xsi:type="dcterms:W3CDTF">2026-06-05T22:42:15.106Z</dcterms:modified>
</cp:coreProperties>
</file>

<file path=docProps/custom.xml><?xml version="1.0" encoding="utf-8"?>
<Properties xmlns="http://schemas.openxmlformats.org/officeDocument/2006/custom-properties" xmlns:vt="http://schemas.openxmlformats.org/officeDocument/2006/docPropsVTypes"/>
</file>