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Mini-Ciclo 1: Consolidación y Refactorización (Cierre del Ciclo 3)</w:t>
      </w:r>
    </w:p>
    <w:p w:rsidR="00000000" w:rsidDel="00000000" w:rsidP="00000000" w:rsidRDefault="00000000" w:rsidRPr="00000000" w14:paraId="00000002">
      <w:pPr>
        <w:numPr>
          <w:ilvl w:val="0"/>
          <w:numId w:val="1"/>
        </w:numPr>
        <w:spacing w:after="0" w:afterAutospacing="0" w:before="240" w:lineRule="auto"/>
        <w:ind w:left="720" w:hanging="360"/>
        <w:rPr/>
      </w:pPr>
      <w:r w:rsidDel="00000000" w:rsidR="00000000" w:rsidRPr="00000000">
        <w:rPr>
          <w:b w:val="1"/>
          <w:bCs w:val="1"/>
          <w:rtl w:val="0"/>
        </w:rPr>
        <w:t xml:space="preserve">Objetivo:</w:t>
      </w:r>
      <w:r w:rsidDel="00000000" w:rsidR="00000000" w:rsidRPr="00000000">
        <w:rPr>
          <w:rtl w:val="0"/>
        </w:rPr>
        <w:t xml:space="preserve"> Garantizar que el código base esté libre de redundancias antes de introducir nuevas mecánicas.</w:t>
      </w:r>
    </w:p>
    <w:p w:rsidR="00000000" w:rsidDel="00000000" w:rsidP="00000000" w:rsidRDefault="00000000" w:rsidRPr="00000000" w14:paraId="00000003">
      <w:pPr>
        <w:numPr>
          <w:ilvl w:val="0"/>
          <w:numId w:val="1"/>
        </w:numPr>
        <w:spacing w:after="0" w:afterAutospacing="0" w:before="0" w:beforeAutospacing="0" w:lineRule="auto"/>
        <w:ind w:left="720" w:hanging="360"/>
        <w:rPr/>
      </w:pPr>
      <w:r w:rsidDel="00000000" w:rsidR="00000000" w:rsidRPr="00000000">
        <w:rPr>
          <w:b w:val="1"/>
          <w:bCs w:val="1"/>
          <w:rtl w:val="0"/>
        </w:rPr>
        <w:t xml:space="preserve">Acciones:</w:t>
      </w:r>
    </w:p>
    <w:p w:rsidR="00000000" w:rsidDel="00000000" w:rsidP="00000000" w:rsidRDefault="00000000" w:rsidRPr="00000000" w14:paraId="00000004">
      <w:pPr>
        <w:numPr>
          <w:ilvl w:val="1"/>
          <w:numId w:val="1"/>
        </w:numPr>
        <w:spacing w:after="0" w:afterAutospacing="0" w:before="0" w:beforeAutospacing="0" w:lineRule="auto"/>
        <w:ind w:left="1440" w:hanging="360"/>
        <w:rPr/>
      </w:pPr>
      <w:r w:rsidDel="00000000" w:rsidR="00000000" w:rsidRPr="00000000">
        <w:rPr>
          <w:rtl w:val="0"/>
        </w:rPr>
        <w:t xml:space="preserve">Eliminación definitiva de métodos huérfanos heredados de iteraciones anteriores.</w:t>
      </w:r>
    </w:p>
    <w:p w:rsidR="00000000" w:rsidDel="00000000" w:rsidP="00000000" w:rsidRDefault="00000000" w:rsidRPr="00000000" w14:paraId="00000005">
      <w:pPr>
        <w:numPr>
          <w:ilvl w:val="1"/>
          <w:numId w:val="1"/>
        </w:numPr>
        <w:spacing w:after="0" w:afterAutospacing="0" w:before="0" w:beforeAutospacing="0" w:lineRule="auto"/>
        <w:ind w:left="1440" w:hanging="360"/>
        <w:rPr/>
      </w:pPr>
      <w:r w:rsidDel="00000000" w:rsidR="00000000" w:rsidRPr="00000000">
        <w:rPr>
          <w:rtl w:val="0"/>
        </w:rPr>
        <w:t xml:space="preserve">Pequeñas correcciones del polimorfismo mediante el uso del parámetro genérico </w:t>
      </w:r>
      <w:r w:rsidDel="00000000" w:rsidR="00000000" w:rsidRPr="00000000">
        <w:rPr>
          <w:rtl w:val="0"/>
        </w:rPr>
        <w:t xml:space="preserve">StackItem</w:t>
      </w:r>
      <w:r w:rsidDel="00000000" w:rsidR="00000000" w:rsidRPr="00000000">
        <w:rPr>
          <w:rtl w:val="0"/>
        </w:rPr>
        <w:t xml:space="preserve"> en los métodos de contención y sellado (</w:t>
      </w:r>
      <w:r w:rsidDel="00000000" w:rsidR="00000000" w:rsidRPr="00000000">
        <w:rPr>
          <w:rtl w:val="0"/>
        </w:rPr>
        <w:t xml:space="preserve">canContain</w:t>
      </w:r>
      <w:r w:rsidDel="00000000" w:rsidR="00000000" w:rsidRPr="00000000">
        <w:rPr>
          <w:rtl w:val="0"/>
        </w:rPr>
        <w:t xml:space="preserve">, </w:t>
      </w:r>
      <w:r w:rsidDel="00000000" w:rsidR="00000000" w:rsidRPr="00000000">
        <w:rPr>
          <w:rtl w:val="0"/>
        </w:rPr>
        <w:t xml:space="preserve">canSeal</w:t>
      </w:r>
      <w:r w:rsidDel="00000000" w:rsidR="00000000" w:rsidRPr="00000000">
        <w:rPr>
          <w:rtl w:val="0"/>
        </w:rPr>
        <w:t xml:space="preserve">).</w:t>
      </w:r>
    </w:p>
    <w:p w:rsidR="00000000" w:rsidDel="00000000" w:rsidP="00000000" w:rsidRDefault="00000000" w:rsidRPr="00000000" w14:paraId="00000006">
      <w:pPr>
        <w:numPr>
          <w:ilvl w:val="1"/>
          <w:numId w:val="1"/>
        </w:numPr>
        <w:spacing w:after="240" w:before="0" w:beforeAutospacing="0" w:lineRule="auto"/>
        <w:ind w:left="1440" w:hanging="360"/>
        <w:rPr/>
      </w:pPr>
      <w:r w:rsidDel="00000000" w:rsidR="00000000" w:rsidRPr="00000000">
        <w:rPr>
          <w:rtl w:val="0"/>
        </w:rPr>
        <w:t xml:space="preserve">Actualización del diagrama de clases en Astah para reflejar fielmente el estado final de esta versión base (correcciones y organización).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Mini-Ciclo 2: Reestructuración de Paquetes (Inicio del Ciclo 4)</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b w:val="1"/>
          <w:bCs w:val="1"/>
          <w:rtl w:val="0"/>
        </w:rPr>
        <w:t xml:space="preserve">Objetivo:</w:t>
      </w:r>
      <w:r w:rsidDel="00000000" w:rsidR="00000000" w:rsidRPr="00000000">
        <w:rPr>
          <w:rtl w:val="0"/>
        </w:rPr>
        <w:t xml:space="preserve"> Modularizar el proyecto según los lineamientos arquitectónicos solicitados.</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b w:val="1"/>
          <w:bCs w:val="1"/>
          <w:rtl w:val="0"/>
        </w:rPr>
        <w:t xml:space="preserve">Acciones:</w:t>
      </w:r>
    </w:p>
    <w:p w:rsidR="00000000" w:rsidDel="00000000" w:rsidP="00000000" w:rsidRDefault="00000000" w:rsidRPr="00000000" w14:paraId="0000000A">
      <w:pPr>
        <w:numPr>
          <w:ilvl w:val="1"/>
          <w:numId w:val="4"/>
        </w:numPr>
        <w:spacing w:after="0" w:afterAutospacing="0" w:before="0" w:beforeAutospacing="0" w:lineRule="auto"/>
        <w:ind w:left="1440" w:hanging="360"/>
        <w:rPr/>
      </w:pPr>
      <w:r w:rsidDel="00000000" w:rsidR="00000000" w:rsidRPr="00000000">
        <w:rPr>
          <w:rtl w:val="0"/>
        </w:rPr>
        <w:t xml:space="preserve">Creación del paquete </w:t>
      </w:r>
      <w:r w:rsidDel="00000000" w:rsidR="00000000" w:rsidRPr="00000000">
        <w:rPr>
          <w:rtl w:val="0"/>
        </w:rPr>
        <w:t xml:space="preserve">shapes</w:t>
      </w:r>
      <w:r w:rsidDel="00000000" w:rsidR="00000000" w:rsidRPr="00000000">
        <w:rPr>
          <w:rtl w:val="0"/>
        </w:rPr>
        <w:t xml:space="preserve"> y migración exclusiva de las clases </w:t>
      </w:r>
      <w:r w:rsidDel="00000000" w:rsidR="00000000" w:rsidRPr="00000000">
        <w:rPr>
          <w:rtl w:val="0"/>
        </w:rPr>
        <w:t xml:space="preserve">Canvas</w:t>
      </w:r>
      <w:r w:rsidDel="00000000" w:rsidR="00000000" w:rsidRPr="00000000">
        <w:rPr>
          <w:rtl w:val="0"/>
        </w:rPr>
        <w:t xml:space="preserve"> y </w:t>
      </w:r>
      <w:r w:rsidDel="00000000" w:rsidR="00000000" w:rsidRPr="00000000">
        <w:rPr>
          <w:rtl w:val="0"/>
        </w:rPr>
        <w:t xml:space="preserve">Rectangle</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rPr/>
      </w:pPr>
      <w:r w:rsidDel="00000000" w:rsidR="00000000" w:rsidRPr="00000000">
        <w:rPr>
          <w:rtl w:val="0"/>
        </w:rPr>
        <w:t xml:space="preserve">Creación del paquete </w:t>
      </w:r>
      <w:r w:rsidDel="00000000" w:rsidR="00000000" w:rsidRPr="00000000">
        <w:rPr>
          <w:rtl w:val="0"/>
        </w:rPr>
        <w:t xml:space="preserve">tower</w:t>
      </w:r>
      <w:r w:rsidDel="00000000" w:rsidR="00000000" w:rsidRPr="00000000">
        <w:rPr>
          <w:rtl w:val="0"/>
        </w:rPr>
        <w:t xml:space="preserve"> y migración de las entidades lógicas (</w:t>
      </w:r>
      <w:r w:rsidDel="00000000" w:rsidR="00000000" w:rsidRPr="00000000">
        <w:rPr>
          <w:rtl w:val="0"/>
        </w:rPr>
        <w:t xml:space="preserve">StackItem</w:t>
      </w:r>
      <w:r w:rsidDel="00000000" w:rsidR="00000000" w:rsidRPr="00000000">
        <w:rPr>
          <w:rtl w:val="0"/>
        </w:rPr>
        <w:t xml:space="preserve">, </w:t>
      </w:r>
      <w:r w:rsidDel="00000000" w:rsidR="00000000" w:rsidRPr="00000000">
        <w:rPr>
          <w:rtl w:val="0"/>
        </w:rPr>
        <w:t xml:space="preserve">Cup</w:t>
      </w:r>
      <w:r w:rsidDel="00000000" w:rsidR="00000000" w:rsidRPr="00000000">
        <w:rPr>
          <w:rtl w:val="0"/>
        </w:rPr>
        <w:t xml:space="preserve">, </w:t>
      </w:r>
      <w:r w:rsidDel="00000000" w:rsidR="00000000" w:rsidRPr="00000000">
        <w:rPr>
          <w:rtl w:val="0"/>
        </w:rPr>
        <w:t xml:space="preserve">Lid</w:t>
      </w:r>
      <w:r w:rsidDel="00000000" w:rsidR="00000000" w:rsidRPr="00000000">
        <w:rPr>
          <w:rtl w:val="0"/>
        </w:rPr>
        <w:t xml:space="preserve">, </w:t>
      </w:r>
      <w:r w:rsidDel="00000000" w:rsidR="00000000" w:rsidRPr="00000000">
        <w:rPr>
          <w:rtl w:val="0"/>
        </w:rPr>
        <w:t xml:space="preserve">Tower</w:t>
      </w:r>
      <w:r w:rsidDel="00000000" w:rsidR="00000000" w:rsidRPr="00000000">
        <w:rPr>
          <w:rtl w:val="0"/>
        </w:rPr>
        <w:t xml:space="preserve">, </w:t>
      </w:r>
      <w:r w:rsidDel="00000000" w:rsidR="00000000" w:rsidRPr="00000000">
        <w:rPr>
          <w:rtl w:val="0"/>
        </w:rPr>
        <w:t xml:space="preserve">TowerContest</w:t>
      </w:r>
      <w:r w:rsidDel="00000000" w:rsidR="00000000" w:rsidRPr="00000000">
        <w:rPr>
          <w:rtl w:val="0"/>
        </w:rPr>
        <w:t xml:space="preserve">).</w:t>
      </w:r>
    </w:p>
    <w:p w:rsidR="00000000" w:rsidDel="00000000" w:rsidP="00000000" w:rsidRDefault="00000000" w:rsidRPr="00000000" w14:paraId="0000000C">
      <w:pPr>
        <w:numPr>
          <w:ilvl w:val="1"/>
          <w:numId w:val="4"/>
        </w:numPr>
        <w:spacing w:after="0" w:afterAutospacing="0" w:before="0" w:beforeAutospacing="0" w:lineRule="auto"/>
        <w:ind w:left="1440" w:hanging="360"/>
        <w:rPr>
          <w:u w:val="none"/>
        </w:rPr>
      </w:pPr>
      <w:r w:rsidDel="00000000" w:rsidR="00000000" w:rsidRPr="00000000">
        <w:rPr>
          <w:i w:val="1"/>
          <w:iCs w:val="1"/>
          <w:rtl w:val="0"/>
        </w:rPr>
        <w:t xml:space="preserve">Creación de paquete de test que aunque no se menciona en el documento del ciclo, por organización del proyecto es preferible añadirlo</w:t>
      </w:r>
      <w:r w:rsidDel="00000000" w:rsidR="00000000" w:rsidRPr="00000000">
        <w:rPr>
          <w:rtl w:val="0"/>
        </w:rPr>
        <w:t xml:space="preserve">.</w:t>
      </w:r>
    </w:p>
    <w:p w:rsidR="00000000" w:rsidDel="00000000" w:rsidP="00000000" w:rsidRDefault="00000000" w:rsidRPr="00000000" w14:paraId="0000000D">
      <w:pPr>
        <w:numPr>
          <w:ilvl w:val="1"/>
          <w:numId w:val="4"/>
        </w:numPr>
        <w:spacing w:after="240" w:before="0" w:beforeAutospacing="0" w:lineRule="auto"/>
        <w:ind w:left="1440" w:hanging="360"/>
        <w:rPr/>
      </w:pPr>
      <w:r w:rsidDel="00000000" w:rsidR="00000000" w:rsidRPr="00000000">
        <w:rPr>
          <w:rtl w:val="0"/>
        </w:rPr>
        <w:t xml:space="preserve">Resolución de dependencias mediante la importación explícita (</w:t>
      </w:r>
      <w:r w:rsidDel="00000000" w:rsidR="00000000" w:rsidRPr="00000000">
        <w:rPr>
          <w:rtl w:val="0"/>
        </w:rPr>
        <w:t xml:space="preserve">import shapes.*;</w:t>
      </w:r>
      <w:r w:rsidDel="00000000" w:rsidR="00000000" w:rsidRPr="00000000">
        <w:rPr>
          <w:rtl w:val="0"/>
        </w:rPr>
        <w:t xml:space="preserve">) y ajuste de modificadores de acceso (cambiar atributos locales a </w:t>
      </w:r>
      <w:r w:rsidDel="00000000" w:rsidR="00000000" w:rsidRPr="00000000">
        <w:rPr>
          <w:rtl w:val="0"/>
        </w:rPr>
        <w:t xml:space="preserve">protected</w:t>
      </w:r>
      <w:r w:rsidDel="00000000" w:rsidR="00000000" w:rsidRPr="00000000">
        <w:rPr>
          <w:rtl w:val="0"/>
        </w:rPr>
        <w:t xml:space="preserve"> si las clases hijas lo requieren).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Mini-Ciclo 3: Pruebas de Unidad e Interfaz de Aceptación </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Validar matemáticamente y visualmente las nuevas reglas de negocio.</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Acciones:</w:t>
      </w:r>
    </w:p>
    <w:p w:rsidR="00000000" w:rsidDel="00000000" w:rsidP="00000000" w:rsidRDefault="00000000" w:rsidRPr="00000000" w14:paraId="00000011">
      <w:pPr>
        <w:numPr>
          <w:ilvl w:val="1"/>
          <w:numId w:val="6"/>
        </w:numPr>
        <w:spacing w:after="0" w:afterAutospacing="0" w:before="0" w:beforeAutospacing="0" w:lineRule="auto"/>
        <w:ind w:left="1440" w:hanging="360"/>
        <w:rPr/>
      </w:pPr>
      <w:r w:rsidDel="00000000" w:rsidR="00000000" w:rsidRPr="00000000">
        <w:rPr>
          <w:rtl w:val="0"/>
        </w:rPr>
        <w:t xml:space="preserve">Escribir pruebas para OpenerCup: Validar que, si existen tapas en su trayectoria de caída, la cantidad de elementos visibles en la torre disminuya y su posición final ignore dichas tapas.</w:t>
      </w:r>
    </w:p>
    <w:p w:rsidR="00000000" w:rsidDel="00000000" w:rsidP="00000000" w:rsidRDefault="00000000" w:rsidRPr="00000000" w14:paraId="00000012">
      <w:pPr>
        <w:numPr>
          <w:ilvl w:val="1"/>
          <w:numId w:val="6"/>
        </w:numPr>
        <w:spacing w:after="0" w:afterAutospacing="0" w:before="0" w:beforeAutospacing="0" w:lineRule="auto"/>
        <w:ind w:left="1440" w:hanging="360"/>
        <w:rPr/>
      </w:pPr>
      <w:r w:rsidDel="00000000" w:rsidR="00000000" w:rsidRPr="00000000">
        <w:rPr>
          <w:rtl w:val="0"/>
        </w:rPr>
        <w:t xml:space="preserve">Escribir pruebas para CrazyLid: Verificar que al insertarla, NUNCA sella a su taza correspondiente (su método isSealedCup() debe dar falso) y que su coordenada final (Y) se ubica en la base de la torre o sobre otra estructura base.</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rtl w:val="0"/>
        </w:rPr>
        <w:t xml:space="preserve">Desarrollo de la clase ejecutable TowerATest (Aceptación Visual), incorporando pausas y cuadros de diálogo interactivos que expliquen al usuario qué regla física está a punto de ejecutarse en pantalla.</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Mini-Ciclo 4: Desarrollo de la </w:t>
      </w:r>
      <w:r w:rsidDel="00000000" w:rsidR="00000000" w:rsidRPr="00000000">
        <w:rPr>
          <w:b w:val="1"/>
          <w:bCs w:val="1"/>
          <w:rtl w:val="0"/>
        </w:rPr>
        <w:t xml:space="preserve">OpenerCup</w:t>
      </w:r>
    </w:p>
    <w:p w:rsidR="00000000" w:rsidDel="00000000" w:rsidP="00000000" w:rsidRDefault="00000000" w:rsidRPr="00000000" w14:paraId="00000015">
      <w:pPr>
        <w:numPr>
          <w:ilvl w:val="0"/>
          <w:numId w:val="5"/>
        </w:numPr>
        <w:spacing w:after="0" w:afterAutospacing="0" w:before="240" w:lineRule="auto"/>
        <w:ind w:left="720" w:hanging="360"/>
        <w:rPr/>
      </w:pPr>
      <w:r w:rsidDel="00000000" w:rsidR="00000000" w:rsidRPr="00000000">
        <w:rPr>
          <w:b w:val="1"/>
          <w:bCs w:val="1"/>
          <w:rtl w:val="0"/>
        </w:rPr>
        <w:t xml:space="preserve">Concepto</w:t>
      </w:r>
      <w:r w:rsidDel="00000000" w:rsidR="00000000" w:rsidRPr="00000000">
        <w:rPr>
          <w:rtl w:val="0"/>
        </w:rPr>
        <w:t xml:space="preserve">: Taza que elimina las tapas que bloquean su descenso.</w:t>
      </w:r>
    </w:p>
    <w:p w:rsidR="00000000" w:rsidDel="00000000" w:rsidP="00000000" w:rsidRDefault="00000000" w:rsidRPr="00000000" w14:paraId="0000001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Implementación</w:t>
      </w:r>
      <w:r w:rsidDel="00000000" w:rsidR="00000000" w:rsidRPr="00000000">
        <w:rPr>
          <w:rtl w:val="0"/>
        </w:rPr>
        <w:t xml:space="preserve">: Crear la clase extendiendo de </w:t>
      </w:r>
      <w:r w:rsidDel="00000000" w:rsidR="00000000" w:rsidRPr="00000000">
        <w:rPr>
          <w:rtl w:val="0"/>
        </w:rPr>
        <w:t xml:space="preserve">Cup</w:t>
      </w:r>
      <w:r w:rsidDel="00000000" w:rsidR="00000000" w:rsidRPr="00000000">
        <w:rPr>
          <w:rtl w:val="0"/>
        </w:rPr>
        <w:t xml:space="preserve">. Sobrescribir la lógica de cálculo de posición para detectar tapas, ejecutar su método </w:t>
      </w:r>
      <w:r w:rsidDel="00000000" w:rsidR="00000000" w:rsidRPr="00000000">
        <w:rPr>
          <w:rtl w:val="0"/>
        </w:rPr>
        <w:t xml:space="preserve">makeInvisible()</w:t>
      </w:r>
      <w:r w:rsidDel="00000000" w:rsidR="00000000" w:rsidRPr="00000000">
        <w:rPr>
          <w:rtl w:val="0"/>
        </w:rPr>
        <w:t xml:space="preserve"> y continuar la caída hasta el siguiente punto de apoyo válido.</w:t>
      </w:r>
    </w:p>
    <w:p w:rsidR="00000000" w:rsidDel="00000000" w:rsidP="00000000" w:rsidRDefault="00000000" w:rsidRPr="00000000" w14:paraId="00000017">
      <w:pPr>
        <w:numPr>
          <w:ilvl w:val="0"/>
          <w:numId w:val="5"/>
        </w:numPr>
        <w:spacing w:after="240" w:before="0" w:beforeAutospacing="0" w:lineRule="auto"/>
        <w:ind w:left="720" w:hanging="360"/>
        <w:rPr/>
      </w:pPr>
      <w:r w:rsidDel="00000000" w:rsidR="00000000" w:rsidRPr="00000000">
        <w:rPr>
          <w:b w:val="1"/>
          <w:bCs w:val="1"/>
          <w:rtl w:val="0"/>
        </w:rPr>
        <w:t xml:space="preserve">Verificación</w:t>
      </w:r>
      <w:r w:rsidDel="00000000" w:rsidR="00000000" w:rsidRPr="00000000">
        <w:rPr>
          <w:rtl w:val="0"/>
        </w:rPr>
        <w:t xml:space="preserve">: Ejecución de la suite de pruebas del Mini-Ciclo 3 hasta obtener luz verde.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Mini-Ciclo 5: Desarrollo de la </w:t>
      </w:r>
      <w:r w:rsidDel="00000000" w:rsidR="00000000" w:rsidRPr="00000000">
        <w:rPr>
          <w:b w:val="1"/>
          <w:bCs w:val="1"/>
          <w:rtl w:val="0"/>
        </w:rPr>
        <w:t xml:space="preserve">CrazyLid</w:t>
      </w:r>
    </w:p>
    <w:p w:rsidR="00000000" w:rsidDel="00000000" w:rsidP="00000000" w:rsidRDefault="00000000" w:rsidRPr="00000000" w14:paraId="00000019">
      <w:pPr>
        <w:numPr>
          <w:ilvl w:val="0"/>
          <w:numId w:val="2"/>
        </w:numPr>
        <w:spacing w:after="0" w:afterAutospacing="0" w:before="240" w:lineRule="auto"/>
        <w:ind w:left="720" w:hanging="360"/>
        <w:rPr/>
      </w:pPr>
      <w:r w:rsidDel="00000000" w:rsidR="00000000" w:rsidRPr="00000000">
        <w:rPr>
          <w:b w:val="1"/>
          <w:bCs w:val="1"/>
          <w:rtl w:val="0"/>
        </w:rPr>
        <w:t xml:space="preserve">Concepto</w:t>
      </w:r>
      <w:r w:rsidDel="00000000" w:rsidR="00000000" w:rsidRPr="00000000">
        <w:rPr>
          <w:rtl w:val="0"/>
        </w:rPr>
        <w:t xml:space="preserve">: Tapa que ignora el sellado y se ubica como base.</w:t>
      </w:r>
    </w:p>
    <w:p w:rsidR="00000000" w:rsidDel="00000000" w:rsidP="00000000" w:rsidRDefault="00000000" w:rsidRPr="00000000" w14:paraId="0000001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Implementación</w:t>
      </w:r>
      <w:r w:rsidDel="00000000" w:rsidR="00000000" w:rsidRPr="00000000">
        <w:rPr>
          <w:rtl w:val="0"/>
        </w:rPr>
        <w:t xml:space="preserve">: Crear la clase extendiendo de </w:t>
      </w:r>
      <w:r w:rsidDel="00000000" w:rsidR="00000000" w:rsidRPr="00000000">
        <w:rPr>
          <w:rtl w:val="0"/>
        </w:rPr>
        <w:t xml:space="preserve">Lid</w:t>
      </w:r>
      <w:r w:rsidDel="00000000" w:rsidR="00000000" w:rsidRPr="00000000">
        <w:rPr>
          <w:rtl w:val="0"/>
        </w:rPr>
        <w:t xml:space="preserve">. Sobrescribir </w:t>
      </w:r>
      <w:r w:rsidDel="00000000" w:rsidR="00000000" w:rsidRPr="00000000">
        <w:rPr>
          <w:rtl w:val="0"/>
        </w:rPr>
        <w:t xml:space="preserve">canSeal()</w:t>
      </w:r>
      <w:r w:rsidDel="00000000" w:rsidR="00000000" w:rsidRPr="00000000">
        <w:rPr>
          <w:rtl w:val="0"/>
        </w:rPr>
        <w:t xml:space="preserve"> para que siempre retorne </w:t>
      </w:r>
      <w:r w:rsidDel="00000000" w:rsidR="00000000" w:rsidRPr="00000000">
        <w:rPr>
          <w:rtl w:val="0"/>
        </w:rPr>
        <w:t xml:space="preserve">false</w:t>
      </w:r>
      <w:r w:rsidDel="00000000" w:rsidR="00000000" w:rsidRPr="00000000">
        <w:rPr>
          <w:rtl w:val="0"/>
        </w:rPr>
        <w:t xml:space="preserve"> y ajustar el método de cálculo de altura para que busque el punto de reposo más bajo posible (suelo).</w:t>
      </w:r>
    </w:p>
    <w:p w:rsidR="00000000" w:rsidDel="00000000" w:rsidP="00000000" w:rsidRDefault="00000000" w:rsidRPr="00000000" w14:paraId="0000001B">
      <w:pPr>
        <w:numPr>
          <w:ilvl w:val="0"/>
          <w:numId w:val="2"/>
        </w:numPr>
        <w:spacing w:after="240" w:before="0" w:beforeAutospacing="0" w:lineRule="auto"/>
        <w:ind w:left="720" w:hanging="360"/>
        <w:rPr/>
      </w:pPr>
      <w:r w:rsidDel="00000000" w:rsidR="00000000" w:rsidRPr="00000000">
        <w:rPr>
          <w:b w:val="1"/>
          <w:bCs w:val="1"/>
          <w:rtl w:val="0"/>
        </w:rPr>
        <w:t xml:space="preserve">Verificación</w:t>
      </w:r>
      <w:r w:rsidDel="00000000" w:rsidR="00000000" w:rsidRPr="00000000">
        <w:rPr>
          <w:rtl w:val="0"/>
        </w:rPr>
        <w:t xml:space="preserve">: Ejecución de la suite de pruebas del Mini-Ciclo 3 hasta obtener luz verde.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2. ¿Qué se logró y qué no se logró en el ciclo?</w:t>
      </w:r>
    </w:p>
    <w:p w:rsidR="00000000" w:rsidDel="00000000" w:rsidP="00000000" w:rsidRDefault="00000000" w:rsidRPr="00000000" w14:paraId="0000001D">
      <w:pPr>
        <w:spacing w:after="240" w:before="240" w:lineRule="auto"/>
        <w:rPr/>
      </w:pPr>
      <w:r w:rsidDel="00000000" w:rsidR="00000000" w:rsidRPr="00000000">
        <w:rPr>
          <w:rtl w:val="0"/>
        </w:rPr>
        <w:t xml:space="preserve">En este cuarto ciclo se cumplió satisfactoriamente con la reestructuración arquitectónica del proyecto, logrando la separación en los paquetes shapes (infraestructura gráfica) y tower (lógica de dominio). A nivel funcional, se implementaron dos nuevas entidades con comportamientos: OpenerCup y CrazyLid.</w:t>
      </w:r>
    </w:p>
    <w:p w:rsidR="00000000" w:rsidDel="00000000" w:rsidP="00000000" w:rsidRDefault="00000000" w:rsidRPr="00000000" w14:paraId="0000001E">
      <w:pPr>
        <w:spacing w:after="240" w:before="240" w:lineRule="auto"/>
        <w:rPr/>
      </w:pPr>
      <w:r w:rsidDel="00000000" w:rsidR="00000000" w:rsidRPr="00000000">
        <w:rPr>
          <w:rtl w:val="0"/>
        </w:rPr>
        <w:t xml:space="preserve">Se alcanzó una cobertura de pruebas de unidad mediante TowerC4Test, validando los casos de éxito y error antes de la codificación. Lo único que quedó pendiente fue la implementación del resto de tipos mencionados (hierarchical, fearful), aunque la arquitectura quedó preparada para integrarlos mediante polimorfismo.</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¿Qué problemas se presentaron durante el desarrollo?</w:t>
      </w:r>
    </w:p>
    <w:p w:rsidR="00000000" w:rsidDel="00000000" w:rsidP="00000000" w:rsidRDefault="00000000" w:rsidRPr="00000000" w14:paraId="00000020">
      <w:pPr>
        <w:spacing w:after="240" w:before="240" w:lineRule="auto"/>
        <w:rPr/>
      </w:pPr>
      <w:r w:rsidDel="00000000" w:rsidR="00000000" w:rsidRPr="00000000">
        <w:rPr>
          <w:rtl w:val="0"/>
        </w:rPr>
        <w:t xml:space="preserve">El principal desafío técnico fue la gestión de la consistencia del estado de la torre tras la intervención de la OpenerCup. Inicialmente los elementos destruidos permanecían en la lista items como "objetos fantasma", afectando el cálculo de colisiones de futuras piezas. Se ajustó la lógica para realizar una eliminación física del ArrayList utilizando iteraciones inversas para evitar excepciones de concurrencia.</w:t>
      </w:r>
    </w:p>
    <w:p w:rsidR="00000000" w:rsidDel="00000000" w:rsidP="00000000" w:rsidRDefault="00000000" w:rsidRPr="00000000" w14:paraId="00000021">
      <w:pPr>
        <w:spacing w:after="240" w:before="240" w:lineRule="auto"/>
        <w:rPr/>
      </w:pPr>
      <w:r w:rsidDel="00000000" w:rsidR="00000000" w:rsidRPr="00000000">
        <w:rPr>
          <w:rtl w:val="0"/>
        </w:rPr>
        <w:t xml:space="preserve">Otro obstáculo fue la implementación visual del desplazamiento en la CrazyLid. Lograr que la tapa se deslizara por debajo de una taza y empujara toda la estructura superior requirió un manejo de las coordenadas en el eje Y y una actualización iterativa de las posiciones de todos los elementos afectados para que la simulación no perdiera fluidez.</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4. ¿Qué se aprendió en este ciclo?</w:t>
      </w:r>
    </w:p>
    <w:p w:rsidR="00000000" w:rsidDel="00000000" w:rsidP="00000000" w:rsidRDefault="00000000" w:rsidRPr="00000000" w14:paraId="00000023">
      <w:pPr>
        <w:spacing w:after="240" w:before="240" w:lineRule="auto"/>
        <w:rPr/>
      </w:pPr>
      <w:r w:rsidDel="00000000" w:rsidR="00000000" w:rsidRPr="00000000">
        <w:rPr>
          <w:rtl w:val="0"/>
        </w:rPr>
        <w:t xml:space="preserve">Se consolidó el uso del desarrollo guiado por pruebas (TDD), comprendiendo que definir los resultados esperados mediante aserciones antes de programar reduce drásticamente el tiempo de depuración. Asimismo se profundizó en la importancia de la visibilidad de paquetes y el uso del modificador protected, permitiendo que las clases hijas en el paquete tower accedan a los atributos y métodos de la superclase sin exponerlos al resto del sistema. Finalmente se reforzó el concepto de separación de sesponsabilidades, entendiendo que la lógica de negocio debe ser independiente de la implementación gráfica.</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5. ¿Qué se mejoró respecto al ciclo anterior?</w:t>
      </w:r>
    </w:p>
    <w:p w:rsidR="00000000" w:rsidDel="00000000" w:rsidP="00000000" w:rsidRDefault="00000000" w:rsidRPr="00000000" w14:paraId="00000025">
      <w:pPr>
        <w:spacing w:after="240" w:before="240" w:lineRule="auto"/>
        <w:rPr/>
      </w:pPr>
      <w:r w:rsidDel="00000000" w:rsidR="00000000" w:rsidRPr="00000000">
        <w:rPr>
          <w:rtl w:val="0"/>
        </w:rPr>
        <w:t xml:space="preserve">A diferencia del ciclo 3, donde la lógica de solución de la maratón estaba muy acoplada, en este ciclo se mejoró la modularidad. La transición a una estructura de dos paquetes permitió un código más limpio y profesional. Además la calidad de las pruebas de aceptación (TowerATest) fue mejor, incorporando una interacción real con el usuario mediante JOptionPane y respetando los ciclos de vida de los objetos en el Canvas, lo que facilitó la validación visual de las reglas físicas propuestas.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6. ¿Qué se planea para el siguiente ciclo?</w:t>
      </w:r>
    </w:p>
    <w:p w:rsidR="00000000" w:rsidDel="00000000" w:rsidP="00000000" w:rsidRDefault="00000000" w:rsidRPr="00000000" w14:paraId="00000027">
      <w:pPr>
        <w:spacing w:after="240" w:before="240" w:lineRule="auto"/>
        <w:rPr/>
      </w:pPr>
      <w:r w:rsidDel="00000000" w:rsidR="00000000" w:rsidRPr="00000000">
        <w:rPr>
          <w:rtl w:val="0"/>
        </w:rPr>
        <w:t xml:space="preserve">Teniendo en cuenta que este es el ciclo final, adoptar todas las practicas aprendidas para la elaboración de un proximo proyecto respetando los ciclos de desarrollo con diseños, tests, y desarrollo por métodos desde los más sencillos hasta los más complejos para tener una estructura robusta y flexible, todo esto acompañadode buenas prácticas, uso constante del versionamiento y refactorización.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7. ¿Qué recursos fueron útiles para el desarrollo?</w:t>
      </w:r>
    </w:p>
    <w:p w:rsidR="00000000" w:rsidDel="00000000" w:rsidP="00000000" w:rsidRDefault="00000000" w:rsidRPr="00000000" w14:paraId="00000029">
      <w:pPr>
        <w:spacing w:after="240" w:before="240" w:lineRule="auto"/>
        <w:rPr/>
      </w:pPr>
      <w:r w:rsidDel="00000000" w:rsidR="00000000" w:rsidRPr="00000000">
        <w:rPr>
          <w:rtl w:val="0"/>
        </w:rPr>
        <w:t xml:space="preserve">Para la refactorización y el manejo de paquetes en BlueJ, la documentación oficial de Oracle sobre el sistema de archivos de Java y la visibilidad de miembros fue fundamental. El uso de herramientas de modelado como Astah permitió visualizar la jerarquía de herencia antes de la codificación, evitando errores en la estructura de paquetes, la asistencia de modelos de lenguaje fue clave para estructurar los casos de prueba unitaria y proponer la lógica de desplazamiento de la CrazyLid. Finalmente los informes de laboratorios anteriores y sus referencias.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8. Referencias bibliográficas</w:t>
      </w:r>
    </w:p>
    <w:p w:rsidR="00000000" w:rsidDel="00000000" w:rsidP="00000000" w:rsidRDefault="00000000" w:rsidRPr="00000000" w14:paraId="0000002B">
      <w:pPr>
        <w:numPr>
          <w:ilvl w:val="0"/>
          <w:numId w:val="3"/>
        </w:numPr>
        <w:spacing w:after="0" w:afterAutospacing="0" w:before="240" w:lineRule="auto"/>
        <w:ind w:left="720" w:hanging="360"/>
        <w:rPr>
          <w:u w:val="none"/>
        </w:rPr>
      </w:pPr>
      <w:r w:rsidDel="00000000" w:rsidR="00000000" w:rsidRPr="00000000">
        <w:rPr>
          <w:rtl w:val="0"/>
        </w:rPr>
        <w:t xml:space="preserve">Oracle. (2026). Creating and Using Packages. The Java Tutorials. Recuperado de [Oracle Java Documentation].</w:t>
      </w:r>
    </w:p>
    <w:p w:rsidR="00000000" w:rsidDel="00000000" w:rsidP="00000000" w:rsidRDefault="00000000" w:rsidRPr="00000000" w14:paraId="0000002C">
      <w:pPr>
        <w:numPr>
          <w:ilvl w:val="0"/>
          <w:numId w:val="3"/>
        </w:numPr>
        <w:spacing w:after="0" w:afterAutospacing="0" w:before="0" w:beforeAutospacing="0" w:lineRule="auto"/>
        <w:ind w:left="720" w:hanging="360"/>
        <w:rPr>
          <w:u w:val="none"/>
        </w:rPr>
      </w:pPr>
      <w:r w:rsidDel="00000000" w:rsidR="00000000" w:rsidRPr="00000000">
        <w:rPr>
          <w:rtl w:val="0"/>
        </w:rPr>
        <w:t xml:space="preserve">Escuela Colombiana de Ingeniería Julio Garavito. (2026). Documento del Proyecto Inicial: Ciclo 4 - Refactoring y Extensión.</w:t>
      </w:r>
    </w:p>
    <w:p w:rsidR="00000000" w:rsidDel="00000000" w:rsidP="00000000" w:rsidRDefault="00000000" w:rsidRPr="00000000" w14:paraId="0000002D">
      <w:pPr>
        <w:numPr>
          <w:ilvl w:val="0"/>
          <w:numId w:val="3"/>
        </w:numPr>
        <w:spacing w:after="240" w:before="0" w:beforeAutospacing="0" w:lineRule="auto"/>
        <w:ind w:left="720" w:hanging="360"/>
        <w:rPr>
          <w:u w:val="none"/>
        </w:rPr>
      </w:pPr>
      <w:r w:rsidDel="00000000" w:rsidR="00000000" w:rsidRPr="00000000">
        <w:rPr>
          <w:rtl w:val="0"/>
        </w:rPr>
        <w:t xml:space="preserve">Beck, K. (2003). Test-Driven Development: By Example. Addison-Wesley (aplicación de conceptos de pruebas antes de código).</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t xml:space="preserve">Retrospectiva Ciclo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