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4B73"/>
          <w:sz w:val="36"/>
          <w:szCs w:val="36"/>
        </w:rPr>
        <w:t xml:space="preserve">KLYNN CLOUD POS &amp; SAAS</w:t>
      </w:r>
    </w:p>
    <w:p>
      <w:pPr>
        <w:spacing w:after="200"/>
        <w:jc w:val="center"/>
      </w:pPr>
      <w:r>
        <w:rPr>
          <w:b/>
          <w:bCs/>
          <w:color w:val="0284C7"/>
          <w:sz w:val="26"/>
          <w:szCs w:val="26"/>
        </w:rPr>
        <w:t xml:space="preserve">FICHA TÉCNICA OFICIAL Y AUDITORÍA DE ARQUITECTURA DE SOFTWARE</w:t>
      </w:r>
    </w:p>
    <w:p>
      <w:pPr>
        <w:spacing w:after="400"/>
        <w:jc w:val="center"/>
      </w:pPr>
      <w:r>
        <w:rPr>
          <w:i/>
          <w:iCs/>
          <w:color w:val="64748B"/>
          <w:sz w:val="20"/>
          <w:szCs w:val="20"/>
        </w:rPr>
        <w:t xml:space="preserve">Documento de Especificación Técnica, Seguridad de la Información y Cumplimiento Operativo</w:t>
      </w:r>
    </w:p>
    <w:p>
      <w:pPr>
        <w:pStyle w:val="Heading2"/>
        <w:spacing w:after="120" w:before="250"/>
      </w:pPr>
      <w:r>
        <w:rPr>
          <w:b/>
          <w:bCs/>
          <w:color w:val="1B4B73"/>
          <w:sz w:val="24"/>
          <w:szCs w:val="24"/>
        </w:rPr>
        <w:t xml:space="preserve">1. INFORMACIÓN GENERAL DEL SISTEMA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 Técnico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Nombre del Sistema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Klynn / Klynn Cloud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Tipo de Solución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Software as a Service (SaaS) Multi-Tenant / POS Cloud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Industria Objetivo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Lavanderías, Tintorerías, Centros de Planchado y Sastrerías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Versión del Software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v2.5 (Edición Cloud 2026)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Modelo de Despliegue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Cloud / Web Responsive (Multiplataforma: PC, Tablet, Móvil)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Propietario / Fabricante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Klynn Software Group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Fecha de Auditoría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16 de agosto de 2026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Estado de Operación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Producción Activa / Alta Disponibilidad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B4B73"/>
          <w:sz w:val="24"/>
          <w:szCs w:val="24"/>
        </w:rPr>
        <w:t xml:space="preserve">2. ARQUITECTURA DE SOFTWARE Y STACK TECNOLÓGICO</w:t>
      </w:r>
    </w:p>
    <w:p>
      <w:pPr>
        <w:spacing w:after="150"/>
      </w:pPr>
      <w:r>
        <w:t xml:space="preserve">Klynn está estructurado bajo una arquitectura moderna desacoplada (Decoupled Cloud Architecture) con separación estricta entre capa cliente y capa de servicios serverless: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</w:tblGrid>
      <w:t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 / Componente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 / Framework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 Principal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Frontend / UI Layer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React 19, TypeScript, TanStack Start &amp; Router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Renderizado reactivo ultra-rápido, gestión de estado cliente y ruteo tipado seguro.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Estilos &amp; Diseño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Tailwind CSS v4, Lucide Icons, Radix UI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Diseño responsivo, tokens de diseño de marca personalizables por sucursal y accesibilidad.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Backend as a Service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Cloud Platform (AWS)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Motor de autenticación, base de datos relacional administrada y almacenamiento de archivos.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Base de Datos Principal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PostgreSQL 15+ Relacional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Motor transaccional ACID con claves foráneas, índices optimizados y soporte JSONB.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Capa Serverless (Edge)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Edge Functions (Deno)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Microservicios aislados para integración con WhatsApp API, facturación electrónica e-CF y webhooks.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Almacenamiento (Storage)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Supabase Storage S3-Compatible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Almacenamiento seguro de logotipos comerciales, catálogo de prendas y comprobantes de gasto.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Impresión Térmica POS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Protocolo ESC/POS nativo (USB/Bluetooth/Red)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Generación e impresión directa de tickets térmicos 57mm, 80mm y reportes ejecutivos en PDF.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B4B73"/>
          <w:sz w:val="24"/>
          <w:szCs w:val="24"/>
        </w:rPr>
        <w:t xml:space="preserve">3. SEGURIDAD, AUTENTICACIÓN Y PROTECCIÓN DE DATOS</w:t>
      </w:r>
    </w:p>
    <w:p>
      <w:pPr>
        <w:spacing w:after="100"/>
      </w:pPr>
      <w:r>
        <w:rPr>
          <w:b/>
          <w:bCs/>
          <w:color w:val="0284C7"/>
        </w:rPr>
        <w:t xml:space="preserve">3.1. Aislamiento Multi-Tenant de Datos Personales</w:t>
      </w:r>
    </w:p>
    <w:p>
      <w:pPr>
        <w:spacing w:after="150"/>
      </w:pPr>
      <w:r>
        <w:t xml:space="preserve">La privacidad de los datos personales de clientes (nombres, teléfonos, direcciones, historial crediticio y compras) está protegida mediante partición lógica estricta por </w:t>
      </w:r>
      <w:r>
        <w:rPr>
          <w:b/>
          <w:bCs/>
        </w:rPr>
        <w:t xml:space="preserve">tenant_id</w:t>
      </w:r>
      <w:r>
        <w:t xml:space="preserve">. Ningún usuario o negocio puede consultar, buscar ni transferir registros pertenecientes a otra entidad suscrita al sistema.</w:t>
      </w:r>
    </w:p>
    <w:p>
      <w:pPr>
        <w:spacing w:after="100"/>
      </w:pPr>
      <w:r>
        <w:rPr>
          <w:b/>
          <w:bCs/>
          <w:color w:val="0284C7"/>
        </w:rPr>
        <w:t xml:space="preserve">3.2. Cifrado y Canales de Comunicación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Cifrado en Tránsito:</w:t>
      </w:r>
      <w:r>
        <w:rPr>
          <w:color w:val="334155"/>
        </w:rPr>
        <w:t xml:space="preserve"> Todo el tráfico viaja forzosamente bajo HTTPS / TLS 1.3 con certificados SSL/TLS de 256 bits, impidiendo ataques de intermediario (Man-in-the-Middle).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Cifrado en Reposo:</w:t>
      </w:r>
      <w:r>
        <w:rPr>
          <w:color w:val="334155"/>
        </w:rPr>
        <w:t xml:space="preserve"> La base de datos relacional y los volúmenes de almacenamiento en la nube están cifrados bajo el estándar militar AES-256.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Gestión de Contraseñas:</w:t>
      </w:r>
      <w:r>
        <w:rPr>
          <w:color w:val="334155"/>
        </w:rPr>
        <w:t xml:space="preserve"> Las credenciales nunca se almacenan en texto plano; son procesadas por Supabase Auth mediante algoritmos de hashing seguros (BCrypt / Argon2).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Sesiones JWT Criptográficas:</w:t>
      </w:r>
      <w:r>
        <w:rPr>
          <w:color w:val="334155"/>
        </w:rPr>
        <w:t xml:space="preserve"> Autenticación basada en JSON Web Tokens firmados y validados en cada petición mediante `supabase.auth.getUser()`.</w:t>
      </w:r>
    </w:p>
    <w:p>
      <w:pPr>
        <w:spacing w:after="150"/>
      </w:pPr>
    </w:p>
    <w:p>
      <w:pPr>
        <w:spacing w:after="100"/>
      </w:pPr>
      <w:r>
        <w:rPr>
          <w:b/>
          <w:bCs/>
          <w:color w:val="0284C7"/>
        </w:rPr>
        <w:t xml:space="preserve">3.3. Matriz de Control de Accesos Basado en Roles (RBAC)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</w:tblGrid>
      <w:t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Alcance Operativo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Permisos Clave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Super Admin (Klynn)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Administración Global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Gestión de planes, control de suscripciones, límites de órdenes y monitoreo de la plataforma.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Administrador de Sucursal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Total por Lavandería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Acceso a finanzas, configuración de precios, catálogo, personal, auditoría y facturación fiscal.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Supervisor de Turno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Operación y Caja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Supervisión de pedidos, anulación auditada de órdenes, aprobación de descuentos y arqueos de caja.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Recepcionista / Cajero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Atención y Cobro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Recepción de prendas, cobro en efectivo/tarjeta/transferencia, asignación de estantería y entrega.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Repartidor (Delivery)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Logística de Envío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Visualización de rutas, direcciones de clientes y cambio de estado a 'Entregado'.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Operario de Planta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Producción / Taller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Visualización de tickets de taller, avance de lavado, secado, planchado y control de ganchos.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B4B73"/>
          <w:sz w:val="24"/>
          <w:szCs w:val="24"/>
        </w:rPr>
        <w:t xml:space="preserve">4. MÓDULOS FUNCIONALES AUDITADOS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Funcionalidades Principales y Reglas de Negocio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Punto de Venta (POS)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Registro rápido de órdenes, cálculo automático de libras y piezas, recargo de urgencia configurable, cálculo de ITBIS/impuestos, selector de métodos de pago múltiples y emisión instantánea de ticket cliente y ticket taller.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Estantería Virtual &amp; Conveyor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Mapeo gráfico y slots para conveyor automático, rieles y estantes físicos. Validación de disponibilidad en tiempo real y modo manual de asignación para planes sin módulo avanzado.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Arqueo &amp; Control de Caja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Apertura con balance inicial, registro clasificado de entradas y salidas, fondo de caja chica, arqueo ciego al cierre de turno, cálculo de sobrante/faltante y generación de ticket de cierre Z.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Cuentas por Cobrar (CxC)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Control de ventas a crédito, historial de abonos parciales, cálculo de días de vencimiento, balance consolidado de cartera y recibos de pago.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Facturación Fiscal / DGII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Soporte para NCF Tradicional (B01 Crédito Fiscal, B02 Consumidor Final, B14 Regímenes Especiales, B15 Gubernamental) y Facturación Electrónica e-CF con código QR y homologación.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CRM &amp; Notificaciones WhatsApp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Catálogo centralizado de clientes (Consumidor Final y Empresas con RNC), historial de consumo acumulado, estado de saldo y envío automatizado de avisos de orden lista.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Control de Gastos &amp; Egresos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Registro de egresos operativos con desglose de RNC de proveedor, NCF y retenciones para conciliación y exportación de reportes fiscales (Formato 606).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Métricas &amp; Reportes Gerenciales</w:t>
            </w:r>
          </w:p>
        </w:tc>
        <w:tc>
          <w:tcPr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Gráficos de rendimiento en tiempo real, volumen de ventas por turno, distribución por método de pago, exportación a Excel y generación de reportes ejecutivos en PDF.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B4B73"/>
          <w:sz w:val="24"/>
          <w:szCs w:val="24"/>
        </w:rPr>
        <w:t xml:space="preserve">5. CONTINUIDAD DE NEGOCIO, DISPONIBILIDAD Y BACKUPS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Disponibilidad del Servicio:</w:t>
      </w:r>
      <w:r>
        <w:rPr>
          <w:color w:val="334155"/>
        </w:rPr>
        <w:t xml:space="preserve"> Arquitectura en la nube con un Acuerdo de Nivel de Servicio (SLA) objetivo de 99.9% de uptime garantizado por la infraestructura global de Supabase y Cloudflare.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Copias de Seguridad Automatizadas:</w:t>
      </w:r>
      <w:r>
        <w:rPr>
          <w:color w:val="334155"/>
        </w:rPr>
        <w:t xml:space="preserve"> Backups diarios completos de la base de datos PostgreSQL en almacenamiento redundante geodistribuido con retención histórica.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Capacidad de Recuperación (PITR):</w:t>
      </w:r>
      <w:r>
        <w:rPr>
          <w:color w:val="334155"/>
        </w:rPr>
        <w:t xml:space="preserve"> Soporte para Point-In-Time Recovery ante contingencias o eventos críticos de corrupción de datos.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</w:rPr>
        <w:t xml:space="preserve">Resiliencia Local:</w:t>
      </w:r>
      <w:r>
        <w:rPr>
          <w:color w:val="334155"/>
        </w:rPr>
        <w:t xml:space="preserve"> Caché inteligente de variables de marca y datos de sesión para mantener la operatividad fluida ante fluctuaciones en la red local del cliente.</w:t>
      </w:r>
    </w:p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B4B73"/>
          <w:sz w:val="24"/>
          <w:szCs w:val="24"/>
        </w:rPr>
        <w:t xml:space="preserve">6. DICTAMEN DE AUDITORÍA Y CUMPLIMIENTO</w:t>
      </w:r>
    </w:p>
    <w:p>
      <w:pPr>
        <w:spacing w:after="150"/>
      </w:pPr>
      <w:r>
        <w:rPr>
          <w:i/>
          <w:iCs/>
        </w:rPr>
        <w:t xml:space="preserve">El software KLYNN cumple satisfactoriamente con los estándares modernos de desarrollo de software seguro (OWASP Top 10), aislamiento de datos multi-tenant, encriptación en tránsito y en reposo, y separación estricta de privilegios de usuario para la operación comercial, fiscal y contable.</w:t>
      </w:r>
    </w:p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____________________________________
</w:t>
            </w:r>
            <w:r>
              <w:rPr>
                <w:b/>
                <w:bCs/>
                <w:color w:val="1B4B73"/>
              </w:rPr>
              <w:t xml:space="preserve">Equipo de Arquitectura y Desarrollo
</w:t>
            </w:r>
            <w:r>
              <w:rPr>
                <w:color w:val="64748B"/>
                <w:sz w:val="18"/>
                <w:szCs w:val="18"/>
              </w:rPr>
              <w:t xml:space="preserve">Klynn Cloud Platform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____________________________________
</w:t>
            </w:r>
            <w:r>
              <w:rPr>
                <w:b/>
                <w:bCs/>
                <w:color w:val="1B4B73"/>
              </w:rPr>
              <w:t xml:space="preserve">Oficial de Seguridad y Cumplimiento
</w:t>
            </w:r>
            <w:r>
              <w:rPr>
                <w:color w:val="64748B"/>
                <w:sz w:val="18"/>
                <w:szCs w:val="18"/>
              </w:rPr>
              <w:t xml:space="preserve">Auditoría de Sistemas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2026-08-16T22:10:21.420Z</dcterms:created>
  <dcterms:modified xsi:type="dcterms:W3CDTF">2026-08-16T22:10:21.421Z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