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6C2F" w14:textId="0E959ECC" w:rsidR="00777C90" w:rsidRDefault="00777C90" w:rsidP="00777C90">
      <w:pPr>
        <w:jc w:val="right"/>
        <w:rPr>
          <w:b/>
          <w:bCs/>
        </w:rPr>
      </w:pPr>
      <w:r>
        <w:rPr>
          <w:b/>
          <w:bCs/>
        </w:rPr>
        <w:t xml:space="preserve">Yerlan Karassay 17/07/2025 </w:t>
      </w:r>
    </w:p>
    <w:p w14:paraId="00601230" w14:textId="2006BC10" w:rsidR="00777C90" w:rsidRPr="002B4C7D" w:rsidRDefault="002B4C7D" w:rsidP="00777C90">
      <w:pPr>
        <w:rPr>
          <w:b/>
          <w:bCs/>
        </w:rPr>
      </w:pPr>
      <w:proofErr w:type="spellStart"/>
      <w:r w:rsidRPr="002B4C7D">
        <w:rPr>
          <w:b/>
          <w:bCs/>
        </w:rPr>
        <w:t>VitaSip</w:t>
      </w:r>
      <w:proofErr w:type="spellEnd"/>
      <w:r w:rsidRPr="002B4C7D">
        <w:rPr>
          <w:b/>
          <w:bCs/>
        </w:rPr>
        <w:t>: 2024 Performance Review &amp; 2025 Strategic Plan</w:t>
      </w:r>
    </w:p>
    <w:p w14:paraId="6BDE5136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Task 1: Business Performance Report (2024)</w:t>
      </w:r>
    </w:p>
    <w:p w14:paraId="4ADE6640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1.1. Executive Summary: Knowledge, Comprehension &amp; Evaluation</w:t>
      </w:r>
    </w:p>
    <w:p w14:paraId="510572CD" w14:textId="39AFC1B0" w:rsidR="002B4C7D" w:rsidRPr="002B4C7D" w:rsidRDefault="002B4C7D" w:rsidP="002B4C7D">
      <w:r w:rsidRPr="002B4C7D">
        <w:t xml:space="preserve">This report presents a comprehensive analysis of </w:t>
      </w:r>
      <w:proofErr w:type="spellStart"/>
      <w:r w:rsidRPr="002B4C7D">
        <w:t>VitaSip's</w:t>
      </w:r>
      <w:proofErr w:type="spellEnd"/>
      <w:r w:rsidRPr="002B4C7D">
        <w:t xml:space="preserve"> 2024 business performance, culminating in a strategic roadmap for 2025. The analysis of the provided sales data reveals a successful year, with </w:t>
      </w:r>
      <w:r w:rsidRPr="002B4C7D">
        <w:rPr>
          <w:b/>
          <w:bCs/>
        </w:rPr>
        <w:t>total sales reaching £15,958</w:t>
      </w:r>
      <w:r w:rsidRPr="002B4C7D">
        <w:t xml:space="preserve"> and a </w:t>
      </w:r>
      <w:r w:rsidRPr="002B4C7D">
        <w:rPr>
          <w:b/>
          <w:bCs/>
        </w:rPr>
        <w:t>healthy overall profit of £7,620</w:t>
      </w:r>
      <w:r w:rsidRPr="002B4C7D">
        <w:t xml:space="preserve">, yielding a </w:t>
      </w:r>
      <w:r w:rsidRPr="002B4C7D">
        <w:rPr>
          <w:b/>
          <w:bCs/>
        </w:rPr>
        <w:t>gross profit margin of 47.8%</w:t>
      </w:r>
      <w:r w:rsidRPr="002B4C7D">
        <w:t>.</w:t>
      </w:r>
    </w:p>
    <w:p w14:paraId="5911FC3C" w14:textId="5FEAA43D" w:rsidR="002B4C7D" w:rsidRPr="002B4C7D" w:rsidRDefault="002B4C7D" w:rsidP="002B4C7D">
      <w:r w:rsidRPr="002B4C7D">
        <w:t xml:space="preserve">Our performance </w:t>
      </w:r>
      <w:r w:rsidR="008B67F9">
        <w:t>report highlights</w:t>
      </w:r>
      <w:r w:rsidRPr="002B4C7D">
        <w:t xml:space="preserve"> two flagship products, </w:t>
      </w:r>
      <w:proofErr w:type="spellStart"/>
      <w:r w:rsidRPr="002B4C7D">
        <w:rPr>
          <w:b/>
          <w:bCs/>
        </w:rPr>
        <w:t>GlowTonic</w:t>
      </w:r>
      <w:proofErr w:type="spellEnd"/>
      <w:r w:rsidRPr="002B4C7D">
        <w:t xml:space="preserve"> and </w:t>
      </w:r>
      <w:proofErr w:type="spellStart"/>
      <w:r w:rsidRPr="002B4C7D">
        <w:rPr>
          <w:b/>
          <w:bCs/>
        </w:rPr>
        <w:t>FocusFizz</w:t>
      </w:r>
      <w:proofErr w:type="spellEnd"/>
      <w:r w:rsidRPr="002B4C7D">
        <w:t xml:space="preserve">, and the success of the </w:t>
      </w:r>
      <w:r w:rsidRPr="002B4C7D">
        <w:rPr>
          <w:b/>
          <w:bCs/>
        </w:rPr>
        <w:t>Online sales channel</w:t>
      </w:r>
      <w:r w:rsidRPr="002B4C7D">
        <w:t>, which accounts for nearly 70% of total revenue. While this concentration is a testament to a strong product-market fit, it also highlights a need for diversification and risk mitigation. Key opportunities have been identified in optimizing our less profitable channels, enhancing customer retention to grow our high-margin subscription base, and exploring nascent international interest, evidenced by initial sales in Germany.</w:t>
      </w:r>
    </w:p>
    <w:p w14:paraId="22067ADE" w14:textId="77777777" w:rsidR="002B4C7D" w:rsidRPr="002B4C7D" w:rsidRDefault="002B4C7D" w:rsidP="002B4C7D">
      <w:r w:rsidRPr="002B4C7D">
        <w:t xml:space="preserve">The primary strategic imperatives for 2025 are to </w:t>
      </w:r>
      <w:r w:rsidRPr="002B4C7D">
        <w:rPr>
          <w:b/>
          <w:bCs/>
        </w:rPr>
        <w:t>capitalize on our core strengths</w:t>
      </w:r>
      <w:r w:rsidRPr="002B4C7D">
        <w:t xml:space="preserve"> while </w:t>
      </w:r>
      <w:r w:rsidRPr="002B4C7D">
        <w:rPr>
          <w:b/>
          <w:bCs/>
        </w:rPr>
        <w:t>addressing key vulnerabilities</w:t>
      </w:r>
      <w:r w:rsidRPr="002B4C7D">
        <w:t xml:space="preserve">. We recommend a focused investment in digital marketing to bolster our dominant online presence, a renewed effort to convert new customers into loyal subscribers, and a structured pilot program for European expansion. These initiatives, underpinned by a critical need for improved data governance, are projected to drive a </w:t>
      </w:r>
      <w:r w:rsidRPr="002B4C7D">
        <w:rPr>
          <w:b/>
          <w:bCs/>
        </w:rPr>
        <w:t>15% increase in year-over-year revenue</w:t>
      </w:r>
      <w:r w:rsidRPr="002B4C7D">
        <w:t>.</w:t>
      </w:r>
    </w:p>
    <w:p w14:paraId="6DA44DCB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1.2. Problem Solving: Data Cleansing and Integrity</w:t>
      </w:r>
    </w:p>
    <w:p w14:paraId="534958F6" w14:textId="77777777" w:rsidR="002B4C7D" w:rsidRPr="002B4C7D" w:rsidRDefault="002B4C7D" w:rsidP="002B4C7D">
      <w:r w:rsidRPr="002B4C7D">
        <w:t>Prior to analysis, the raw dataset required significant cleansing to ensure the accuracy of our findings. This foundational step was critical for reliable evaluation.</w:t>
      </w:r>
    </w:p>
    <w:p w14:paraId="3FE6A4B7" w14:textId="77777777" w:rsidR="002B4C7D" w:rsidRPr="002B4C7D" w:rsidRDefault="002B4C7D" w:rsidP="002B4C7D">
      <w:pPr>
        <w:numPr>
          <w:ilvl w:val="0"/>
          <w:numId w:val="1"/>
        </w:numPr>
      </w:pPr>
      <w:r w:rsidRPr="002B4C7D">
        <w:rPr>
          <w:b/>
          <w:bCs/>
        </w:rPr>
        <w:t>Corrupted and Incomplete Data:</w:t>
      </w:r>
      <w:r w:rsidRPr="002B4C7D">
        <w:t xml:space="preserve"> 29 rows containing missing or misaligned data were identified and removed.</w:t>
      </w:r>
    </w:p>
    <w:p w14:paraId="0E49E809" w14:textId="77777777" w:rsidR="002B4C7D" w:rsidRPr="002B4C7D" w:rsidRDefault="002B4C7D" w:rsidP="002B4C7D">
      <w:pPr>
        <w:numPr>
          <w:ilvl w:val="0"/>
          <w:numId w:val="1"/>
        </w:numPr>
      </w:pPr>
      <w:r w:rsidRPr="002B4C7D">
        <w:rPr>
          <w:b/>
          <w:bCs/>
        </w:rPr>
        <w:t>Outlier Removal:</w:t>
      </w:r>
      <w:r w:rsidRPr="002B4C7D">
        <w:t xml:space="preserve"> To prevent data skew, the following outliers were removed:</w:t>
      </w:r>
    </w:p>
    <w:p w14:paraId="445755CB" w14:textId="77777777" w:rsidR="002B4C7D" w:rsidRPr="002B4C7D" w:rsidRDefault="002B4C7D" w:rsidP="002B4C7D">
      <w:pPr>
        <w:numPr>
          <w:ilvl w:val="1"/>
          <w:numId w:val="1"/>
        </w:numPr>
      </w:pPr>
      <w:r w:rsidRPr="002B4C7D">
        <w:t xml:space="preserve">A transaction with a Total Direct Cost of </w:t>
      </w:r>
      <w:r w:rsidRPr="002B4C7D">
        <w:rPr>
          <w:b/>
          <w:bCs/>
        </w:rPr>
        <w:t>£999.00</w:t>
      </w:r>
      <w:r w:rsidRPr="002B4C7D">
        <w:t xml:space="preserve"> against a sale of only £3.50.</w:t>
      </w:r>
    </w:p>
    <w:p w14:paraId="6583333F" w14:textId="77777777" w:rsidR="002B4C7D" w:rsidRPr="002B4C7D" w:rsidRDefault="002B4C7D" w:rsidP="002B4C7D">
      <w:pPr>
        <w:numPr>
          <w:ilvl w:val="1"/>
          <w:numId w:val="1"/>
        </w:numPr>
      </w:pPr>
      <w:r w:rsidRPr="002B4C7D">
        <w:t xml:space="preserve">A sale of </w:t>
      </w:r>
      <w:r w:rsidRPr="002B4C7D">
        <w:rPr>
          <w:b/>
          <w:bCs/>
        </w:rPr>
        <w:t>£1,111.00</w:t>
      </w:r>
      <w:r w:rsidRPr="002B4C7D">
        <w:t xml:space="preserve"> for a single unit, which is far outside the normal pricing structure.</w:t>
      </w:r>
    </w:p>
    <w:p w14:paraId="7551E44E" w14:textId="77777777" w:rsidR="002B4C7D" w:rsidRPr="002B4C7D" w:rsidRDefault="002B4C7D" w:rsidP="002B4C7D">
      <w:pPr>
        <w:numPr>
          <w:ilvl w:val="1"/>
          <w:numId w:val="1"/>
        </w:numPr>
      </w:pPr>
      <w:r w:rsidRPr="002B4C7D">
        <w:t xml:space="preserve">A sale of </w:t>
      </w:r>
      <w:r w:rsidRPr="002B4C7D">
        <w:rPr>
          <w:b/>
          <w:bCs/>
        </w:rPr>
        <w:t>£100.00</w:t>
      </w:r>
      <w:r w:rsidRPr="002B4C7D">
        <w:t xml:space="preserve"> for a single unit of </w:t>
      </w:r>
      <w:proofErr w:type="spellStart"/>
      <w:r w:rsidRPr="002B4C7D">
        <w:t>RestRefresher</w:t>
      </w:r>
      <w:proofErr w:type="spellEnd"/>
      <w:r w:rsidRPr="002B4C7D">
        <w:t>.</w:t>
      </w:r>
    </w:p>
    <w:p w14:paraId="61B07E2B" w14:textId="77777777" w:rsidR="002B4C7D" w:rsidRPr="002B4C7D" w:rsidRDefault="002B4C7D" w:rsidP="002B4C7D">
      <w:pPr>
        <w:numPr>
          <w:ilvl w:val="0"/>
          <w:numId w:val="1"/>
        </w:numPr>
      </w:pPr>
      <w:r w:rsidRPr="002B4C7D">
        <w:rPr>
          <w:b/>
          <w:bCs/>
        </w:rPr>
        <w:t>Date Correction:</w:t>
      </w:r>
      <w:r w:rsidRPr="002B4C7D">
        <w:t xml:space="preserve"> Two transactions erroneously dated in </w:t>
      </w:r>
      <w:r w:rsidRPr="002B4C7D">
        <w:rPr>
          <w:b/>
          <w:bCs/>
        </w:rPr>
        <w:t>2019</w:t>
      </w:r>
      <w:r w:rsidRPr="002B4C7D">
        <w:t xml:space="preserve"> were corrected to 2024, aligning them with the dataset's timeframe.</w:t>
      </w:r>
    </w:p>
    <w:p w14:paraId="4AE51EF2" w14:textId="77777777" w:rsidR="002B4C7D" w:rsidRDefault="002B4C7D" w:rsidP="002B4C7D">
      <w:pPr>
        <w:numPr>
          <w:ilvl w:val="0"/>
          <w:numId w:val="1"/>
        </w:numPr>
      </w:pPr>
      <w:r w:rsidRPr="002B4C7D">
        <w:rPr>
          <w:b/>
          <w:bCs/>
        </w:rPr>
        <w:t>Categorical Data:</w:t>
      </w:r>
      <w:r w:rsidRPr="002B4C7D">
        <w:t xml:space="preserve"> Transactions with 'Unknown' as the Customer Type were retained to highlight an opportunity for improved data capture at the point of sale.</w:t>
      </w:r>
    </w:p>
    <w:p w14:paraId="541CCBC4" w14:textId="77777777" w:rsidR="00777C90" w:rsidRDefault="00777C90" w:rsidP="00777C90"/>
    <w:p w14:paraId="018056B6" w14:textId="77777777" w:rsidR="00777C90" w:rsidRDefault="00777C90" w:rsidP="00777C90"/>
    <w:p w14:paraId="005C02D3" w14:textId="77777777" w:rsidR="00777C90" w:rsidRPr="002B4C7D" w:rsidRDefault="00777C90" w:rsidP="00777C90"/>
    <w:p w14:paraId="52E11642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lastRenderedPageBreak/>
        <w:t>1.3. Analysis and Evaluation: 2024 Performance Deep Dive</w:t>
      </w:r>
    </w:p>
    <w:p w14:paraId="201FD4D8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Overall Financial Health</w:t>
      </w:r>
    </w:p>
    <w:p w14:paraId="00352768" w14:textId="77777777" w:rsidR="002B4C7D" w:rsidRPr="002B4C7D" w:rsidRDefault="002B4C7D" w:rsidP="002B4C7D">
      <w:proofErr w:type="spellStart"/>
      <w:r w:rsidRPr="002B4C7D">
        <w:t>VitaSip</w:t>
      </w:r>
      <w:proofErr w:type="spellEnd"/>
      <w:r w:rsidRPr="002B4C7D">
        <w:t xml:space="preserve"> demonstrated robust financial health in 2024, with a consistent upward trend in both sales and profit, particularly in the latter half of the year.</w:t>
      </w:r>
    </w:p>
    <w:p w14:paraId="12357875" w14:textId="77777777" w:rsidR="002B4C7D" w:rsidRPr="002B4C7D" w:rsidRDefault="002B4C7D" w:rsidP="002B4C7D">
      <w:pPr>
        <w:numPr>
          <w:ilvl w:val="0"/>
          <w:numId w:val="2"/>
        </w:numPr>
      </w:pPr>
      <w:r w:rsidRPr="002B4C7D">
        <w:rPr>
          <w:b/>
          <w:bCs/>
        </w:rPr>
        <w:t>Total Sales:</w:t>
      </w:r>
      <w:r w:rsidRPr="002B4C7D">
        <w:t xml:space="preserve"> £15,958</w:t>
      </w:r>
    </w:p>
    <w:p w14:paraId="285AD269" w14:textId="77777777" w:rsidR="002B4C7D" w:rsidRPr="002B4C7D" w:rsidRDefault="002B4C7D" w:rsidP="002B4C7D">
      <w:pPr>
        <w:numPr>
          <w:ilvl w:val="0"/>
          <w:numId w:val="2"/>
        </w:numPr>
      </w:pPr>
      <w:r w:rsidRPr="002B4C7D">
        <w:rPr>
          <w:b/>
          <w:bCs/>
        </w:rPr>
        <w:t>Total Profit:</w:t>
      </w:r>
      <w:r w:rsidRPr="002B4C7D">
        <w:t xml:space="preserve"> £7,620</w:t>
      </w:r>
    </w:p>
    <w:p w14:paraId="3F46C6F0" w14:textId="77777777" w:rsidR="002B4C7D" w:rsidRPr="002B4C7D" w:rsidRDefault="002B4C7D" w:rsidP="002B4C7D">
      <w:pPr>
        <w:numPr>
          <w:ilvl w:val="0"/>
          <w:numId w:val="2"/>
        </w:numPr>
      </w:pPr>
      <w:r w:rsidRPr="002B4C7D">
        <w:rPr>
          <w:b/>
          <w:bCs/>
        </w:rPr>
        <w:t>Gross Profit Margin:</w:t>
      </w:r>
      <w:r w:rsidRPr="002B4C7D">
        <w:t xml:space="preserve"> 47.8%</w:t>
      </w:r>
    </w:p>
    <w:p w14:paraId="194ACB78" w14:textId="77777777" w:rsidR="002B4C7D" w:rsidRDefault="002B4C7D" w:rsidP="002B4C7D">
      <w:pPr>
        <w:rPr>
          <w:b/>
          <w:bCs/>
        </w:rPr>
      </w:pPr>
      <w:r w:rsidRPr="002B4C7D">
        <w:rPr>
          <w:b/>
          <w:bCs/>
        </w:rPr>
        <w:t>Chart 1: 2024 Monthly Sales and Profit Trend</w:t>
      </w:r>
    </w:p>
    <w:p w14:paraId="7D9CB36F" w14:textId="363A030B" w:rsidR="001579B9" w:rsidRDefault="00ED0C83" w:rsidP="002B4C7D">
      <w:pPr>
        <w:rPr>
          <w:b/>
          <w:bCs/>
        </w:rPr>
      </w:pPr>
      <w:r>
        <w:rPr>
          <w:noProof/>
        </w:rPr>
        <w:drawing>
          <wp:inline distT="0" distB="0" distL="0" distR="0" wp14:anchorId="6A939D6D" wp14:editId="26C0E51F">
            <wp:extent cx="5576888" cy="2276475"/>
            <wp:effectExtent l="0" t="0" r="5080" b="9525"/>
            <wp:docPr id="7102206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CC190E-87B9-EDAE-C0DD-FD6AB8CB1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535136A" w14:textId="77777777" w:rsidR="001579B9" w:rsidRPr="002B4C7D" w:rsidRDefault="001579B9" w:rsidP="002B4C7D"/>
    <w:p w14:paraId="656C6BBF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Product Performance</w:t>
      </w:r>
    </w:p>
    <w:p w14:paraId="0B6E5E39" w14:textId="3A68BB81" w:rsidR="002B4C7D" w:rsidRPr="002B4C7D" w:rsidRDefault="002B4C7D" w:rsidP="002B4C7D">
      <w:r w:rsidRPr="002B4C7D">
        <w:t xml:space="preserve">Our product portfolio is heavily skewed towards </w:t>
      </w:r>
      <w:r w:rsidR="00983FAD" w:rsidRPr="002B4C7D">
        <w:t>two</w:t>
      </w:r>
      <w:r w:rsidR="00983FAD">
        <w:t xml:space="preserve"> star</w:t>
      </w:r>
      <w:r w:rsidRPr="002B4C7D">
        <w:t xml:space="preserve"> performers.</w:t>
      </w:r>
    </w:p>
    <w:p w14:paraId="24217066" w14:textId="77777777" w:rsidR="002B4C7D" w:rsidRPr="002B4C7D" w:rsidRDefault="002B4C7D" w:rsidP="002B4C7D">
      <w:pPr>
        <w:numPr>
          <w:ilvl w:val="0"/>
          <w:numId w:val="3"/>
        </w:numPr>
      </w:pPr>
      <w:proofErr w:type="spellStart"/>
      <w:r w:rsidRPr="002B4C7D">
        <w:rPr>
          <w:b/>
          <w:bCs/>
        </w:rPr>
        <w:t>GlowTonic</w:t>
      </w:r>
      <w:proofErr w:type="spellEnd"/>
      <w:r w:rsidRPr="002B4C7D">
        <w:t xml:space="preserve"> and </w:t>
      </w:r>
      <w:proofErr w:type="spellStart"/>
      <w:r w:rsidRPr="002B4C7D">
        <w:rPr>
          <w:b/>
          <w:bCs/>
        </w:rPr>
        <w:t>FocusFizz</w:t>
      </w:r>
      <w:proofErr w:type="spellEnd"/>
      <w:r w:rsidRPr="002B4C7D">
        <w:t xml:space="preserve"> are the powerhouses of our portfolio, collectively accounting for </w:t>
      </w:r>
      <w:r w:rsidRPr="002B4C7D">
        <w:rPr>
          <w:b/>
          <w:bCs/>
        </w:rPr>
        <w:t>78% of total sales</w:t>
      </w:r>
      <w:r w:rsidRPr="002B4C7D">
        <w:t>.</w:t>
      </w:r>
    </w:p>
    <w:p w14:paraId="1B04D73C" w14:textId="77777777" w:rsidR="00777C90" w:rsidRDefault="002B4C7D" w:rsidP="00777C90">
      <w:pPr>
        <w:numPr>
          <w:ilvl w:val="0"/>
          <w:numId w:val="3"/>
        </w:numPr>
      </w:pPr>
      <w:proofErr w:type="spellStart"/>
      <w:r w:rsidRPr="002B4C7D">
        <w:rPr>
          <w:b/>
          <w:bCs/>
        </w:rPr>
        <w:t>RestRefresher</w:t>
      </w:r>
      <w:proofErr w:type="spellEnd"/>
      <w:r w:rsidRPr="002B4C7D">
        <w:t xml:space="preserve"> and </w:t>
      </w:r>
      <w:proofErr w:type="spellStart"/>
      <w:r w:rsidRPr="002B4C7D">
        <w:rPr>
          <w:b/>
          <w:bCs/>
        </w:rPr>
        <w:t>CalmKombu</w:t>
      </w:r>
      <w:proofErr w:type="spellEnd"/>
      <w:r w:rsidRPr="002B4C7D">
        <w:t xml:space="preserve"> are significantly underperforming, suggesting a need for strategic review—either through targeted marketing investment or potential </w:t>
      </w:r>
      <w:proofErr w:type="spellStart"/>
      <w:r w:rsidRPr="002B4C7D">
        <w:t>discontinuation.</w:t>
      </w:r>
      <w:proofErr w:type="spellEnd"/>
    </w:p>
    <w:p w14:paraId="3BE954F4" w14:textId="5D29789C" w:rsidR="002B4C7D" w:rsidRPr="00777C90" w:rsidRDefault="002B4C7D" w:rsidP="00777C90">
      <w:r w:rsidRPr="002B4C7D">
        <w:rPr>
          <w:b/>
          <w:bCs/>
        </w:rPr>
        <w:t>Chart 2: 2024 Sales and Profit by Product</w:t>
      </w:r>
    </w:p>
    <w:p w14:paraId="5BBAD847" w14:textId="269DF1A0" w:rsidR="001579B9" w:rsidRDefault="00070FC2" w:rsidP="002B4C7D">
      <w:pPr>
        <w:rPr>
          <w:b/>
          <w:bCs/>
        </w:rPr>
      </w:pPr>
      <w:r>
        <w:rPr>
          <w:noProof/>
        </w:rPr>
        <w:drawing>
          <wp:inline distT="0" distB="0" distL="0" distR="0" wp14:anchorId="144B573A" wp14:editId="467B6E02">
            <wp:extent cx="4953000" cy="1900238"/>
            <wp:effectExtent l="0" t="0" r="0" b="5080"/>
            <wp:docPr id="19841405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B21BF8-746A-EB45-8A10-92AAF393B8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B73EE3" w14:textId="77777777" w:rsidR="001579B9" w:rsidRPr="002B4C7D" w:rsidRDefault="001579B9" w:rsidP="002B4C7D"/>
    <w:p w14:paraId="016CF993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Channel Performance</w:t>
      </w:r>
    </w:p>
    <w:p w14:paraId="4CAF2337" w14:textId="77777777" w:rsidR="002B4C7D" w:rsidRPr="002B4C7D" w:rsidRDefault="002B4C7D" w:rsidP="002B4C7D">
      <w:r w:rsidRPr="002B4C7D">
        <w:t>The analysis reveals a clear channel hierarchy, with the Online channel being the undisputed leader.</w:t>
      </w:r>
    </w:p>
    <w:p w14:paraId="75E6D244" w14:textId="77777777" w:rsidR="002B4C7D" w:rsidRPr="002B4C7D" w:rsidRDefault="002B4C7D" w:rsidP="002B4C7D">
      <w:pPr>
        <w:numPr>
          <w:ilvl w:val="0"/>
          <w:numId w:val="4"/>
        </w:numPr>
      </w:pPr>
      <w:r w:rsidRPr="002B4C7D">
        <w:rPr>
          <w:b/>
          <w:bCs/>
        </w:rPr>
        <w:t>Online Channel:</w:t>
      </w:r>
      <w:r w:rsidRPr="002B4C7D">
        <w:t xml:space="preserve"> Generates </w:t>
      </w:r>
      <w:r w:rsidRPr="002B4C7D">
        <w:rPr>
          <w:b/>
          <w:bCs/>
        </w:rPr>
        <w:t>69% of total sales</w:t>
      </w:r>
      <w:r w:rsidRPr="002B4C7D">
        <w:t xml:space="preserve"> (£11,012) and boasts the highest gross margin at </w:t>
      </w:r>
      <w:r w:rsidRPr="002B4C7D">
        <w:rPr>
          <w:b/>
          <w:bCs/>
        </w:rPr>
        <w:t>50.0%</w:t>
      </w:r>
      <w:r w:rsidRPr="002B4C7D">
        <w:t>. This indicates a highly efficient and profitable direct-to-consumer model.</w:t>
      </w:r>
    </w:p>
    <w:p w14:paraId="331D657A" w14:textId="77777777" w:rsidR="002B4C7D" w:rsidRPr="002B4C7D" w:rsidRDefault="002B4C7D" w:rsidP="002B4C7D">
      <w:pPr>
        <w:numPr>
          <w:ilvl w:val="0"/>
          <w:numId w:val="4"/>
        </w:numPr>
      </w:pPr>
      <w:r w:rsidRPr="002B4C7D">
        <w:rPr>
          <w:b/>
          <w:bCs/>
        </w:rPr>
        <w:t>Boutique Fitness Studios:</w:t>
      </w:r>
      <w:r w:rsidRPr="002B4C7D">
        <w:t xml:space="preserve"> This channel has the lowest gross margin at </w:t>
      </w:r>
      <w:r w:rsidRPr="002B4C7D">
        <w:rPr>
          <w:b/>
          <w:bCs/>
        </w:rPr>
        <w:t>41.0%</w:t>
      </w:r>
      <w:r w:rsidRPr="002B4C7D">
        <w:t>, suggesting that either pricing or cost structures need to be re-evaluated to improve its contribution to overall profitability.</w:t>
      </w:r>
    </w:p>
    <w:p w14:paraId="09CACD05" w14:textId="77777777" w:rsidR="002B4C7D" w:rsidRDefault="002B4C7D" w:rsidP="002B4C7D">
      <w:pPr>
        <w:rPr>
          <w:b/>
          <w:bCs/>
        </w:rPr>
      </w:pPr>
      <w:r w:rsidRPr="002B4C7D">
        <w:rPr>
          <w:b/>
          <w:bCs/>
        </w:rPr>
        <w:t>Chart 3: 2024 Sales Distribution by Channel</w:t>
      </w:r>
    </w:p>
    <w:p w14:paraId="22DE95C5" w14:textId="2C0276DD" w:rsidR="001579B9" w:rsidRPr="002B4C7D" w:rsidRDefault="00670D8A" w:rsidP="002B4C7D">
      <w:pPr>
        <w:rPr>
          <w:b/>
          <w:bCs/>
        </w:rPr>
      </w:pPr>
      <w:r>
        <w:rPr>
          <w:noProof/>
        </w:rPr>
        <w:drawing>
          <wp:inline distT="0" distB="0" distL="0" distR="0" wp14:anchorId="09836AE5" wp14:editId="7DE54B67">
            <wp:extent cx="4714875" cy="1624012"/>
            <wp:effectExtent l="0" t="0" r="9525" b="14605"/>
            <wp:docPr id="17322910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865458-3B24-CBAC-27FF-D110C84E36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27E82C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Customer Segment Performance</w:t>
      </w:r>
    </w:p>
    <w:p w14:paraId="4A02B208" w14:textId="77777777" w:rsidR="002B4C7D" w:rsidRPr="002B4C7D" w:rsidRDefault="002B4C7D" w:rsidP="002B4C7D">
      <w:r w:rsidRPr="002B4C7D">
        <w:t>Our customer base is healthy, with a strong influx of new customers. The key strategic opportunity lies in converting these new buyers into more profitable, long-term relationships.</w:t>
      </w:r>
    </w:p>
    <w:p w14:paraId="6474B2C6" w14:textId="77777777" w:rsidR="002B4C7D" w:rsidRPr="002B4C7D" w:rsidRDefault="002B4C7D" w:rsidP="002B4C7D">
      <w:pPr>
        <w:numPr>
          <w:ilvl w:val="0"/>
          <w:numId w:val="5"/>
        </w:numPr>
      </w:pPr>
      <w:r w:rsidRPr="002B4C7D">
        <w:rPr>
          <w:b/>
          <w:bCs/>
        </w:rPr>
        <w:t>New Customers</w:t>
      </w:r>
      <w:r w:rsidRPr="002B4C7D">
        <w:t xml:space="preserve"> drive the highest sales volume, indicating effective customer acquisition.</w:t>
      </w:r>
    </w:p>
    <w:p w14:paraId="371A15DE" w14:textId="77777777" w:rsidR="003A5CE6" w:rsidRDefault="002B4C7D" w:rsidP="003A5CE6">
      <w:pPr>
        <w:numPr>
          <w:ilvl w:val="0"/>
          <w:numId w:val="5"/>
        </w:numPr>
      </w:pPr>
      <w:r w:rsidRPr="002B4C7D">
        <w:rPr>
          <w:b/>
          <w:bCs/>
        </w:rPr>
        <w:t>Subscription Customers</w:t>
      </w:r>
      <w:r w:rsidRPr="002B4C7D">
        <w:t>, while a smaller group, are the most profitable, highlighting the value of recurring revenue models. A key strategic goal for 2025 must be to expand this segment.</w:t>
      </w:r>
    </w:p>
    <w:p w14:paraId="1077488D" w14:textId="7596D945" w:rsidR="001579B9" w:rsidRPr="002B4C7D" w:rsidRDefault="003A5CE6" w:rsidP="003A5CE6">
      <w:pPr>
        <w:ind w:left="360"/>
      </w:pPr>
      <w:r>
        <w:t xml:space="preserve"> </w:t>
      </w:r>
      <w:r w:rsidR="002B4C7D" w:rsidRPr="002B4C7D">
        <w:rPr>
          <w:b/>
          <w:bCs/>
        </w:rPr>
        <w:t>Chart 4: 2024 Sales by Customer Typ</w:t>
      </w:r>
      <w:r w:rsidRPr="003A5CE6">
        <w:rPr>
          <w:b/>
          <w:bCs/>
        </w:rPr>
        <w:t>e</w:t>
      </w:r>
      <w:r w:rsidR="00670D8A">
        <w:rPr>
          <w:noProof/>
        </w:rPr>
        <w:drawing>
          <wp:inline distT="0" distB="0" distL="0" distR="0" wp14:anchorId="448BEF9C" wp14:editId="17CF2EAD">
            <wp:extent cx="4257675" cy="2243137"/>
            <wp:effectExtent l="0" t="0" r="9525" b="5080"/>
            <wp:docPr id="12131846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25BD96-4D1A-B900-457E-B78694B67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DA6A95" w14:textId="3C7A46E9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lastRenderedPageBreak/>
        <w:t>2025 Forecast &amp; Strategic Recommendations</w:t>
      </w:r>
    </w:p>
    <w:p w14:paraId="5937C313" w14:textId="4D63CF6C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2.1. Creativity and Imagination: A Strategic Vision for 2025</w:t>
      </w:r>
    </w:p>
    <w:p w14:paraId="4B438DCA" w14:textId="77777777" w:rsidR="002B4C7D" w:rsidRPr="002B4C7D" w:rsidRDefault="002B4C7D" w:rsidP="002B4C7D">
      <w:r w:rsidRPr="002B4C7D">
        <w:t xml:space="preserve">Building on the solid foundation of 2024, our 2025 strategy is not simply to grow, but to grow smarter. We will pivot from broad-based efforts to a highly focused, data-driven approach that amplifies our successes and systematically addresses our weaknesses. This involves moving beyond conventional sales tactics to embrace a model of </w:t>
      </w:r>
      <w:r w:rsidRPr="002B4C7D">
        <w:rPr>
          <w:b/>
          <w:bCs/>
        </w:rPr>
        <w:t>hyper-focus, digital dominance, and customer loyalty</w:t>
      </w:r>
      <w:r w:rsidRPr="002B4C7D">
        <w:t>.</w:t>
      </w:r>
    </w:p>
    <w:p w14:paraId="79A348B5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2.2. 2025 Sales Forecast</w:t>
      </w:r>
    </w:p>
    <w:p w14:paraId="08294F27" w14:textId="008A69DB" w:rsidR="002B4C7D" w:rsidRPr="002B4C7D" w:rsidRDefault="002B4C7D" w:rsidP="002B4C7D">
      <w:r w:rsidRPr="002B4C7D">
        <w:t xml:space="preserve">Our forecast is based on a model of 2024's performance, projecting a </w:t>
      </w:r>
      <w:r w:rsidRPr="002B4C7D">
        <w:rPr>
          <w:b/>
          <w:bCs/>
        </w:rPr>
        <w:t>15% year-over-year growth</w:t>
      </w:r>
      <w:r w:rsidRPr="002B4C7D">
        <w:t xml:space="preserve"> contingent on the successful implementation of the following strategic recommendations.</w:t>
      </w:r>
    </w:p>
    <w:p w14:paraId="142A2189" w14:textId="26D0BE7D" w:rsidR="001579B9" w:rsidRDefault="002B4C7D" w:rsidP="002B4C7D">
      <w:pPr>
        <w:rPr>
          <w:b/>
          <w:bCs/>
        </w:rPr>
      </w:pPr>
      <w:r w:rsidRPr="002B4C7D">
        <w:rPr>
          <w:b/>
          <w:bCs/>
        </w:rPr>
        <w:t>Chart 5: 2025 Sales Forecast vs. 2024 Actuals</w:t>
      </w:r>
      <w:r w:rsidR="00A317E1">
        <w:rPr>
          <w:noProof/>
        </w:rPr>
        <w:drawing>
          <wp:inline distT="0" distB="0" distL="0" distR="0" wp14:anchorId="41498A7F" wp14:editId="60CB88AD">
            <wp:extent cx="5791200" cy="2662238"/>
            <wp:effectExtent l="0" t="0" r="0" b="5080"/>
            <wp:docPr id="18058177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5DEF80-C051-22E9-D975-A9FE8AA35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832AB4" w14:textId="77777777" w:rsidR="001579B9" w:rsidRPr="002B4C7D" w:rsidRDefault="001579B9" w:rsidP="002B4C7D"/>
    <w:p w14:paraId="18F78507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2.3. Strategic Recommendations: The Path to 15% Growth</w:t>
      </w:r>
    </w:p>
    <w:p w14:paraId="6AB71596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Recommendation 1: Hyper-Focus on Core Products</w:t>
      </w:r>
    </w:p>
    <w:p w14:paraId="0CC4169A" w14:textId="77777777" w:rsidR="002B4C7D" w:rsidRPr="002B4C7D" w:rsidRDefault="002B4C7D" w:rsidP="002B4C7D">
      <w:pPr>
        <w:numPr>
          <w:ilvl w:val="0"/>
          <w:numId w:val="6"/>
        </w:numPr>
      </w:pPr>
      <w:r w:rsidRPr="002B4C7D">
        <w:rPr>
          <w:b/>
          <w:bCs/>
        </w:rPr>
        <w:t>Action:</w:t>
      </w:r>
      <w:r w:rsidRPr="002B4C7D">
        <w:t xml:space="preserve"> Allocate 80% of the 2025 marketing budget to </w:t>
      </w:r>
      <w:proofErr w:type="spellStart"/>
      <w:r w:rsidRPr="002B4C7D">
        <w:rPr>
          <w:b/>
          <w:bCs/>
        </w:rPr>
        <w:t>GlowTonic</w:t>
      </w:r>
      <w:proofErr w:type="spellEnd"/>
      <w:r w:rsidRPr="002B4C7D">
        <w:t xml:space="preserve"> and </w:t>
      </w:r>
      <w:proofErr w:type="spellStart"/>
      <w:r w:rsidRPr="002B4C7D">
        <w:rPr>
          <w:b/>
          <w:bCs/>
        </w:rPr>
        <w:t>FocusFizz</w:t>
      </w:r>
      <w:proofErr w:type="spellEnd"/>
      <w:r w:rsidRPr="002B4C7D">
        <w:t>. Launch product-specific campaigns highlighting their unique benefits (e.g., "Your Daily Glow," "Find Your Focus").</w:t>
      </w:r>
    </w:p>
    <w:p w14:paraId="59A3D621" w14:textId="77777777" w:rsidR="002B4C7D" w:rsidRPr="002B4C7D" w:rsidRDefault="002B4C7D" w:rsidP="002B4C7D">
      <w:pPr>
        <w:numPr>
          <w:ilvl w:val="0"/>
          <w:numId w:val="6"/>
        </w:numPr>
      </w:pPr>
      <w:r w:rsidRPr="002B4C7D">
        <w:rPr>
          <w:b/>
          <w:bCs/>
        </w:rPr>
        <w:t>Rationale:</w:t>
      </w:r>
      <w:r w:rsidRPr="002B4C7D">
        <w:t xml:space="preserve"> The 80/20 principle is clearly at play; these two products are our growth engine. Concentrating resources will maximize ROI and solidify their market leadership.</w:t>
      </w:r>
    </w:p>
    <w:p w14:paraId="7D5A9510" w14:textId="77777777" w:rsidR="002B4C7D" w:rsidRPr="002B4C7D" w:rsidRDefault="002B4C7D" w:rsidP="002B4C7D">
      <w:pPr>
        <w:rPr>
          <w:b/>
          <w:bCs/>
        </w:rPr>
      </w:pPr>
      <w:r w:rsidRPr="002B4C7D">
        <w:rPr>
          <w:b/>
          <w:bCs/>
        </w:rPr>
        <w:t>Recommendation 2: Achieve Digital Dominance</w:t>
      </w:r>
    </w:p>
    <w:p w14:paraId="1715884B" w14:textId="77777777" w:rsidR="002B4C7D" w:rsidRPr="002B4C7D" w:rsidRDefault="002B4C7D" w:rsidP="002B4C7D">
      <w:pPr>
        <w:numPr>
          <w:ilvl w:val="0"/>
          <w:numId w:val="7"/>
        </w:numPr>
      </w:pPr>
      <w:r w:rsidRPr="002B4C7D">
        <w:rPr>
          <w:b/>
          <w:bCs/>
        </w:rPr>
        <w:t>Action:</w:t>
      </w:r>
      <w:r w:rsidRPr="002B4C7D">
        <w:t xml:space="preserve"> Increase investment in the </w:t>
      </w:r>
      <w:r w:rsidRPr="002B4C7D">
        <w:rPr>
          <w:b/>
          <w:bCs/>
        </w:rPr>
        <w:t>Online channel by 25%</w:t>
      </w:r>
      <w:r w:rsidRPr="002B4C7D">
        <w:t>, focusing on performance marketing channels like paid search and social media advertising. Use customer data to create lookalike audiences and retargeting campaigns.</w:t>
      </w:r>
    </w:p>
    <w:p w14:paraId="301A53ED" w14:textId="77777777" w:rsidR="002B4C7D" w:rsidRDefault="002B4C7D" w:rsidP="002B4C7D">
      <w:pPr>
        <w:numPr>
          <w:ilvl w:val="0"/>
          <w:numId w:val="7"/>
        </w:numPr>
      </w:pPr>
      <w:r w:rsidRPr="002B4C7D">
        <w:rPr>
          <w:b/>
          <w:bCs/>
        </w:rPr>
        <w:t>Rationale:</w:t>
      </w:r>
      <w:r w:rsidRPr="002B4C7D">
        <w:t xml:space="preserve"> The direct-to-consumer (D2C) market for food and beverages is projected to grow significantly. As noted by industry analysts, "brands that create a seamless online </w:t>
      </w:r>
      <w:r w:rsidRPr="002B4C7D">
        <w:lastRenderedPageBreak/>
        <w:t>purchasing experience are poised to capture the most market share" (</w:t>
      </w:r>
      <w:proofErr w:type="spellStart"/>
      <w:r w:rsidRPr="002B4C7D">
        <w:t>NielsenIQ</w:t>
      </w:r>
      <w:proofErr w:type="spellEnd"/>
      <w:r w:rsidRPr="002B4C7D">
        <w:t>, 2023). Our 50% online margin indicates we are already excelling here; further investment will build a formidable competitive moat.</w:t>
      </w:r>
    </w:p>
    <w:p w14:paraId="3FA86F91" w14:textId="77777777" w:rsidR="00C21F55" w:rsidRPr="00C21F55" w:rsidRDefault="00C21F55" w:rsidP="00C21F55">
      <w:pPr>
        <w:rPr>
          <w:b/>
          <w:bCs/>
        </w:rPr>
      </w:pPr>
      <w:r w:rsidRPr="00C21F55">
        <w:rPr>
          <w:b/>
          <w:bCs/>
        </w:rPr>
        <w:t>Recommendation 3: Engineer Customer Loyalty</w:t>
      </w:r>
    </w:p>
    <w:p w14:paraId="3BCCE6B1" w14:textId="77777777" w:rsidR="00C21F55" w:rsidRPr="00C21F55" w:rsidRDefault="00C21F55" w:rsidP="00C21F55">
      <w:pPr>
        <w:numPr>
          <w:ilvl w:val="0"/>
          <w:numId w:val="9"/>
        </w:numPr>
      </w:pPr>
      <w:r w:rsidRPr="00C21F55">
        <w:rPr>
          <w:b/>
          <w:bCs/>
        </w:rPr>
        <w:t>Action:</w:t>
      </w:r>
      <w:r w:rsidRPr="00C21F55">
        <w:t xml:space="preserve"> Implement a "Subscribe &amp; Save" model that offers a 15% discount and free shipping. Launch an email marketing campaign targeting all 'New' and 'Returning' customers from 2024 with an exclusive offer to join the subscription program.</w:t>
      </w:r>
    </w:p>
    <w:p w14:paraId="658EE55E" w14:textId="705478A6" w:rsidR="00C21F55" w:rsidRDefault="00C21F55" w:rsidP="00C21F55">
      <w:pPr>
        <w:numPr>
          <w:ilvl w:val="0"/>
          <w:numId w:val="9"/>
        </w:numPr>
      </w:pPr>
      <w:r w:rsidRPr="00C21F55">
        <w:rPr>
          <w:b/>
          <w:bCs/>
        </w:rPr>
        <w:t>Rationale:</w:t>
      </w:r>
      <w:r w:rsidRPr="00C21F55">
        <w:t xml:space="preserve"> Our data shows subscriptions are our most profitable segment. According to research by McKinsey &amp; Company, the top-performing subscription businesses generate over 40% of their revenue from their most loyal customers (McKinsey, 2023). Converting even a small percentage of our existing customer base will have a disproportionately positive impact on profitability</w:t>
      </w:r>
      <w:r>
        <w:t>.</w:t>
      </w:r>
    </w:p>
    <w:p w14:paraId="7292ADBE" w14:textId="4A8BFE6E" w:rsidR="00BC1ADD" w:rsidRPr="00BC1ADD" w:rsidRDefault="00BC1ADD" w:rsidP="00BC1ADD">
      <w:pPr>
        <w:pStyle w:val="NormalWeb"/>
        <w:ind w:left="360"/>
        <w:rPr>
          <w:rStyle w:val="selected"/>
          <w:rFonts w:asciiTheme="majorHAnsi" w:hAnsiTheme="majorHAnsi"/>
        </w:rPr>
      </w:pPr>
      <w:r w:rsidRPr="00BC1ADD">
        <w:rPr>
          <w:rStyle w:val="selected"/>
          <w:rFonts w:asciiTheme="majorHAnsi" w:hAnsiTheme="majorHAnsi"/>
          <w:b/>
          <w:bCs/>
        </w:rPr>
        <w:t>References</w:t>
      </w:r>
      <w:r w:rsidRPr="00BC1ADD">
        <w:rPr>
          <w:rStyle w:val="selected"/>
          <w:rFonts w:asciiTheme="majorHAnsi" w:hAnsiTheme="majorHAnsi"/>
        </w:rPr>
        <w:t>:</w:t>
      </w:r>
    </w:p>
    <w:p w14:paraId="394FA955" w14:textId="453AC3F9" w:rsidR="00907425" w:rsidRPr="00777C90" w:rsidRDefault="00907425" w:rsidP="00907425">
      <w:pPr>
        <w:pStyle w:val="NormalWeb"/>
        <w:numPr>
          <w:ilvl w:val="0"/>
          <w:numId w:val="7"/>
        </w:numPr>
        <w:rPr>
          <w:rStyle w:val="selected"/>
          <w:rFonts w:asciiTheme="minorHAnsi" w:hAnsiTheme="minorHAnsi"/>
        </w:rPr>
      </w:pPr>
      <w:r w:rsidRPr="00BC1ADD">
        <w:rPr>
          <w:rStyle w:val="selected"/>
          <w:rFonts w:asciiTheme="minorHAnsi" w:eastAsiaTheme="majorEastAsia" w:hAnsiTheme="minorHAnsi"/>
          <w:b/>
          <w:bCs/>
        </w:rPr>
        <w:t>Cambridge Dictionary (2025).</w:t>
      </w:r>
      <w:r w:rsidRPr="00BC1ADD">
        <w:rPr>
          <w:rStyle w:val="selected"/>
          <w:rFonts w:asciiTheme="minorHAnsi" w:eastAsiaTheme="majorEastAsia" w:hAnsiTheme="minorHAnsi"/>
        </w:rPr>
        <w:t xml:space="preserve"> </w:t>
      </w:r>
      <w:r w:rsidRPr="00777C90">
        <w:rPr>
          <w:rStyle w:val="selected"/>
          <w:rFonts w:asciiTheme="minorHAnsi" w:eastAsiaTheme="majorEastAsia" w:hAnsiTheme="minorHAnsi"/>
        </w:rPr>
        <w:t>Sales Analysis Definition</w:t>
      </w:r>
      <w:r w:rsidRPr="00BC1ADD">
        <w:rPr>
          <w:rStyle w:val="selected"/>
          <w:rFonts w:asciiTheme="minorHAnsi" w:eastAsiaTheme="majorEastAsia" w:hAnsiTheme="minorHAnsi"/>
          <w:i/>
          <w:iCs/>
        </w:rPr>
        <w:t>.</w:t>
      </w:r>
    </w:p>
    <w:p w14:paraId="4FD0704F" w14:textId="5E653FA6" w:rsidR="00777C90" w:rsidRPr="00777C90" w:rsidRDefault="00777C90" w:rsidP="00777C90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BC1ADD">
        <w:rPr>
          <w:rStyle w:val="selected"/>
          <w:rFonts w:asciiTheme="minorHAnsi" w:eastAsiaTheme="majorEastAsia" w:hAnsiTheme="minorHAnsi"/>
          <w:b/>
          <w:bCs/>
        </w:rPr>
        <w:t>Nielsen</w:t>
      </w:r>
      <w:r>
        <w:rPr>
          <w:rStyle w:val="selected"/>
          <w:rFonts w:asciiTheme="minorHAnsi" w:eastAsiaTheme="majorEastAsia" w:hAnsiTheme="minorHAnsi"/>
          <w:b/>
          <w:bCs/>
        </w:rPr>
        <w:t xml:space="preserve"> </w:t>
      </w:r>
      <w:r w:rsidRPr="00BC1ADD">
        <w:rPr>
          <w:rStyle w:val="selected"/>
          <w:rFonts w:asciiTheme="minorHAnsi" w:eastAsiaTheme="majorEastAsia" w:hAnsiTheme="minorHAnsi"/>
          <w:b/>
          <w:bCs/>
        </w:rPr>
        <w:t>IQ (2023).</w:t>
      </w:r>
      <w:r w:rsidRPr="00BC1ADD">
        <w:rPr>
          <w:rStyle w:val="selected"/>
          <w:rFonts w:asciiTheme="minorHAnsi" w:eastAsiaTheme="majorEastAsia" w:hAnsiTheme="minorHAnsi"/>
        </w:rPr>
        <w:t xml:space="preserve"> "Global E-commerce and the New Consumer." This market analysis highlights the continued growth of D2C channels for consumer-packaged goods, supporting the strategic decision to double down on our Online channel in Recommendation 2.</w:t>
      </w:r>
    </w:p>
    <w:p w14:paraId="401FE371" w14:textId="77777777" w:rsidR="00907425" w:rsidRPr="00BC1ADD" w:rsidRDefault="00907425" w:rsidP="00907425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BC1ADD">
        <w:rPr>
          <w:rStyle w:val="selected"/>
          <w:rFonts w:asciiTheme="minorHAnsi" w:eastAsiaTheme="majorEastAsia" w:hAnsiTheme="minorHAnsi"/>
          <w:b/>
          <w:bCs/>
        </w:rPr>
        <w:t>McKinsey &amp; Company (2023).</w:t>
      </w:r>
      <w:r w:rsidRPr="00BC1ADD">
        <w:rPr>
          <w:rStyle w:val="selected"/>
          <w:rFonts w:asciiTheme="minorHAnsi" w:eastAsiaTheme="majorEastAsia" w:hAnsiTheme="minorHAnsi"/>
        </w:rPr>
        <w:t xml:space="preserve"> "The Future of Subscriptions: Winning in the Experience Economy." This report provides context on the value of subscription models and best practices for customer retention, directly informing Recommendation 3.</w:t>
      </w:r>
    </w:p>
    <w:p w14:paraId="3D17BB35" w14:textId="77777777" w:rsidR="001D4426" w:rsidRDefault="001D4426"/>
    <w:sectPr w:rsidR="001D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A625D"/>
    <w:multiLevelType w:val="multilevel"/>
    <w:tmpl w:val="CC0E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6A09"/>
    <w:multiLevelType w:val="multilevel"/>
    <w:tmpl w:val="2DD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82950"/>
    <w:multiLevelType w:val="multilevel"/>
    <w:tmpl w:val="2E1E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6521C"/>
    <w:multiLevelType w:val="multilevel"/>
    <w:tmpl w:val="859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396A"/>
    <w:multiLevelType w:val="multilevel"/>
    <w:tmpl w:val="C0B8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B2BC4"/>
    <w:multiLevelType w:val="multilevel"/>
    <w:tmpl w:val="590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662D9"/>
    <w:multiLevelType w:val="hybridMultilevel"/>
    <w:tmpl w:val="B142B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E6D41"/>
    <w:multiLevelType w:val="multilevel"/>
    <w:tmpl w:val="637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B2DD5"/>
    <w:multiLevelType w:val="multilevel"/>
    <w:tmpl w:val="FA84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50D5F"/>
    <w:multiLevelType w:val="multilevel"/>
    <w:tmpl w:val="62E8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957982">
    <w:abstractNumId w:val="1"/>
  </w:num>
  <w:num w:numId="2" w16cid:durableId="1538469703">
    <w:abstractNumId w:val="5"/>
  </w:num>
  <w:num w:numId="3" w16cid:durableId="851336522">
    <w:abstractNumId w:val="9"/>
  </w:num>
  <w:num w:numId="4" w16cid:durableId="276179502">
    <w:abstractNumId w:val="4"/>
  </w:num>
  <w:num w:numId="5" w16cid:durableId="1679456352">
    <w:abstractNumId w:val="7"/>
  </w:num>
  <w:num w:numId="6" w16cid:durableId="1060594581">
    <w:abstractNumId w:val="3"/>
  </w:num>
  <w:num w:numId="7" w16cid:durableId="1625848495">
    <w:abstractNumId w:val="0"/>
  </w:num>
  <w:num w:numId="8" w16cid:durableId="57945756">
    <w:abstractNumId w:val="2"/>
  </w:num>
  <w:num w:numId="9" w16cid:durableId="1907303267">
    <w:abstractNumId w:val="8"/>
  </w:num>
  <w:num w:numId="10" w16cid:durableId="1941600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81"/>
    <w:rsid w:val="00070FC2"/>
    <w:rsid w:val="000B61C3"/>
    <w:rsid w:val="001579B9"/>
    <w:rsid w:val="001D4426"/>
    <w:rsid w:val="0022421F"/>
    <w:rsid w:val="002B4C7D"/>
    <w:rsid w:val="003716A3"/>
    <w:rsid w:val="003A5CE6"/>
    <w:rsid w:val="00497BEF"/>
    <w:rsid w:val="00564533"/>
    <w:rsid w:val="00566AEE"/>
    <w:rsid w:val="00670D8A"/>
    <w:rsid w:val="007007C3"/>
    <w:rsid w:val="00750B81"/>
    <w:rsid w:val="00777C90"/>
    <w:rsid w:val="008B67F9"/>
    <w:rsid w:val="00907425"/>
    <w:rsid w:val="00983FAD"/>
    <w:rsid w:val="00A317E1"/>
    <w:rsid w:val="00B1757A"/>
    <w:rsid w:val="00B20550"/>
    <w:rsid w:val="00BC1ADD"/>
    <w:rsid w:val="00C21F55"/>
    <w:rsid w:val="00C8369F"/>
    <w:rsid w:val="00E34B25"/>
    <w:rsid w:val="00E47EDB"/>
    <w:rsid w:val="00E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B030"/>
  <w15:chartTrackingRefBased/>
  <w15:docId w15:val="{286B2F8D-1BCE-4310-BF12-ACEF0489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B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0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elected">
    <w:name w:val="selected"/>
    <w:basedOn w:val="DefaultParagraphFont"/>
    <w:rsid w:val="0090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6AF84998A599D7B/Documents/These%20images%20cannot%20be%20fou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6AF84998A599D7B/Documents/These%20images%20cannot%20be%20fou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6AF84998A599D7B/Documents/These%20images%20cannot%20be%20foun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6AF84998A599D7B/Documents/These%20images%20cannot%20be%20foun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6AF84998A599D7B/Documents/These%20images%20cannot%20be%20foun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[ACTUAL GRAPHS VISIP.xlsx]Sheet1!PivotTable1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Sum of 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Sheet1!$B$4:$B$16</c:f>
              <c:numCache>
                <c:formatCode>"£"#,##0</c:formatCode>
                <c:ptCount val="12"/>
                <c:pt idx="0">
                  <c:v>1020</c:v>
                </c:pt>
                <c:pt idx="1">
                  <c:v>1074</c:v>
                </c:pt>
                <c:pt idx="2">
                  <c:v>1280</c:v>
                </c:pt>
                <c:pt idx="3">
                  <c:v>1300</c:v>
                </c:pt>
                <c:pt idx="4">
                  <c:v>1355</c:v>
                </c:pt>
                <c:pt idx="5">
                  <c:v>1374</c:v>
                </c:pt>
                <c:pt idx="6">
                  <c:v>1429</c:v>
                </c:pt>
                <c:pt idx="7">
                  <c:v>1530</c:v>
                </c:pt>
                <c:pt idx="8">
                  <c:v>1568</c:v>
                </c:pt>
                <c:pt idx="9">
                  <c:v>1583</c:v>
                </c:pt>
                <c:pt idx="10">
                  <c:v>1621</c:v>
                </c:pt>
                <c:pt idx="11">
                  <c:v>1696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A0-4905-B15A-0F894DE34D64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Sum of Total Profit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Sheet1!$A$4:$A$16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Sheet1!$C$4:$C$16</c:f>
              <c:numCache>
                <c:formatCode>"£"#,##0</c:formatCode>
                <c:ptCount val="12"/>
                <c:pt idx="0">
                  <c:v>485</c:v>
                </c:pt>
                <c:pt idx="1">
                  <c:v>511</c:v>
                </c:pt>
                <c:pt idx="2">
                  <c:v>612</c:v>
                </c:pt>
                <c:pt idx="3">
                  <c:v>628</c:v>
                </c:pt>
                <c:pt idx="4">
                  <c:v>655</c:v>
                </c:pt>
                <c:pt idx="5">
                  <c:v>650</c:v>
                </c:pt>
                <c:pt idx="6">
                  <c:v>698</c:v>
                </c:pt>
                <c:pt idx="7">
                  <c:v>740</c:v>
                </c:pt>
                <c:pt idx="8">
                  <c:v>755</c:v>
                </c:pt>
                <c:pt idx="9">
                  <c:v>761</c:v>
                </c:pt>
                <c:pt idx="10">
                  <c:v>775</c:v>
                </c:pt>
                <c:pt idx="11">
                  <c:v>810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A0-4905-B15A-0F894DE34D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540592"/>
        <c:axId val="867541072"/>
      </c:barChart>
      <c:catAx>
        <c:axId val="86754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541072"/>
        <c:crosses val="autoZero"/>
        <c:auto val="1"/>
        <c:lblAlgn val="ctr"/>
        <c:lblOffset val="100"/>
        <c:noMultiLvlLbl val="0"/>
      </c:catAx>
      <c:valAx>
        <c:axId val="86754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£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54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[ACTUAL GRAPHS VISIP.xlsx]Sheet3!PivotTable3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Sum of 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Sheet3!$A$4:$A$8</c:f>
              <c:strCache>
                <c:ptCount val="4"/>
                <c:pt idx="0">
                  <c:v>CalmKombu</c:v>
                </c:pt>
                <c:pt idx="1">
                  <c:v>FocusFizz</c:v>
                </c:pt>
                <c:pt idx="2">
                  <c:v>GlowTonic</c:v>
                </c:pt>
                <c:pt idx="3">
                  <c:v>RestRefresher</c:v>
                </c:pt>
              </c:strCache>
            </c:strRef>
          </c:cat>
          <c:val>
            <c:numRef>
              <c:f>Sheet3!$B$4:$B$8</c:f>
              <c:numCache>
                <c:formatCode>"£"#,##0</c:formatCode>
                <c:ptCount val="4"/>
                <c:pt idx="0">
                  <c:v>1965</c:v>
                </c:pt>
                <c:pt idx="1">
                  <c:v>5898</c:v>
                </c:pt>
                <c:pt idx="2">
                  <c:v>6573</c:v>
                </c:pt>
                <c:pt idx="3">
                  <c:v>1522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CF-4802-965B-A1E6D5307342}"/>
            </c:ext>
          </c:extLst>
        </c:ser>
        <c:ser>
          <c:idx val="1"/>
          <c:order val="1"/>
          <c:tx>
            <c:strRef>
              <c:f>Sheet3!$C$3</c:f>
              <c:strCache>
                <c:ptCount val="1"/>
                <c:pt idx="0">
                  <c:v>Sum of Total Profit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Sheet3!$A$4:$A$8</c:f>
              <c:strCache>
                <c:ptCount val="4"/>
                <c:pt idx="0">
                  <c:v>CalmKombu</c:v>
                </c:pt>
                <c:pt idx="1">
                  <c:v>FocusFizz</c:v>
                </c:pt>
                <c:pt idx="2">
                  <c:v>GlowTonic</c:v>
                </c:pt>
                <c:pt idx="3">
                  <c:v>RestRefresher</c:v>
                </c:pt>
              </c:strCache>
            </c:strRef>
          </c:cat>
          <c:val>
            <c:numRef>
              <c:f>Sheet3!$C$4:$C$8</c:f>
              <c:numCache>
                <c:formatCode>"£"#,##0</c:formatCode>
                <c:ptCount val="4"/>
                <c:pt idx="0">
                  <c:v>948</c:v>
                </c:pt>
                <c:pt idx="1">
                  <c:v>2790</c:v>
                </c:pt>
                <c:pt idx="2">
                  <c:v>3222</c:v>
                </c:pt>
                <c:pt idx="3">
                  <c:v>660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CF-4802-965B-A1E6D5307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490672"/>
        <c:axId val="867494032"/>
      </c:barChart>
      <c:catAx>
        <c:axId val="86749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494032"/>
        <c:crosses val="autoZero"/>
        <c:auto val="1"/>
        <c:lblAlgn val="ctr"/>
        <c:lblOffset val="100"/>
        <c:noMultiLvlLbl val="0"/>
      </c:catAx>
      <c:valAx>
        <c:axId val="86749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£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49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[ACTUAL GRAPHS VISIP.xlsx]Sheet4!PivotTable4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Sheet4!$B$3</c:f>
              <c:strCache>
                <c:ptCount val="1"/>
                <c:pt idx="0">
                  <c:v>Sum of Total 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33E-476A-9DC6-EB362C8E031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33E-476A-9DC6-EB362C8E031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33E-476A-9DC6-EB362C8E0313}"/>
              </c:ext>
            </c:extLst>
          </c:dPt>
          <c:cat>
            <c:strRef>
              <c:f>Sheet4!$A$4:$A$7</c:f>
              <c:strCache>
                <c:ptCount val="3"/>
                <c:pt idx="0">
                  <c:v>Boutique Fitness Studios</c:v>
                </c:pt>
                <c:pt idx="1">
                  <c:v>Online</c:v>
                </c:pt>
                <c:pt idx="2">
                  <c:v>Third-Party Retail</c:v>
                </c:pt>
              </c:strCache>
            </c:strRef>
          </c:cat>
          <c:val>
            <c:numRef>
              <c:f>Sheet4!$B$4:$B$7</c:f>
              <c:numCache>
                <c:formatCode>"£"#,##0</c:formatCode>
                <c:ptCount val="3"/>
                <c:pt idx="0">
                  <c:v>2123</c:v>
                </c:pt>
                <c:pt idx="1">
                  <c:v>11012</c:v>
                </c:pt>
                <c:pt idx="2">
                  <c:v>2823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33E-476A-9DC6-EB362C8E0313}"/>
            </c:ext>
          </c:extLst>
        </c:ser>
        <c:ser>
          <c:idx val="1"/>
          <c:order val="1"/>
          <c:tx>
            <c:strRef>
              <c:f>Sheet4!$C$3</c:f>
              <c:strCache>
                <c:ptCount val="1"/>
                <c:pt idx="0">
                  <c:v>Sum of 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8-D33E-476A-9DC6-EB362C8E031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A-D33E-476A-9DC6-EB362C8E031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C-D33E-476A-9DC6-EB362C8E0313}"/>
              </c:ext>
            </c:extLst>
          </c:dPt>
          <c:cat>
            <c:strRef>
              <c:f>Sheet4!$A$4:$A$7</c:f>
              <c:strCache>
                <c:ptCount val="3"/>
                <c:pt idx="0">
                  <c:v>Boutique Fitness Studios</c:v>
                </c:pt>
                <c:pt idx="1">
                  <c:v>Online</c:v>
                </c:pt>
                <c:pt idx="2">
                  <c:v>Third-Party Retail</c:v>
                </c:pt>
              </c:strCache>
            </c:strRef>
          </c:cat>
          <c:val>
            <c:numRef>
              <c:f>Sheet4!$C$4:$C$7</c:f>
              <c:numCache>
                <c:formatCode>0.00%</c:formatCode>
                <c:ptCount val="3"/>
                <c:pt idx="0">
                  <c:v>0.13300000000000001</c:v>
                </c:pt>
                <c:pt idx="1">
                  <c:v>0.69</c:v>
                </c:pt>
                <c:pt idx="2">
                  <c:v>0.17699999999999999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33E-476A-9DC6-EB362C8E0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[ACTUAL GRAPHS VISIP.xlsx]Sheet5!PivotTable5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Sheet5!$A$4:$A$8</c:f>
              <c:strCache>
                <c:ptCount val="4"/>
                <c:pt idx="0">
                  <c:v>New</c:v>
                </c:pt>
                <c:pt idx="1">
                  <c:v>Returning</c:v>
                </c:pt>
                <c:pt idx="2">
                  <c:v>Subscription</c:v>
                </c:pt>
                <c:pt idx="3">
                  <c:v>Unknown</c:v>
                </c:pt>
              </c:strCache>
            </c:strRef>
          </c:cat>
          <c:val>
            <c:numRef>
              <c:f>Sheet5!$B$4:$B$8</c:f>
              <c:numCache>
                <c:formatCode>"£"#,##0</c:formatCode>
                <c:ptCount val="4"/>
                <c:pt idx="0">
                  <c:v>7050</c:v>
                </c:pt>
                <c:pt idx="1">
                  <c:v>4835</c:v>
                </c:pt>
                <c:pt idx="2">
                  <c:v>3941</c:v>
                </c:pt>
                <c:pt idx="3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27-48DC-9DC9-0B565A2B5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105600"/>
        <c:axId val="117110880"/>
      </c:barChart>
      <c:catAx>
        <c:axId val="11710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10880"/>
        <c:crosses val="autoZero"/>
        <c:auto val="1"/>
        <c:lblAlgn val="ctr"/>
        <c:lblOffset val="100"/>
        <c:noMultiLvlLbl val="0"/>
      </c:catAx>
      <c:valAx>
        <c:axId val="11711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£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0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[ACTUAL GRAPHS VISIP.xlsx]Sheet6!PivotTable6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Sum of 2024 Actual 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Sheet6!$A$4:$A$16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Sheet6!$B$4:$B$16</c:f>
              <c:numCache>
                <c:formatCode>"£"#,##0</c:formatCode>
                <c:ptCount val="12"/>
                <c:pt idx="0">
                  <c:v>1020</c:v>
                </c:pt>
                <c:pt idx="1">
                  <c:v>1074</c:v>
                </c:pt>
                <c:pt idx="2">
                  <c:v>1280</c:v>
                </c:pt>
                <c:pt idx="3">
                  <c:v>1300</c:v>
                </c:pt>
                <c:pt idx="4">
                  <c:v>1355</c:v>
                </c:pt>
                <c:pt idx="5">
                  <c:v>1374</c:v>
                </c:pt>
                <c:pt idx="6">
                  <c:v>1429</c:v>
                </c:pt>
                <c:pt idx="7">
                  <c:v>1530</c:v>
                </c:pt>
                <c:pt idx="8">
                  <c:v>1568</c:v>
                </c:pt>
                <c:pt idx="9">
                  <c:v>1583</c:v>
                </c:pt>
                <c:pt idx="10">
                  <c:v>1621</c:v>
                </c:pt>
                <c:pt idx="11">
                  <c:v>1696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8E-429C-AC92-DFBD2455B718}"/>
            </c:ext>
          </c:extLst>
        </c:ser>
        <c:ser>
          <c:idx val="1"/>
          <c:order val="1"/>
          <c:tx>
            <c:strRef>
              <c:f>Sheet6!$C$3</c:f>
              <c:strCache>
                <c:ptCount val="1"/>
                <c:pt idx="0">
                  <c:v>Sum of 2025 Forecasted Sales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Sheet6!$A$4:$A$16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Sheet6!$C$4:$C$16</c:f>
              <c:numCache>
                <c:formatCode>"£"#,##0</c:formatCode>
                <c:ptCount val="12"/>
                <c:pt idx="0">
                  <c:v>1173</c:v>
                </c:pt>
                <c:pt idx="1">
                  <c:v>1235</c:v>
                </c:pt>
                <c:pt idx="2">
                  <c:v>1472</c:v>
                </c:pt>
                <c:pt idx="3">
                  <c:v>1495</c:v>
                </c:pt>
                <c:pt idx="4">
                  <c:v>1558</c:v>
                </c:pt>
                <c:pt idx="5">
                  <c:v>1580</c:v>
                </c:pt>
                <c:pt idx="6">
                  <c:v>1643</c:v>
                </c:pt>
                <c:pt idx="7">
                  <c:v>1760</c:v>
                </c:pt>
                <c:pt idx="8">
                  <c:v>1803</c:v>
                </c:pt>
                <c:pt idx="9">
                  <c:v>1821</c:v>
                </c:pt>
                <c:pt idx="10">
                  <c:v>1864</c:v>
                </c:pt>
                <c:pt idx="11">
                  <c:v>1948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8E-429C-AC92-DFBD2455B7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7518032"/>
        <c:axId val="867526672"/>
      </c:lineChart>
      <c:catAx>
        <c:axId val="86751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526672"/>
        <c:crosses val="autoZero"/>
        <c:auto val="1"/>
        <c:lblAlgn val="ctr"/>
        <c:lblOffset val="100"/>
        <c:noMultiLvlLbl val="0"/>
      </c:catAx>
      <c:valAx>
        <c:axId val="86752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£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51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Yerlan III</dc:creator>
  <cp:keywords/>
  <dc:description/>
  <cp:lastModifiedBy>Dr Yerlan III</cp:lastModifiedBy>
  <cp:revision>23</cp:revision>
  <dcterms:created xsi:type="dcterms:W3CDTF">2025-07-17T12:15:00Z</dcterms:created>
  <dcterms:modified xsi:type="dcterms:W3CDTF">2025-07-17T12:47:00Z</dcterms:modified>
</cp:coreProperties>
</file>