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3100" w:line="480" w:lineRule="auto"/>
        <w:jc w:val="center"/>
      </w:pPr>
      <w:r>
        <w:rPr>
          <w:rFonts w:ascii="Times New Roman" w:hAnsi="Times New Roman"/>
          <w:b/>
          <w:sz w:val="28"/>
        </w:rPr>
        <w:t>00 Acta constitucion SaborExpress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Equipo de desarrollo SaborExpress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Filiación institucional y autores individuales: por confirmar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Estudio académico de ingeniería de software y documentación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14 de octubre de 2026</w:t>
      </w:r>
    </w:p>
    <w:p>
      <w:r>
        <w:br w:type="page"/>
      </w:r>
    </w:p>
    <w:bookmarkStart w:id="35" w:name="X443a65a380df63760d2aa8db0e0ee5f6d1cffe2"/>
    <w:p>
      <w:pPr>
        <w:pStyle w:val="Heading1"/>
        <w:keepNext/>
        <w:ind w:firstLine="0"/>
      </w:pPr>
      <w:r>
        <w:rPr>
          <w:color w:val="000000"/>
        </w:rPr>
        <w:t xml:space="preserve">Acta de constitución y alcance del proyecto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Proyecto:</w:t>
      </w:r>
      <w:r>
        <w:t xml:space="preserve"> </w:t>
      </w:r>
      <w:r>
        <w:t xml:space="preserve">SaborExpress |</w:t>
      </w:r>
      <w:r>
        <w:t xml:space="preserve"> </w:t>
      </w:r>
      <w:r>
        <w:rPr>
          <w:b/>
          <w:bCs/>
        </w:rPr>
        <w:t xml:space="preserve">Fecha de corte:</w:t>
      </w:r>
      <w:r>
        <w:t xml:space="preserve"> </w:t>
      </w:r>
      <w:r>
        <w:t xml:space="preserve">14 de octubre de 2026 |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2.0 |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Documento técnico y académico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Estado de la evidencia:</w:t>
      </w:r>
      <w:r>
        <w:t xml:space="preserve"> </w:t>
      </w:r>
      <w:r>
        <w:t xml:space="preserve">inspección documental y estática del código. Las pruebas de ejecución y los datos institucionales no aportados no se presumen realizados.</w:t>
      </w:r>
    </w:p>
    <w:bookmarkStart w:id="20" w:name="identificación"/>
    <w:p>
      <w:pPr>
        <w:pStyle w:val="Heading2"/>
        <w:keepNext/>
        <w:ind w:firstLine="0"/>
      </w:pPr>
      <w:r>
        <w:rPr>
          <w:color w:val="000000"/>
        </w:rPr>
        <w:t xml:space="preserve">1. Identificación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Nombre:</w:t>
      </w:r>
      <w:r>
        <w:t xml:space="preserve"> </w:t>
      </w:r>
      <w:r>
        <w:t xml:space="preserve">SaborExpress.</w:t>
      </w:r>
      <w:r>
        <w:t xml:space="preserve"> </w:t>
      </w:r>
      <w:r>
        <w:rPr>
          <w:b/>
          <w:bCs/>
        </w:rPr>
        <w:t xml:space="preserve">Naturaleza:</w:t>
      </w:r>
      <w:r>
        <w:t xml:space="preserve"> </w:t>
      </w:r>
      <w:r>
        <w:t xml:space="preserve">desarrollo de plataforma para operación y pedidos gastronómicos, con clientes web y móvil y backend central.</w:t>
      </w:r>
      <w:r>
        <w:t xml:space="preserve"> </w:t>
      </w:r>
      <w:r>
        <w:rPr>
          <w:b/>
          <w:bCs/>
        </w:rPr>
        <w:t xml:space="preserve">Equipo / ficha SENA / instructor / entidad patrocinadora:</w:t>
      </w:r>
      <w:r>
        <w:t xml:space="preserve"> </w:t>
      </w:r>
      <w:r>
        <w:t xml:space="preserve">pendientes de datos confirmados por sus responsables.</w:t>
      </w:r>
    </w:p>
    <w:bookmarkEnd w:id="20"/>
    <w:bookmarkStart w:id="21" w:name="justificación"/>
    <w:p>
      <w:pPr>
        <w:pStyle w:val="Heading2"/>
        <w:keepNext/>
        <w:ind w:firstLine="0"/>
      </w:pPr>
      <w:r>
        <w:rPr>
          <w:color w:val="000000"/>
        </w:rPr>
        <w:t xml:space="preserve">2. Justificación</w:t>
      </w:r>
    </w:p>
    <w:p>
      <w:pPr>
        <w:pStyle w:val="FirstParagraph"/>
        <w:spacing w:line="480" w:lineRule="auto" w:after="0"/>
        <w:ind w:firstLine="720"/>
      </w:pPr>
      <w:r>
        <w:t xml:space="preserve">La coordinación digital de catálogo, atención de mesa, preparación, pagos y domicilios puede mejorar trazabilidad operativa. El beneficio medible aún debe comprobarse en un piloto; aquí se registra una solución de ingeniería y su alcance técnico verificable.</w:t>
      </w:r>
    </w:p>
    <w:bookmarkEnd w:id="21"/>
    <w:bookmarkStart w:id="22" w:name="objetivo-general"/>
    <w:p>
      <w:pPr>
        <w:pStyle w:val="Heading2"/>
        <w:keepNext/>
        <w:ind w:firstLine="0"/>
      </w:pPr>
      <w:r>
        <w:rPr>
          <w:color w:val="000000"/>
        </w:rPr>
        <w:t xml:space="preserve">3. Objetivo general</w:t>
      </w:r>
    </w:p>
    <w:p>
      <w:pPr>
        <w:pStyle w:val="FirstParagraph"/>
        <w:spacing w:line="480" w:lineRule="auto" w:after="0"/>
        <w:ind w:firstLine="720"/>
      </w:pPr>
      <w:r>
        <w:t xml:space="preserve">Analizar, documentar y validar una plataforma digital integrada para gestionar operaciones de restaurantes mediante API REST modular, portal web y aplicación móvil.</w:t>
      </w:r>
    </w:p>
    <w:bookmarkEnd w:id="22"/>
    <w:bookmarkStart w:id="23" w:name="alcance-incluido-y-excluido"/>
    <w:p>
      <w:pPr>
        <w:pStyle w:val="Heading2"/>
        <w:keepNext/>
        <w:ind w:firstLine="0"/>
      </w:pPr>
      <w:r>
        <w:rPr>
          <w:color w:val="000000"/>
        </w:rPr>
        <w:t xml:space="preserve">4. Alcance incluido y excluido</w:t>
      </w:r>
    </w:p>
    <w:p>
      <w:pPr>
        <w:pStyle w:val="FirstParagraph"/>
        <w:spacing w:line="480" w:lineRule="auto" w:after="0"/>
        <w:ind w:firstLine="720"/>
      </w:pPr>
      <w:r>
        <w:t xml:space="preserve">Incluye gestión de usuarios/roles, sedes, personal, catálogo, pedidos, pagos, reparto, notificaciones y configuraciones observadas en código. Excluye: prueba de operación real a escala, seguridad certificada, condiciones contractuales de Wompi, costos finalizados, mercadeo y flota física.</w:t>
      </w:r>
    </w:p>
    <w:bookmarkEnd w:id="23"/>
    <w:bookmarkStart w:id="24" w:name="entregables"/>
    <w:p>
      <w:pPr>
        <w:pStyle w:val="Heading2"/>
        <w:keepNext/>
        <w:ind w:firstLine="0"/>
      </w:pPr>
      <w:r>
        <w:rPr>
          <w:color w:val="000000"/>
        </w:rPr>
        <w:t xml:space="preserve">5. Entregables</w:t>
      </w:r>
    </w:p>
    <w:p>
      <w:pPr>
        <w:pStyle w:val="FirstParagraph"/>
        <w:spacing w:line="480" w:lineRule="auto" w:after="0"/>
        <w:ind w:firstLine="720"/>
      </w:pPr>
      <w:r>
        <w:t xml:space="preserve">SRS, análisis, propuesta, diseño, datos, catálogo API/Postman, instalación, manuales, plan de pruebas, matriz de trazabilidad, correctivos, informe de cierre y artículos académicos.</w:t>
      </w:r>
    </w:p>
    <w:bookmarkEnd w:id="24"/>
    <w:bookmarkStart w:id="25" w:name="interesados-cronograma-y-riesgos"/>
    <w:p>
      <w:pPr>
        <w:pStyle w:val="Heading2"/>
        <w:keepNext/>
        <w:ind w:firstLine="0"/>
      </w:pPr>
      <w:r>
        <w:rPr>
          <w:color w:val="000000"/>
        </w:rPr>
        <w:t xml:space="preserve">6. Interesados, cronograma y riesgos</w:t>
      </w:r>
    </w:p>
    <w:p>
      <w:pPr>
        <w:pStyle w:val="FirstParagraph"/>
        <w:spacing w:line="480" w:lineRule="auto" w:after="0"/>
        <w:ind w:firstLine="720"/>
      </w:pPr>
      <w:r>
        <w:t xml:space="preserve">Los roles de responsabilidad se definirán en acta aprobada. Cronograma relativo P1–P6 según propuesta técnica, sin fechas comprometidas. Riesgos principales: autorización intersede, cobros, migraciones, disponibilidad, datos personales, ausencia de pruebas reproducibles.</w:t>
      </w:r>
    </w:p>
    <w:bookmarkEnd w:id="25"/>
    <w:bookmarkStart w:id="26" w:name="criterios-de-aprobación"/>
    <w:p>
      <w:pPr>
        <w:pStyle w:val="Heading2"/>
        <w:keepNext/>
        <w:ind w:firstLine="0"/>
      </w:pPr>
      <w:r>
        <w:rPr>
          <w:color w:val="000000"/>
        </w:rPr>
        <w:t xml:space="preserve">7. Criterios de aprobación</w:t>
      </w:r>
    </w:p>
    <w:p>
      <w:pPr>
        <w:pStyle w:val="FirstParagraph"/>
        <w:spacing w:line="480" w:lineRule="auto" w:after="0"/>
        <w:ind w:firstLine="720"/>
      </w:pPr>
      <w:r>
        <w:t xml:space="preserve">La documentación se considera entregable para</w:t>
      </w:r>
      <w:r>
        <w:t xml:space="preserve"> </w:t>
      </w:r>
      <w:r>
        <w:rPr>
          <w:b/>
          <w:bCs/>
        </w:rPr>
        <w:t xml:space="preserve">revisión</w:t>
      </w:r>
      <w:r>
        <w:t xml:space="preserve">, no aceptada, cuando cada formato abre, los requisitos tienen pruebas trazables, el artículo identifica límites y los manuales corresponden a SHA documentados. La aprobación académica requiere revisión del instructor y evidencias operativas.</w:t>
      </w:r>
    </w:p>
    <w:bookmarkEnd w:id="26"/>
    <w:bookmarkStart w:id="27" w:name="X1c309bafb295311077943c49b6fcc4bb4c7acaf"/>
    <w:p>
      <w:pPr>
        <w:pStyle w:val="Heading2"/>
        <w:keepNext/>
        <w:ind w:firstLine="0"/>
      </w:pPr>
      <w:r>
        <w:rPr>
          <w:color w:val="000000"/>
        </w:rPr>
        <w:t xml:space="preserve">8. Línea base de alcance, gobernanza y entregables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Elemento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Alcance detallado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No se afirma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Producto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API REST de restaurante + clientes web y móvil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que sea microservicio o producción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Usuarios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cliente, caja, cocina, reparto, gerencia y administración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piloto con usuarios realizado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Funcional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pedidos, pagos, sedes, catálogo, personal, entregas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todos los módulos aceptados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Documental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SRS, SDD, plan QA, manuales y artículo científico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aprobación institucional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Plataforma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ASP.NET Core 8, Next.js 16, Expo 57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calidad del despliegue real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Investigación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estudio de caso documental y bibliografía dirigida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experimentos de campo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Ejecución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propuesta de fases con hitos verificables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fechas, costos y nombres inventados</w:t>
            </w:r>
          </w:p>
        </w:tc>
      </w:tr>
    </w:tbl>
    <w:bookmarkEnd w:id="27"/>
    <w:bookmarkStart w:id="28" w:name="hitos-y-criterios-de-decisión"/>
    <w:p>
      <w:pPr>
        <w:pStyle w:val="Heading2"/>
        <w:keepNext/>
        <w:ind w:firstLine="0"/>
      </w:pPr>
      <w:r>
        <w:rPr>
          <w:color w:val="000000"/>
        </w:rPr>
        <w:t xml:space="preserve">9. Hitos y criterios de decisión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H1 Alcance y requisitos aprobados:</w:t>
      </w:r>
      <w:r>
        <w:t xml:space="preserve"> </w:t>
      </w:r>
      <w:r>
        <w:t xml:space="preserve">matriz SRS revisada por responsable funcional, reglas de sede y pago precisadas.</w:t>
      </w:r>
      <w:r>
        <w:t xml:space="preserve"> </w:t>
      </w:r>
      <w:r>
        <w:rPr>
          <w:b/>
          <w:bCs/>
        </w:rPr>
        <w:t xml:space="preserve">H2 Arquitectura aprobada:</w:t>
      </w:r>
      <w:r>
        <w:t xml:space="preserve"> </w:t>
      </w:r>
      <w:r>
        <w:t xml:space="preserve">diagramas y ADR versionados, motor de datos oficial acordado.</w:t>
      </w:r>
      <w:r>
        <w:t xml:space="preserve"> </w:t>
      </w:r>
      <w:r>
        <w:rPr>
          <w:b/>
          <w:bCs/>
        </w:rPr>
        <w:t xml:space="preserve">H3 Desarrollo y contratos:</w:t>
      </w:r>
      <w:r>
        <w:t xml:space="preserve"> </w:t>
      </w:r>
      <w:r>
        <w:t xml:space="preserve">build reproducible de tres clientes, OpenAPI validado, migraciones aprobadas.</w:t>
      </w:r>
      <w:r>
        <w:t xml:space="preserve"> </w:t>
      </w:r>
      <w:r>
        <w:rPr>
          <w:b/>
          <w:bCs/>
        </w:rPr>
        <w:t xml:space="preserve">H4 Seguridad/calidad:</w:t>
      </w:r>
      <w:r>
        <w:t xml:space="preserve"> </w:t>
      </w:r>
      <w:r>
        <w:t xml:space="preserve">pruebas de autorización, Wompi, respaldo y carga ejecutadas con evidencia.</w:t>
      </w:r>
      <w:r>
        <w:t xml:space="preserve"> </w:t>
      </w:r>
      <w:r>
        <w:rPr>
          <w:b/>
          <w:bCs/>
        </w:rPr>
        <w:t xml:space="preserve">H5 Entrenamiento/piloto:</w:t>
      </w:r>
      <w:r>
        <w:t xml:space="preserve"> </w:t>
      </w:r>
      <w:r>
        <w:t xml:space="preserve">personal realiza flujos en sandbox y reporta hallazgos.</w:t>
      </w:r>
      <w:r>
        <w:t xml:space="preserve"> </w:t>
      </w:r>
      <w:r>
        <w:rPr>
          <w:b/>
          <w:bCs/>
        </w:rPr>
        <w:t xml:space="preserve">H6 Entrega:</w:t>
      </w:r>
      <w:r>
        <w:t xml:space="preserve"> </w:t>
      </w:r>
      <w:r>
        <w:t xml:space="preserve">informe final, aceptación, inventario de versiones y transferencia operativa.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Gobierno del proyecto:</w:t>
      </w:r>
      <w:r>
        <w:t xml:space="preserve"> </w:t>
      </w:r>
      <w:r>
        <w:t xml:space="preserve">solicitante, responsable funcional, líder técnico, desarrolladores, QA, operación y protección de datos; personas y fechas por asignar. Actas de decisión y cambios se almacenan en documentación. Un hito se considera cerrado solo con evidencia y aceptación formal.</w:t>
      </w:r>
    </w:p>
    <w:bookmarkEnd w:id="28"/>
    <w:bookmarkStart w:id="29" w:name="criterios-de-éxito-y-límites"/>
    <w:p>
      <w:pPr>
        <w:pStyle w:val="Heading2"/>
        <w:keepNext/>
        <w:ind w:firstLine="0"/>
      </w:pPr>
      <w:r>
        <w:rPr>
          <w:color w:val="000000"/>
        </w:rPr>
        <w:t xml:space="preserve">10. Criterios de éxito y límites</w:t>
      </w:r>
    </w:p>
    <w:p>
      <w:pPr>
        <w:pStyle w:val="Compact"/>
        <w:numPr>
          <w:ilvl w:val="0"/>
          <w:numId w:val="1001"/>
        </w:numPr>
      </w:pPr>
      <w:r>
        <w:t xml:space="preserve">Integridad de pedidos y de pagos respaldada por pruebas.</w:t>
      </w:r>
    </w:p>
    <w:p>
      <w:pPr>
        <w:pStyle w:val="Compact"/>
        <w:numPr>
          <w:ilvl w:val="0"/>
          <w:numId w:val="1001"/>
        </w:numPr>
      </w:pPr>
      <w:r>
        <w:t xml:space="preserve">Segregación por rol, cliente y sede probada.</w:t>
      </w:r>
    </w:p>
    <w:p>
      <w:pPr>
        <w:pStyle w:val="Compact"/>
        <w:numPr>
          <w:ilvl w:val="0"/>
          <w:numId w:val="1001"/>
        </w:numPr>
      </w:pPr>
      <w:r>
        <w:t xml:space="preserve">Manuales de instalación/operación replicables en equipo limpio.</w:t>
      </w:r>
    </w:p>
    <w:p>
      <w:pPr>
        <w:pStyle w:val="Compact"/>
        <w:numPr>
          <w:ilvl w:val="0"/>
          <w:numId w:val="1001"/>
        </w:numPr>
      </w:pPr>
      <w:r>
        <w:t xml:space="preserve">Respaldo y restauración ejecutados.</w:t>
      </w:r>
    </w:p>
    <w:p>
      <w:pPr>
        <w:pStyle w:val="Compact"/>
        <w:numPr>
          <w:ilvl w:val="0"/>
          <w:numId w:val="1001"/>
        </w:numPr>
      </w:pPr>
      <w:r>
        <w:t xml:space="preserve">Riesgos críticos controlados y firmados.</w:t>
      </w:r>
    </w:p>
    <w:p>
      <w:pPr>
        <w:pStyle w:val="Compact"/>
        <w:numPr>
          <w:ilvl w:val="0"/>
          <w:numId w:val="1001"/>
        </w:numPr>
      </w:pPr>
      <w:r>
        <w:t xml:space="preserve">Métricas de rendimiento y usabilidad definidas antes de medir.</w:t>
      </w:r>
    </w:p>
    <w:p>
      <w:pPr>
        <w:pStyle w:val="FirstParagraph"/>
        <w:spacing w:line="480" w:lineRule="auto" w:after="0"/>
        <w:ind w:firstLine="720"/>
      </w:pPr>
      <w:r>
        <w:t xml:space="preserve">Los anteriores son criterios propuestos, no resultados. Presupuesto total, duración, roles nominativos, establecimiento piloto y propiedad intelectual requieren información aportada por el equipo.</w:t>
      </w:r>
    </w:p>
    <w:bookmarkEnd w:id="29"/>
    <w:bookmarkStart w:id="31" w:name="gestión-de-interesados-y-comunicación"/>
    <w:p>
      <w:pPr>
        <w:pStyle w:val="Heading2"/>
        <w:keepNext/>
        <w:ind w:firstLine="0"/>
      </w:pPr>
      <w:r>
        <w:rPr>
          <w:color w:val="000000"/>
        </w:rPr>
        <w:t xml:space="preserve">10. Gestión de interesados y comunicación</w:t>
      </w:r>
    </w:p>
    <w:p>
      <w:pPr>
        <w:pStyle w:val="FirstParagraph"/>
        <w:spacing w:line="480" w:lineRule="auto" w:after="0"/>
        <w:ind w:firstLine="720"/>
      </w:pPr>
      <w:r>
        <w:t xml:space="preserve">La gobernanza propuesta requiere un patrocinador funcional para validar objetivos, un representante de operación gastronómica que confirme estados y reglas de negocio, un responsable de backend para contratos y datos, responsables de interfaz web y móvil, un equipo de calidad para evidencias y un propietario documental para vigencia de los entregables. No se dispone de designaciones nominales ni firmas; los cargos constituyen roles de proyecto sugeridos.</w:t>
      </w:r>
    </w:p>
    <w:p>
      <w:pPr>
        <w:pStyle w:val="BodyText"/>
        <w:spacing w:line="480" w:lineRule="auto" w:after="0"/>
        <w:ind w:firstLine="720"/>
      </w:pPr>
      <w:r>
        <w:t xml:space="preserve">El equipo celebrará revisión de avance por incremento o entrega funcional, registrará decisiones en acta con ID, contexto, alternativas, decisión, impacto, responsable y fecha, y conservará las aprobaciones dentro de un sistema de control de versiones. Las decisiones con consecuencia financiera, de seguridad o privacidad requieren la revisión simultánea de operaciones, backend y pruebas, incluso si una implementación concreta solo toca una capa.</w:t>
      </w:r>
    </w:p>
    <w:bookmarkStart w:id="30" w:name="X41b0da6287cc198de2232694755cfbb15273039"/>
    <w:p>
      <w:pPr>
        <w:pStyle w:val="Heading3"/>
        <w:keepNext/>
        <w:ind w:firstLine="0"/>
      </w:pPr>
      <w:r>
        <w:rPr>
          <w:color w:val="000000"/>
        </w:rPr>
        <w:t xml:space="preserve">10.1. Matriz de responsabilidades de referencia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Actividad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Responsable de ejecución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Revisión / aprobación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Evidencia mínima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Alcance de pedido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Analista funcional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Representante operativo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SRS y acta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Cambios API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Backend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Líder técnico y clientes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OpenAPI y casos de prueba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Validación de caja/pagos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Integraciones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QA y operaciones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Pruebas sandbox y conciliación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Entregas y tracking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Móvil / backend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Operaciones y QA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Caso de entrega sintético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Documentación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Responsable documental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Líder técnico/instructor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Commit, versión y aprobaciones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Seguridad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Responsable designado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Líder técnico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Matriz de riesgos y remediación</w:t>
            </w:r>
          </w:p>
        </w:tc>
      </w:tr>
    </w:tbl>
    <w:bookmarkEnd w:id="30"/>
    <w:bookmarkEnd w:id="31"/>
    <w:bookmarkStart w:id="32" w:name="criterios-de-transición-de-etapas"/>
    <w:p>
      <w:pPr>
        <w:pStyle w:val="Heading2"/>
        <w:keepNext/>
        <w:ind w:firstLine="0"/>
      </w:pPr>
      <w:r>
        <w:rPr>
          <w:color w:val="000000"/>
        </w:rPr>
        <w:t xml:space="preserve">11. Criterios de transición de etapas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Salida de análisis:</w:t>
      </w:r>
      <w:r>
        <w:t xml:space="preserve"> </w:t>
      </w:r>
      <w:r>
        <w:t xml:space="preserve">requisitos con identificadores, actor, disparador, pre/postcondiciones y criterios de aceptación revisados.</w:t>
      </w:r>
      <w:r>
        <w:t xml:space="preserve"> </w:t>
      </w:r>
      <w:r>
        <w:rPr>
          <w:b/>
          <w:bCs/>
        </w:rPr>
        <w:t xml:space="preserve">Salida de diseño:</w:t>
      </w:r>
      <w:r>
        <w:t xml:space="preserve"> </w:t>
      </w:r>
      <w:r>
        <w:t xml:space="preserve">arquitectura actual, contratos, modelo de datos conceptual, amenazas e impactos de cambio aceptados.</w:t>
      </w:r>
      <w:r>
        <w:t xml:space="preserve"> </w:t>
      </w:r>
      <w:r>
        <w:rPr>
          <w:b/>
          <w:bCs/>
        </w:rPr>
        <w:t xml:space="preserve">Salida de construcción:</w:t>
      </w:r>
      <w:r>
        <w:t xml:space="preserve"> </w:t>
      </w:r>
      <w:r>
        <w:t xml:space="preserve">builds reproducibles e integraciones registradas.</w:t>
      </w:r>
      <w:r>
        <w:t xml:space="preserve"> </w:t>
      </w:r>
      <w:r>
        <w:rPr>
          <w:b/>
          <w:bCs/>
        </w:rPr>
        <w:t xml:space="preserve">Salida de validación:</w:t>
      </w:r>
      <w:r>
        <w:t xml:space="preserve"> </w:t>
      </w:r>
      <w:r>
        <w:t xml:space="preserve">actas con procedimiento, ambiente, resultado observado, evidencia y defectos abiertos.</w:t>
      </w:r>
      <w:r>
        <w:t xml:space="preserve"> </w:t>
      </w:r>
      <w:r>
        <w:rPr>
          <w:b/>
          <w:bCs/>
        </w:rPr>
        <w:t xml:space="preserve">Salida a producción:</w:t>
      </w:r>
      <w:r>
        <w:t xml:space="preserve"> </w:t>
      </w:r>
      <w:r>
        <w:t xml:space="preserve">backup y restauración probados, secretos externalizados, TLS y dominios correctos, monitoreo y procedimiento de reversión aprobados.</w:t>
      </w:r>
    </w:p>
    <w:p>
      <w:pPr>
        <w:pStyle w:val="BodyText"/>
        <w:spacing w:line="480" w:lineRule="auto" w:after="0"/>
        <w:ind w:firstLine="720"/>
      </w:pPr>
      <w:r>
        <w:t xml:space="preserve">No se considera cumplido un hito por disponer únicamente del archivo que lo nombra. Una matriz con evidencia, fecha y firma debe acompañarlo. El cierre académico es distinto del despliegue comercial.</w:t>
      </w:r>
    </w:p>
    <w:bookmarkEnd w:id="32"/>
    <w:bookmarkStart w:id="33" w:name="Xe5a7ff84ad0afa97348fb1962dce6d20ff1a115"/>
    <w:p>
      <w:pPr>
        <w:pStyle w:val="Heading2"/>
        <w:keepNext/>
        <w:ind w:firstLine="0"/>
      </w:pPr>
      <w:r>
        <w:rPr>
          <w:color w:val="000000"/>
        </w:rPr>
        <w:t xml:space="preserve">12. Supuestos, restricciones y condiciones de éxito</w:t>
      </w:r>
    </w:p>
    <w:p>
      <w:pPr>
        <w:pStyle w:val="FirstParagraph"/>
        <w:spacing w:line="480" w:lineRule="auto" w:after="0"/>
        <w:ind w:firstLine="720"/>
      </w:pPr>
      <w:r>
        <w:t xml:space="preserve">Se asume que el equipo podrá ejecutar los tres proyectos con configuraciones compatibles, que la pasarela de pago ofrece sandbox y que la base de datos de prueba podrá reconstruirse sin usar información de clientes. Las restricciones son el acceso a infraestructura operativa, licencias y secretos, la necesidad de coordinación entre tres repositorios y los límites de verificación estática. La adopción real y la rentabilidad no son indicadores que puedan concluirse mediante revisión de código.</w:t>
      </w:r>
    </w:p>
    <w:p>
      <w:pPr>
        <w:pStyle w:val="BodyText"/>
        <w:spacing w:line="480" w:lineRule="auto" w:after="0"/>
        <w:ind w:firstLine="720"/>
      </w:pPr>
      <w:r>
        <w:t xml:space="preserve">Se considerará éxito documental cuando: todos los documentos de la matriz tengan contenido y control de versión; los hallazgos apunten a archivos verificables; las referencias científicas puedan localizarse; la SRS se relacione con escenarios de prueba; los manuales permitan un arranque en entorno nuevo; y las pruebas no realizadas se mantengan señaladas hasta producir evidencia auténtica.</w:t>
      </w:r>
    </w:p>
    <w:bookmarkEnd w:id="33"/>
    <w:bookmarkStart w:id="34" w:name="fuentes-primarias-de-implementación"/>
    <w:p>
      <w:pPr>
        <w:pStyle w:val="Heading2"/>
        <w:keepNext/>
        <w:ind w:firstLine="0"/>
      </w:pPr>
      <w:r>
        <w:rPr>
          <w:color w:val="000000"/>
        </w:rPr>
        <w:t xml:space="preserve">Fuentes primarias de implementación</w:t>
      </w:r>
    </w:p>
    <w:p>
      <w:pPr>
        <w:pStyle w:val="Compact"/>
        <w:numPr>
          <w:ilvl w:val="0"/>
          <w:numId w:val="1002"/>
        </w:numPr>
      </w:pPr>
      <w:r>
        <w:t xml:space="preserve">API: https://github.com/yersonct/SaborExpressBack/tree/main</w:t>
      </w:r>
    </w:p>
    <w:p>
      <w:pPr>
        <w:pStyle w:val="Compact"/>
        <w:numPr>
          <w:ilvl w:val="0"/>
          <w:numId w:val="1002"/>
        </w:numPr>
      </w:pPr>
      <w:r>
        <w:t xml:space="preserve">Web: https://github.com/yersonct/SaborExpressWeb/tree/main</w:t>
      </w:r>
    </w:p>
    <w:p>
      <w:pPr>
        <w:pStyle w:val="Compact"/>
        <w:numPr>
          <w:ilvl w:val="0"/>
          <w:numId w:val="1002"/>
        </w:numPr>
      </w:pPr>
      <w:r>
        <w:t xml:space="preserve">Móvil: https://github.com/yersonct/SaborExpressMovil/tree/main</w:t>
      </w:r>
    </w:p>
    <w:p>
      <w:pPr>
        <w:pStyle w:val="Compact"/>
        <w:numPr>
          <w:ilvl w:val="0"/>
          <w:numId w:val="1002"/>
        </w:numPr>
      </w:pPr>
      <w:r>
        <w:t xml:space="preserve">Referencia de presentación: https://github.com/jsgh1/SRD-v1/tree/dev/docs/docs-SRD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Control documental:</w:t>
      </w:r>
      <w:r>
        <w:t xml:space="preserve"> </w:t>
      </w:r>
      <w:r>
        <w:t xml:space="preserve">documento elaborado a partir del estado observado en octubre de 2026. Antes de entregar, verificar el commit exacto, responsable, revisión del instructor y cualquier cambio posterior del código.</w:t>
      </w:r>
    </w:p>
    <w:bookmarkEnd w:id="34"/>
    <w:bookmarkEnd w:id="35"/>
    <w:sectPr>
      <w:headerReference r:id="rId9" w:type="default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fldSimple w:instr="PAGE"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  <w:ind w:firstLine="7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36" w:line="240" w:lineRule="auto"/>
      <w:ind w:firstLine="0"/>
    </w:pPr>
    <w:rPr>
      <w:rFonts w:ascii="Times New Roman" w:hAnsi="Times New Roman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40" w:before="120" w:line="480" w:lineRule="auto"/>
      <w:ind w:firstLine="0"/>
      <w:jc w:val="center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2026-10-15T00:54:01Z</dcterms:created>
  <dcterms:modified xsi:type="dcterms:W3CDTF">2026-10-15T00:54:01Z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