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3100" w:line="480" w:lineRule="auto"/>
        <w:jc w:val="center"/>
      </w:pPr>
      <w:r>
        <w:rPr>
          <w:rFonts w:ascii="Times New Roman" w:hAnsi="Times New Roman"/>
          <w:b/>
          <w:sz w:val="28"/>
        </w:rPr>
        <w:t>08 Diccionario de datos SaborExpress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Equipo de desarrollo SaborExpress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Filiación institucional y autores individuales: por confirmar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Estudio académico de ingeniería de software y documentación</w:t>
      </w:r>
    </w:p>
    <w:p>
      <w:pPr>
        <w:spacing w:line="480" w:lineRule="auto"/>
        <w:jc w:val="center"/>
      </w:pPr>
      <w:r>
        <w:rPr>
          <w:rFonts w:ascii="Times New Roman" w:hAnsi="Times New Roman"/>
          <w:sz w:val="24"/>
        </w:rPr>
        <w:t>14 de octubre de 2026</w:t>
      </w:r>
    </w:p>
    <w:p>
      <w:r>
        <w:br w:type="page"/>
      </w:r>
    </w:p>
    <w:bookmarkStart w:id="52" w:name="diccionario-de-datos-y-modelo-relacional"/>
    <w:p>
      <w:pPr>
        <w:pStyle w:val="Heading1"/>
        <w:keepNext/>
        <w:ind w:firstLine="0"/>
      </w:pPr>
      <w:r>
        <w:rPr>
          <w:color w:val="000000"/>
        </w:rPr>
        <w:t xml:space="preserve">Diccionario de datos y modelo relacional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Proyecto:</w:t>
      </w:r>
      <w:r>
        <w:t xml:space="preserve"> </w:t>
      </w:r>
      <w:r>
        <w:t xml:space="preserve">SaborExpress |</w:t>
      </w:r>
      <w:r>
        <w:t xml:space="preserve"> </w:t>
      </w:r>
      <w:r>
        <w:rPr>
          <w:b/>
          <w:bCs/>
        </w:rPr>
        <w:t xml:space="preserve">Fecha de corte:</w:t>
      </w:r>
      <w:r>
        <w:t xml:space="preserve"> </w:t>
      </w:r>
      <w:r>
        <w:t xml:space="preserve">14 de octubre de 2026 |</w:t>
      </w:r>
      <w:r>
        <w:t xml:space="preserve"> </w:t>
      </w:r>
      <w:r>
        <w:rPr>
          <w:b/>
          <w:bCs/>
        </w:rPr>
        <w:t xml:space="preserve">Versión:</w:t>
      </w:r>
      <w:r>
        <w:t xml:space="preserve"> </w:t>
      </w:r>
      <w:r>
        <w:t xml:space="preserve">2.0 |</w:t>
      </w:r>
      <w:r>
        <w:t xml:space="preserve"> </w:t>
      </w:r>
      <w:r>
        <w:rPr>
          <w:b/>
          <w:bCs/>
        </w:rPr>
        <w:t xml:space="preserve">Tipo:</w:t>
      </w:r>
      <w:r>
        <w:t xml:space="preserve"> </w:t>
      </w:r>
      <w:r>
        <w:t xml:space="preserve">Documento técnico y académico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Estado de la evidencia:</w:t>
      </w:r>
      <w:r>
        <w:t xml:space="preserve"> </w:t>
      </w:r>
      <w:r>
        <w:t xml:space="preserve">inspección documental y estática del código. Las pruebas de ejecución y los datos institucionales no aportados no se presumen realizados.</w:t>
      </w:r>
    </w:p>
    <w:bookmarkStart w:id="20" w:name="procedencia-y-limitación"/>
    <w:p>
      <w:pPr>
        <w:pStyle w:val="Heading2"/>
        <w:keepNext/>
        <w:ind w:firstLine="0"/>
      </w:pPr>
      <w:r>
        <w:rPr>
          <w:color w:val="000000"/>
        </w:rPr>
        <w:t xml:space="preserve">1. Procedencia y limitación</w:t>
      </w:r>
    </w:p>
    <w:p>
      <w:pPr>
        <w:pStyle w:val="FirstParagraph"/>
        <w:spacing w:line="480" w:lineRule="auto" w:after="0"/>
        <w:ind w:firstLine="720"/>
      </w:pPr>
      <w:r>
        <w:t xml:space="preserve">Los campos listados a continuación se transcriben de modelos C# inspeccionados en</w:t>
      </w:r>
      <w:r>
        <w:t xml:space="preserve"> </w:t>
      </w:r>
      <w:r>
        <w:rPr>
          <w:rStyle w:val="VerbatimChar"/>
        </w:rPr>
        <w:t xml:space="preserve">Modules/&lt;Dominio&gt;/Models</w:t>
      </w:r>
      <w:r>
        <w:t xml:space="preserve"> </w:t>
      </w:r>
      <w:r>
        <w:t xml:space="preserve">y del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.</w:t>
      </w:r>
      <w:r>
        <w:t xml:space="preserve"> </w:t>
      </w:r>
      <w:r>
        <w:rPr>
          <w:b/>
          <w:bCs/>
        </w:rPr>
        <w:t xml:space="preserve">Son propiedades de entidades</w:t>
      </w:r>
      <w:r>
        <w:t xml:space="preserve">, no una exportación certificada del DDL físico (nombres de columnas, índices, nulabilidad y reglas SQL deben validarse en migraciones y motor objetivo). PK/FK se infiere de los nombres y navegaciones y corresponde a relaciones programadas que necesitan comprobarse físicamente.</w:t>
      </w:r>
    </w:p>
    <w:bookmarkEnd w:id="20"/>
    <w:bookmarkStart w:id="29" w:name="modelos-de-datos-inspeccionados"/>
    <w:p>
      <w:pPr>
        <w:pStyle w:val="Heading2"/>
        <w:keepNext/>
        <w:ind w:firstLine="0"/>
      </w:pPr>
      <w:r>
        <w:rPr>
          <w:color w:val="000000"/>
        </w:rPr>
        <w:t xml:space="preserve">2. Modelos de datos inspeccionados</w:t>
      </w:r>
    </w:p>
    <w:bookmarkStart w:id="21" w:name="entidad-user"/>
    <w:p>
      <w:pPr>
        <w:pStyle w:val="Heading3"/>
        <w:keepNext/>
        <w:ind w:firstLine="0"/>
      </w:pPr>
      <w:r>
        <w:rPr>
          <w:color w:val="000000"/>
        </w:rPr>
        <w:t xml:space="preserve">Entidad User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Email:string?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Email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PasswordHash:string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PasswordHash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Status:bool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MustChangePassword:bool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MustChangePassword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LastLogin:DateTime?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LastLogin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CreatedAt:DateTime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CreatedAt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FailedLoginAttempts:int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FailedLoginAttempts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LockoutEnd:DateTime?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LockoutEnd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EmailConfirmed:bool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EmailConfirmed — propiedad del modelo C#</w:t>
            </w:r>
          </w:p>
        </w:tc>
      </w:tr>
    </w:tbl>
    <w:bookmarkEnd w:id="21"/>
    <w:bookmarkStart w:id="22" w:name="entidad-employee"/>
    <w:p>
      <w:pPr>
        <w:pStyle w:val="Heading3"/>
        <w:keepNext/>
        <w:ind w:firstLine="0"/>
      </w:pPr>
      <w:r>
        <w:rPr>
          <w:color w:val="000000"/>
        </w:rPr>
        <w:t xml:space="preserve">Entidad Employee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UserId:int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UserId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Name:string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Name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LastName:string?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LastName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Document:string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Document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Phone:string?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Phone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BranchId:int?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Status:string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Vehicle:string?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Vehicle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Plate:string?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Plate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IsAvailable:bool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IsAvailable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BasePay:decimal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BasePay — propiedad del modelo C#</w:t>
            </w:r>
          </w:p>
        </w:tc>
      </w:tr>
    </w:tbl>
    <w:bookmarkEnd w:id="22"/>
    <w:bookmarkStart w:id="23" w:name="entidad-branch"/>
    <w:p>
      <w:pPr>
        <w:pStyle w:val="Heading3"/>
        <w:keepNext/>
        <w:ind w:firstLine="0"/>
      </w:pPr>
      <w:r>
        <w:rPr>
          <w:color w:val="000000"/>
        </w:rPr>
        <w:t xml:space="preserve">Entidad Branch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Name:string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Name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Address:string?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Address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Phone:string?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Phone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Status:bool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Latitude:decimal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Latitude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Longitude:decimal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Longitude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PublicKitchenCode:string?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PublicKitchenCode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CreatedAt:DateTime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CreatedAt — propiedad del modelo C#</w:t>
            </w:r>
          </w:p>
        </w:tc>
      </w:tr>
    </w:tbl>
    <w:bookmarkEnd w:id="23"/>
    <w:bookmarkStart w:id="24" w:name="entidad-product"/>
    <w:p>
      <w:pPr>
        <w:pStyle w:val="Heading3"/>
        <w:keepNext/>
        <w:ind w:firstLine="0"/>
      </w:pPr>
      <w:r>
        <w:rPr>
          <w:color w:val="000000"/>
        </w:rPr>
        <w:t xml:space="preserve">Entidad Product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CategoryId:int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CategoryId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BranchId:int?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Name:string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Name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Description:string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Description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Price:decimal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Price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Photo:string?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Photo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PreparationTimeInMinutes:int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PreparationTimeInMinutes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Status:bool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CreatedAt:DateTime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CreatedAt — propiedad del modelo C#</w:t>
            </w:r>
          </w:p>
        </w:tc>
      </w:tr>
    </w:tbl>
    <w:bookmarkEnd w:id="24"/>
    <w:bookmarkStart w:id="25" w:name="entidad-order"/>
    <w:p>
      <w:pPr>
        <w:pStyle w:val="Heading3"/>
        <w:keepNext/>
        <w:ind w:firstLine="0"/>
      </w:pPr>
      <w:r>
        <w:rPr>
          <w:color w:val="000000"/>
        </w:rPr>
        <w:t xml:space="preserve">Entidad Order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CustomerId:int?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CustomerId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EmployeeId:int?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EmployeeId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TableId:int?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TableId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BranchId:int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AddressId:int?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AddressId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OrderType:enum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OrderType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Channel:enum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Channel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Status:enum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SubTotal:decimal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SubTotal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Tax:decimal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Tax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Total:decimal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Total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Notes:string?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Notes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GuestName:string?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GuestName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CreatedAt:DateTime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CreatedAt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UpdatedAt:DateTime?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UpdatedAt — propiedad del modelo C#</w:t>
            </w:r>
          </w:p>
        </w:tc>
      </w:tr>
    </w:tbl>
    <w:bookmarkEnd w:id="25"/>
    <w:bookmarkStart w:id="26" w:name="entidad-orderdetail"/>
    <w:p>
      <w:pPr>
        <w:pStyle w:val="Heading3"/>
        <w:keepNext/>
        <w:ind w:firstLine="0"/>
      </w:pPr>
      <w:r>
        <w:rPr>
          <w:color w:val="000000"/>
        </w:rPr>
        <w:t xml:space="preserve">Entidad OrderDetail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OrderId:int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ProductId:int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ProductId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LastModifiedByEmployeeId:int?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LastModifiedByEmployeeId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Quantity:int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Quantity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UnitPrice:decimal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UnitPrice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SubTotal:decimal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SubTotal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Notes:string?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Notes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IsToGo:bool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IsToGo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BatchNumber:int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BatchNumber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Status:enum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 — propiedad del modelo C#</w:t>
            </w:r>
          </w:p>
        </w:tc>
      </w:tr>
    </w:tbl>
    <w:bookmarkEnd w:id="26"/>
    <w:bookmarkStart w:id="27" w:name="entidad-payment"/>
    <w:p>
      <w:pPr>
        <w:pStyle w:val="Heading3"/>
        <w:keepNext/>
        <w:ind w:firstLine="0"/>
      </w:pPr>
      <w:r>
        <w:rPr>
          <w:color w:val="000000"/>
        </w:rPr>
        <w:t xml:space="preserve">Entidad Payment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OrderId:int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CashierId:int?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CashierId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Method:enum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Method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Amount:decimal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Amount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Status:enum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PaidAt:DateTime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PaidAt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WompiReference:string?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WompiReference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WompiTransactionId:string?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WompiTransactionId — propiedad del modelo C#</w:t>
            </w:r>
          </w:p>
        </w:tc>
      </w:tr>
    </w:tbl>
    <w:bookmarkEnd w:id="27"/>
    <w:bookmarkStart w:id="28" w:name="entidad-delivery"/>
    <w:p>
      <w:pPr>
        <w:pStyle w:val="Heading3"/>
        <w:keepNext/>
        <w:ind w:firstLine="0"/>
      </w:pPr>
      <w:r>
        <w:rPr>
          <w:color w:val="000000"/>
        </w:rPr>
        <w:t xml:space="preserve">Entidad Delivery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Propiedad/Tipo visible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Interpretación de dominio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Id:int PK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OrderId:int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AddressId:int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AddressId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DeliveryPersonId:int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DeliveryPersonId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Status:enum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Status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AssignedAt:DateTime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AssignedAt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DeliveredAt:DateTime?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DeliveredAt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CustomerRating:int?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CustomerRating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CustomerRatingComment:string?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CustomerRatingComment — propiedad del modelo C#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RatedAt:DateTime?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RatedAt — propiedad del modelo C#</w:t>
            </w:r>
          </w:p>
        </w:tc>
      </w:tr>
    </w:tbl>
    <w:bookmarkEnd w:id="28"/>
    <w:bookmarkEnd w:id="29"/>
    <w:bookmarkStart w:id="30" w:name="X75963eb0da7133aecca3377d7b8f5f3e8d7232e"/>
    <w:p>
      <w:pPr>
        <w:pStyle w:val="Heading2"/>
        <w:keepNext/>
        <w:ind w:firstLine="0"/>
      </w:pPr>
      <w:r>
        <w:rPr>
          <w:color w:val="000000"/>
        </w:rPr>
        <w:t xml:space="preserve">3. Entidades adicionales registradas en DbContext</w:t>
      </w:r>
    </w:p>
    <w:p>
      <w:pPr>
        <w:pStyle w:val="FirstParagraph"/>
        <w:spacing w:line="480" w:lineRule="auto" w:after="0"/>
        <w:ind w:firstLine="720"/>
      </w:pPr>
      <w:r>
        <w:t xml:space="preserve">PasswordResetCodes, Roles, Permissions, RolePermissions, UserRoles, Customers, Categories, OrderStatusHistories, OrderDetailHistories, Tables, Reviews, Addresses, UserPreferences, BranchSetting, BranchOperationalSettings, UserSettings, EmailConfirmationCodes, RefreshTokens, EmployeeSchedules, DailyMenuItems, Invoices, EmployeeActivationCodes y Notifications. Sus tablas y columnas deben cotejarse con modelos y configuraciones respectivas; no se inventan columnas.</w:t>
      </w:r>
    </w:p>
    <w:bookmarkEnd w:id="30"/>
    <w:bookmarkStart w:id="34" w:name="relaciones-de-negocio"/>
    <w:p>
      <w:pPr>
        <w:pStyle w:val="Heading2"/>
        <w:keepNext/>
        <w:ind w:firstLine="0"/>
      </w:pPr>
      <w:r>
        <w:rPr>
          <w:color w:val="000000"/>
        </w:rPr>
        <w:t xml:space="preserve">4. Relaciones de negocio</w:t>
      </w:r>
    </w:p>
    <w:p>
      <w:pPr>
        <w:pStyle w:val="CaptionedFigure"/>
      </w:pPr>
      <w:r>
        <w:drawing>
          <wp:inline>
            <wp:extent cx="5334000" cy="885362"/>
            <wp:effectExtent b="0" l="0" r="0" t="0"/>
            <wp:docPr descr="Relaciones conceptuales de las entidades inspeccionadas" title="" id="32" name="Picture"/>
            <a:graphic>
              <a:graphicData uri="http://schemas.openxmlformats.org/drawingml/2006/picture">
                <pic:pic>
                  <pic:nvPicPr>
                    <pic:cNvPr descr="MODELO-ENTIDADES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53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Relaciones conceptuales de las entidades inspeccionadas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User 1—0..1 Employee</w:t>
      </w:r>
      <w:r>
        <w:t xml:space="preserve">;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referencia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 2.</w:t>
      </w:r>
      <w:r>
        <w:t xml:space="preserve"> </w:t>
      </w:r>
      <w:r>
        <w:rPr>
          <w:rStyle w:val="VerbatimChar"/>
        </w:rPr>
        <w:t xml:space="preserve">Branch 1—N 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 1—N Employee</w:t>
      </w:r>
      <w:r>
        <w:t xml:space="preserve"> </w:t>
      </w:r>
      <w:r>
        <w:t xml:space="preserve">(opcional para employee) y</w:t>
      </w:r>
      <w:r>
        <w:t xml:space="preserve"> </w:t>
      </w:r>
      <w:r>
        <w:rPr>
          <w:rStyle w:val="VerbatimChar"/>
        </w:rPr>
        <w:t xml:space="preserve">Branch 1—N Product</w:t>
      </w:r>
      <w:r>
        <w:t xml:space="preserve"> </w:t>
      </w:r>
      <w:r>
        <w:t xml:space="preserve">(opcional para producto global). 3.</w:t>
      </w:r>
      <w:r>
        <w:t xml:space="preserve"> </w:t>
      </w:r>
      <w:r>
        <w:rPr>
          <w:rStyle w:val="VerbatimChar"/>
        </w:rPr>
        <w:t xml:space="preserve">Order 1—N OrderDetail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Order 1—N Payment</w:t>
      </w:r>
      <w:r>
        <w:t xml:space="preserve">. 4.</w:t>
      </w:r>
      <w:r>
        <w:t xml:space="preserve"> </w:t>
      </w:r>
      <w:r>
        <w:rPr>
          <w:rStyle w:val="VerbatimChar"/>
        </w:rPr>
        <w:t xml:space="preserve">OrderDetail N—1 Product</w:t>
      </w:r>
      <w:r>
        <w:t xml:space="preserve">. 5.</w:t>
      </w:r>
      <w:r>
        <w:t xml:space="preserve"> </w:t>
      </w:r>
      <w:r>
        <w:rPr>
          <w:rStyle w:val="VerbatimChar"/>
        </w:rPr>
        <w:t xml:space="preserve">Delivery N—1 Order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Employee</w:t>
      </w:r>
      <w:r>
        <w:t xml:space="preserve"> </w:t>
      </w:r>
      <w:r>
        <w:t xml:space="preserve">como repartidor. 6.</w:t>
      </w:r>
      <w:r>
        <w:t xml:space="preserve"> </w:t>
      </w:r>
      <w:r>
        <w:rPr>
          <w:rStyle w:val="VerbatimChar"/>
        </w:rPr>
        <w:t xml:space="preserve">Product N—1 Category</w:t>
      </w:r>
      <w:r>
        <w:t xml:space="preserve">.</w:t>
      </w:r>
    </w:p>
    <w:bookmarkEnd w:id="34"/>
    <w:bookmarkStart w:id="35" w:name="Xe35a076f2ab9261168a617af15f143725112fca"/>
    <w:p>
      <w:pPr>
        <w:pStyle w:val="Heading2"/>
        <w:keepNext/>
        <w:ind w:firstLine="0"/>
      </w:pPr>
      <w:r>
        <w:rPr>
          <w:color w:val="000000"/>
        </w:rPr>
        <w:t xml:space="preserve">5. Reglas de integridad que se deben comprobar</w:t>
      </w:r>
    </w:p>
    <w:p>
      <w:pPr>
        <w:pStyle w:val="FirstParagraph"/>
        <w:spacing w:line="480" w:lineRule="auto" w:after="0"/>
        <w:ind w:firstLine="720"/>
      </w:pPr>
      <w:r>
        <w:t xml:space="preserve">Montos DECIMAL adecuados para moneda; no aceptar negativos;</w:t>
      </w:r>
      <w:r>
        <w:t xml:space="preserve"> </w:t>
      </w:r>
      <w:r>
        <w:rPr>
          <w:rStyle w:val="VerbatimChar"/>
        </w:rPr>
        <w:t xml:space="preserve">CustomerRating</w:t>
      </w:r>
      <w:r>
        <w:t xml:space="preserve"> </w:t>
      </w:r>
      <w:r>
        <w:t xml:space="preserve">en 1..5;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 </w:t>
      </w:r>
      <w:r>
        <w:t xml:space="preserve">mayor que cero;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consistente con subtotales/impuestos; unicidad de referencia Wompi; índice sobre pedido y estados cuando aplique; privacidad de contraseñas/token; políticas de borrado y registros históricos. El modelo C# por sí mismo no demuestra todos estos CHECK/UNIQUE/INDEX físicos.</w:t>
      </w:r>
    </w:p>
    <w:bookmarkEnd w:id="35"/>
    <w:bookmarkStart w:id="36" w:name="obtención-correcta-del-esquema-sql"/>
    <w:p>
      <w:pPr>
        <w:pStyle w:val="Heading2"/>
        <w:keepNext/>
        <w:ind w:firstLine="0"/>
      </w:pPr>
      <w:r>
        <w:rPr>
          <w:color w:val="000000"/>
        </w:rPr>
        <w:t xml:space="preserve">6. Obtención correcta del esquema SQL</w:t>
      </w:r>
    </w:p>
    <w:p>
      <w:pPr>
        <w:pStyle w:val="FirstParagraph"/>
        <w:spacing w:line="480" w:lineRule="auto" w:after="0"/>
        <w:ind w:firstLine="720"/>
      </w:pPr>
      <w:r>
        <w:t xml:space="preserve">Seleccionar el proveedor real en ambiente aislado. Desde la carpeta backend, con</w:t>
      </w:r>
      <w:r>
        <w:t xml:space="preserve"> </w:t>
      </w:r>
      <w:r>
        <w:rPr>
          <w:rStyle w:val="VerbatimChar"/>
        </w:rPr>
        <w:t xml:space="preserve">dotnet-ef</w:t>
      </w:r>
      <w:r>
        <w:t xml:space="preserve"> </w:t>
      </w:r>
      <w:r>
        <w:t xml:space="preserve">compatible y herramientas restauradas, usar</w:t>
      </w:r>
      <w:r>
        <w:t xml:space="preserve"> </w:t>
      </w:r>
      <w:r>
        <w:rPr>
          <w:rStyle w:val="VerbatimChar"/>
        </w:rPr>
        <w:t xml:space="preserve">dotnet ef migrations script --idempotent --output esquema-generado.sql</w:t>
      </w:r>
      <w:r>
        <w:t xml:space="preserve"> </w:t>
      </w:r>
      <w:r>
        <w:t xml:space="preserve">o extraer el DDL del motor. Verificar que migraciones sean apropiadas para ese proveedor. El archivo</w:t>
      </w:r>
      <w:r>
        <w:t xml:space="preserve"> </w:t>
      </w:r>
      <w:r>
        <w:rPr>
          <w:rStyle w:val="VerbatimChar"/>
        </w:rPr>
        <w:t xml:space="preserve">5-database/database-schema.sql</w:t>
      </w:r>
      <w:r>
        <w:t xml:space="preserve"> </w:t>
      </w:r>
      <w:r>
        <w:t xml:space="preserve">contiene instrucciones de catálogo y NO es un DDL de producción inventado.</w:t>
      </w:r>
    </w:p>
    <w:bookmarkEnd w:id="36"/>
    <w:bookmarkStart w:id="37" w:name="protección-de-información"/>
    <w:p>
      <w:pPr>
        <w:pStyle w:val="Heading2"/>
        <w:keepNext/>
        <w:ind w:firstLine="0"/>
      </w:pPr>
      <w:r>
        <w:rPr>
          <w:color w:val="000000"/>
        </w:rPr>
        <w:t xml:space="preserve">7. Protección de información</w:t>
      </w:r>
    </w:p>
    <w:p>
      <w:pPr>
        <w:pStyle w:val="FirstParagraph"/>
        <w:spacing w:line="480" w:lineRule="auto" w:after="0"/>
        <w:ind w:firstLine="720"/>
      </w:pPr>
      <w:r>
        <w:t xml:space="preserve">No subir respaldos reales, contraseñas, claves API, tokens, números de documentos ni datos de clientes al repositorio de documentación. Toda captura de base de datos debe ser sintética o anonimizada y autorizada.</w:t>
      </w:r>
    </w:p>
    <w:bookmarkEnd w:id="37"/>
    <w:bookmarkStart w:id="46" w:name="modelado-de-integridad-de-datos"/>
    <w:p>
      <w:pPr>
        <w:pStyle w:val="Heading2"/>
        <w:keepNext/>
        <w:ind w:firstLine="0"/>
      </w:pPr>
      <w:r>
        <w:rPr>
          <w:color w:val="000000"/>
        </w:rPr>
        <w:t xml:space="preserve">7. Modelado de integridad de datos</w:t>
      </w:r>
    </w:p>
    <w:p>
      <w:pPr>
        <w:pStyle w:val="FirstParagraph"/>
        <w:spacing w:line="480" w:lineRule="auto" w:after="0"/>
        <w:ind w:firstLine="720"/>
      </w:pPr>
      <w:r>
        <w:t xml:space="preserve">Los campos enumerados provienen de clases C# examinadas.</w:t>
      </w:r>
      <w:r>
        <w:t xml:space="preserve"> </w:t>
      </w:r>
      <w:r>
        <w:rPr>
          <w:b/>
          <w:bCs/>
        </w:rPr>
        <w:t xml:space="preserve">No son la DDL física validada.</w:t>
      </w:r>
      <w:r>
        <w:t xml:space="preserve"> </w:t>
      </w:r>
      <w:r>
        <w:t xml:space="preserve">EF Core permite configuraciones de nombres de tablas, índices, tipos, longitud y nulabilidad que solo se confirman consultando</w:t>
      </w:r>
      <w:r>
        <w:t xml:space="preserve"> </w:t>
      </w:r>
      <w:r>
        <w:rPr>
          <w:rStyle w:val="VerbatimChar"/>
        </w:rPr>
        <w:t xml:space="preserve">Data/Configurations</w:t>
      </w:r>
      <w:r>
        <w:t xml:space="preserve">, migraciones y esquema de motor en ejecución.</w:t>
      </w:r>
    </w:p>
    <w:bookmarkStart w:id="38" w:name="user.-user"/>
    <w:p>
      <w:pPr>
        <w:pStyle w:val="Heading3"/>
        <w:keepNext/>
        <w:ind w:firstLine="0"/>
      </w:pPr>
      <w:r>
        <w:rPr>
          <w:color w:val="000000"/>
        </w:rPr>
        <w:t xml:space="preserve">User. User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,</w:t>
      </w:r>
      <w:r>
        <w:t xml:space="preserve"> </w:t>
      </w:r>
      <w:r>
        <w:rPr>
          <w:rStyle w:val="VerbatimChar"/>
        </w:rPr>
        <w:t xml:space="preserve">Token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MustChangePassword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FailedLoginAttempts</w:t>
      </w:r>
      <w:r>
        <w:t xml:space="preserve">,</w:t>
      </w:r>
      <w:r>
        <w:t xml:space="preserve"> </w:t>
      </w:r>
      <w:r>
        <w:rPr>
          <w:rStyle w:val="VerbatimChar"/>
        </w:rPr>
        <w:t xml:space="preserve">LockoutEnd</w:t>
      </w:r>
      <w:r>
        <w:t xml:space="preserve">,</w:t>
      </w:r>
      <w:r>
        <w:t xml:space="preserve"> </w:t>
      </w:r>
      <w:r>
        <w:rPr>
          <w:rStyle w:val="VerbatimChar"/>
        </w:rPr>
        <w:t xml:space="preserve">EmailConfirmed</w:t>
      </w:r>
      <w:r>
        <w:t xml:space="preserve">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Id clave primaria; Email opcional en modelo; PasswordHash sensible; múltiples roles por UserRole; bloqueo temporal requiere lógica de autenticación.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38"/>
    <w:bookmarkStart w:id="39" w:name="employee.-employee"/>
    <w:p>
      <w:pPr>
        <w:pStyle w:val="Heading3"/>
        <w:keepNext/>
        <w:ind w:firstLine="0"/>
      </w:pPr>
      <w:r>
        <w:rPr>
          <w:color w:val="000000"/>
        </w:rPr>
        <w:t xml:space="preserve">Employee. Employee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Vehicle</w:t>
      </w:r>
      <w:r>
        <w:t xml:space="preserve">,</w:t>
      </w:r>
      <w:r>
        <w:t xml:space="preserve"> </w:t>
      </w:r>
      <w:r>
        <w:rPr>
          <w:rStyle w:val="VerbatimChar"/>
        </w:rPr>
        <w:t xml:space="preserve">Plate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IsAvailable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BasePay</w:t>
      </w:r>
      <w:r>
        <w:t xml:space="preserve">,</w:t>
      </w:r>
      <w:r>
        <w:t xml:space="preserve"> </w:t>
      </w:r>
      <w:r>
        <w:rPr>
          <w:rStyle w:val="VerbatimChar"/>
        </w:rPr>
        <w:t xml:space="preserve">CvFile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CvFilename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CvContentType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UserId obligatorio, BranchId opcional; CV en byte[] requiere política de tamaño, cifrado y retención; disponibilidad relevante para reparto.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39"/>
    <w:bookmarkStart w:id="40" w:name="branch.-branch"/>
    <w:p>
      <w:pPr>
        <w:pStyle w:val="Heading3"/>
        <w:keepNext/>
        <w:ind w:firstLine="0"/>
      </w:pPr>
      <w:r>
        <w:rPr>
          <w:color w:val="000000"/>
        </w:rPr>
        <w:t xml:space="preserve">Branch. Branch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Latitude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Longitude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PublicKitchenCode</w:t>
      </w:r>
      <w:r>
        <w:t xml:space="preserve">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Id clave primaria; Latitude/Longitude decimales; code público de cocina debe tener control de revocación.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0"/>
    <w:bookmarkStart w:id="41" w:name="product.-product"/>
    <w:p>
      <w:pPr>
        <w:pStyle w:val="Heading3"/>
        <w:keepNext/>
        <w:ind w:firstLine="0"/>
      </w:pPr>
      <w:r>
        <w:rPr>
          <w:color w:val="000000"/>
        </w:rPr>
        <w:t xml:space="preserve">Product. Product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CategoryId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Photo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PreparationTimeInMinutes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CategoryId obligatorio; BranchId nulo indica producto global; Price decimal no demuestra moneda/precision SQL.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1"/>
    <w:bookmarkStart w:id="42" w:name="order.-order"/>
    <w:p>
      <w:pPr>
        <w:pStyle w:val="Heading3"/>
        <w:keepNext/>
        <w:ind w:firstLine="0"/>
      </w:pPr>
      <w:r>
        <w:rPr>
          <w:color w:val="000000"/>
        </w:rPr>
        <w:t xml:space="preserve">Order. Order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TableId</w:t>
      </w:r>
      <w:r>
        <w:t xml:space="preserve">,</w:t>
      </w:r>
      <w:r>
        <w:t xml:space="preserve"> </w:t>
      </w:r>
      <w:r>
        <w:rPr>
          <w:rStyle w:val="VerbatimChar"/>
        </w:rPr>
        <w:t xml:space="preserve">BranchId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Tax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GuestName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UpdatedAt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AssignedDeliveryPersonId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AssignedDeliveryPersonName</w:t>
      </w:r>
      <w:r>
        <w:t xml:space="preserve">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BranchId obligatorio; CustomerId/EmployeeId/TableId/AddressId nullable según canal; SubTotal+Tax+Total consistentes según servicio.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2"/>
    <w:bookmarkStart w:id="43" w:name="orderdetail.-orderdetail"/>
    <w:p>
      <w:pPr>
        <w:pStyle w:val="Heading3"/>
        <w:keepNext/>
        <w:ind w:firstLine="0"/>
      </w:pPr>
      <w:r>
        <w:rPr>
          <w:color w:val="000000"/>
        </w:rPr>
        <w:t xml:space="preserve">OrderDetail. OrderDetail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ProductId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LastModifiedByEmployeeId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UnitPrice</w:t>
      </w:r>
      <w:r>
        <w:t xml:space="preserve">,</w:t>
      </w:r>
      <w:r>
        <w:t xml:space="preserve"> </w:t>
      </w:r>
      <w:r>
        <w:rPr>
          <w:rStyle w:val="VerbatimChar"/>
        </w:rPr>
        <w:t xml:space="preserve">SubTotal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Notes</w:t>
      </w:r>
      <w:r>
        <w:t xml:space="preserve">,</w:t>
      </w:r>
      <w:r>
        <w:t xml:space="preserve"> </w:t>
      </w:r>
      <w:r>
        <w:rPr>
          <w:rStyle w:val="VerbatimChar"/>
        </w:rPr>
        <w:t xml:space="preserve">IsToGo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BatchNumber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OrderId y ProductId obligatorios; Quantity positiva y UnitPrice no negativo recomendados; BatchNumber facilita atención de cocina.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3"/>
    <w:bookmarkStart w:id="44" w:name="payment.-payment"/>
    <w:p>
      <w:pPr>
        <w:pStyle w:val="Heading3"/>
        <w:keepNext/>
        <w:ind w:firstLine="0"/>
      </w:pPr>
      <w:r>
        <w:rPr>
          <w:color w:val="000000"/>
        </w:rPr>
        <w:t xml:space="preserve">Payment. Payment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CashierId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PaidAt</w:t>
      </w:r>
      <w:r>
        <w:t xml:space="preserve">,</w:t>
      </w:r>
      <w:r>
        <w:t xml:space="preserve"> </w:t>
      </w:r>
      <w:r>
        <w:rPr>
          <w:rStyle w:val="VerbatimChar"/>
        </w:rPr>
        <w:t xml:space="preserve">WompiReference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WompiTransactionId</w:t>
      </w:r>
      <w:r>
        <w:t xml:space="preserve">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OrderId obligatorio; CashierId opcional; WompiReference y WompiTransactionId son vínculos con pasarela.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4"/>
    <w:bookmarkStart w:id="45" w:name="delivery.-delivery"/>
    <w:p>
      <w:pPr>
        <w:pStyle w:val="Heading3"/>
        <w:keepNext/>
        <w:ind w:firstLine="0"/>
      </w:pPr>
      <w:r>
        <w:rPr>
          <w:color w:val="000000"/>
        </w:rPr>
        <w:t xml:space="preserve">Delivery. Delivery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Propiedades observadas (C#):</w:t>
      </w:r>
      <w:r>
        <w:t xml:space="preserve"> </w:t>
      </w:r>
      <w:r>
        <w:rPr>
          <w:rStyle w:val="VerbatimChar"/>
        </w:rPr>
        <w:t xml:space="preserve">Id</w:t>
      </w:r>
      <w:r>
        <w:t xml:space="preserve">,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,</w:t>
      </w:r>
      <w:r>
        <w:t xml:space="preserve"> </w:t>
      </w:r>
      <w:r>
        <w:rPr>
          <w:rStyle w:val="VerbatimChar"/>
        </w:rPr>
        <w:t xml:space="preserve">AddressId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DeliveryPersonId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AssignedAt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CustomerRating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CustomerRatingComment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RatedAt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AmountPaid</w:t>
      </w:r>
      <w:r>
        <w:t xml:space="preserve">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Integridad y dominio:</w:t>
      </w:r>
      <w:r>
        <w:t xml:space="preserve"> </w:t>
      </w:r>
      <w:r>
        <w:t xml:space="preserve">OrderId, AddressId, DeliveryPersonId obligatorios en modelo; rating opcional 1 a 5 según controlador.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Controles propuestos:</w:t>
      </w:r>
      <w:r>
        <w:t xml:space="preserve"> </w:t>
      </w:r>
      <w:r>
        <w:t xml:space="preserve">definir longitudes explícitas, restricciones de unicidad donde el negocio lo demande, control de concurrencia, reglas de borrado y auditoría. Extraer índices del esquema real; no usar este inventario como SQL aplicable directamente.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Verificación:</w:t>
      </w:r>
      <w:r>
        <w:t xml:space="preserve"> </w:t>
      </w:r>
      <w:r>
        <w:t xml:space="preserve">generar migración en base efímera, inspeccionar los constraints EF, comparar con SQL real y documentar divergencias por motor.</w:t>
      </w:r>
    </w:p>
    <w:bookmarkEnd w:id="45"/>
    <w:bookmarkEnd w:id="46"/>
    <w:bookmarkStart w:id="47" w:name="relaciones-y-cardinalidades-detectables"/>
    <w:p>
      <w:pPr>
        <w:pStyle w:val="Heading2"/>
        <w:keepNext/>
        <w:ind w:firstLine="0"/>
      </w:pPr>
      <w:r>
        <w:rPr>
          <w:color w:val="000000"/>
        </w:rPr>
        <w:t xml:space="preserve">8. Relaciones y cardinalidades detectables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  <w:tblHeader w:val="true"/>
        </w:trP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Origen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Destino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Campo FK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Cardinalidad conceptual / validación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Customer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CustomerId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Employee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EmployeeId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Table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TableId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Address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AddressId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OrderDetail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OrderDetail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Product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ProductId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Payment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Payment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Employee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CashierId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Delivery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OrderId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Delivery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Address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AddressId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Delivery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Employee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DeliveryPersonId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Employee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User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UserId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Employee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opcional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Product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Category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CategoryId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obligatoria</w:t>
            </w:r>
          </w:p>
        </w:tc>
      </w:tr>
      <w:tr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Product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BranchId</w:t>
            </w:r>
          </w:p>
        </w:tc>
        <w:tc>
          <w:tcPr/>
          <w:p>
            <w:pPr>
              <w:pStyle w:val="Compact"/>
              <w:spacing w:line="240" w:lineRule="auto" w:after="0"/>
              <w:ind w:firstLine="0"/>
              <w:jc w:val="left"/>
            </w:pPr>
            <w:r>
              <w:rPr>
                <w:rFonts w:ascii="Times New Roman" w:hAnsi="Times New Roman"/>
                <w:sz w:val="18"/>
              </w:rPr>
              <w:t xml:space="preserve">N:1 opcional</w:t>
            </w:r>
          </w:p>
        </w:tc>
      </w:tr>
    </w:tbl>
    <w:bookmarkEnd w:id="47"/>
    <w:bookmarkStart w:id="48" w:name="Xe69384db92735d4013b758733f730f404aba30d"/>
    <w:p>
      <w:pPr>
        <w:pStyle w:val="Heading2"/>
        <w:keepNext/>
        <w:ind w:firstLine="0"/>
      </w:pPr>
      <w:r>
        <w:rPr>
          <w:color w:val="000000"/>
        </w:rPr>
        <w:t xml:space="preserve">9. Propiedades no persistidas y restricciones específicas</w:t>
      </w:r>
    </w:p>
    <w:p>
      <w:pPr>
        <w:pStyle w:val="FirstParagraph"/>
        <w:spacing w:line="480" w:lineRule="auto" w:after="0"/>
        <w:ind w:firstLine="720"/>
      </w:pPr>
      <w:r>
        <w:rPr>
          <w:rStyle w:val="VerbatimChar"/>
        </w:rPr>
        <w:t xml:space="preserve">Order.AssignedDeliveryPersonId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AssignedDeliveryPersonName</w:t>
      </w:r>
      <w:r>
        <w:t xml:space="preserve">, así como</w:t>
      </w:r>
      <w:r>
        <w:t xml:space="preserve"> </w:t>
      </w:r>
      <w:r>
        <w:rPr>
          <w:rStyle w:val="VerbatimChar"/>
        </w:rPr>
        <w:t xml:space="preserve">Delivery.PaymentMethod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PaymentStatus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AmountPaid</w:t>
      </w:r>
      <w:r>
        <w:t xml:space="preserve">, se marcaron</w:t>
      </w:r>
      <w:r>
        <w:t xml:space="preserve"> </w:t>
      </w:r>
      <w:r>
        <w:rPr>
          <w:rStyle w:val="VerbatimChar"/>
        </w:rPr>
        <w:t xml:space="preserve">[NotMapped]</w:t>
      </w:r>
      <w:r>
        <w:t xml:space="preserve"> </w:t>
      </w:r>
      <w:r>
        <w:t xml:space="preserve">en clases examinadas; no crear columnas basándose en esos campos. Algunos datos se componen de consultas o proyecciones. En</w:t>
      </w:r>
      <w:r>
        <w:t xml:space="preserve"> </w:t>
      </w:r>
      <w:r>
        <w:rPr>
          <w:rStyle w:val="VerbatimChar"/>
        </w:rPr>
        <w:t xml:space="preserve">OrderDetail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LastModifiedByEmployeeId</w:t>
      </w:r>
      <w:r>
        <w:t xml:space="preserve"> </w:t>
      </w:r>
      <w:r>
        <w:t xml:space="preserve">es nullable y necesita comprobar su configuración relacional en migraciones. Los nombres</w:t>
      </w:r>
      <w:r>
        <w:t xml:space="preserve"> </w:t>
      </w:r>
      <w:r>
        <w:rPr>
          <w:rStyle w:val="VerbatimChar"/>
        </w:rPr>
        <w:t xml:space="preserve">DbSet</w:t>
      </w:r>
      <w:r>
        <w:t xml:space="preserve"> </w:t>
      </w:r>
      <w:r>
        <w:t xml:space="preserve">de AppDbContext pueden no corresponder al nombre físico de la tabla.</w:t>
      </w:r>
    </w:p>
    <w:p>
      <w:pPr>
        <w:pStyle w:val="BodyText"/>
        <w:spacing w:line="480" w:lineRule="auto" w:after="0"/>
        <w:ind w:firstLine="720"/>
      </w:pPr>
      <w:r>
        <w:rPr>
          <w:b/>
          <w:bCs/>
        </w:rPr>
        <w:t xml:space="preserve">Montos:</w:t>
      </w:r>
      <w:r>
        <w:t xml:space="preserve"> </w:t>
      </w:r>
      <w:r>
        <w:t xml:space="preserve">manejar</w:t>
      </w:r>
      <w:r>
        <w:t xml:space="preserve"> </w:t>
      </w:r>
      <w:r>
        <w:rPr>
          <w:rStyle w:val="VerbatimChar"/>
        </w:rPr>
        <w:t xml:space="preserve">decimal</w:t>
      </w:r>
      <w:r>
        <w:t xml:space="preserve"> </w:t>
      </w:r>
      <w:r>
        <w:t xml:space="preserve">desde servidor, normalizar reglas de redondeo y tributación antes del abono, no usar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.</w:t>
      </w:r>
      <w:r>
        <w:t xml:space="preserve"> </w:t>
      </w:r>
      <w:r>
        <w:rPr>
          <w:b/>
          <w:bCs/>
        </w:rPr>
        <w:t xml:space="preserve">Fechas:</w:t>
      </w:r>
      <w:r>
        <w:t xml:space="preserve"> </w:t>
      </w:r>
      <w:r>
        <w:rPr>
          <w:rStyle w:val="VerbatimChar"/>
        </w:rPr>
        <w:t xml:space="preserve">DateTime.UtcNow</w:t>
      </w:r>
      <w:r>
        <w:t xml:space="preserve"> </w:t>
      </w:r>
      <w:r>
        <w:t xml:space="preserve">aparece como valor inicial en entidades, pero timezone efectiva y precisión SQL deben contrastarse.</w:t>
      </w:r>
      <w:r>
        <w:t xml:space="preserve"> </w:t>
      </w:r>
      <w:r>
        <w:rPr>
          <w:b/>
          <w:bCs/>
        </w:rPr>
        <w:t xml:space="preserve">Borrados:</w:t>
      </w:r>
      <w:r>
        <w:t xml:space="preserve"> </w:t>
      </w:r>
      <w:r>
        <w:t xml:space="preserve">la ausencia de política explícita no justifica ON DELETE CASCADE.</w:t>
      </w:r>
      <w:r>
        <w:t xml:space="preserve"> </w:t>
      </w:r>
      <w:r>
        <w:rPr>
          <w:b/>
          <w:bCs/>
        </w:rPr>
        <w:t xml:space="preserve">Seguridad:</w:t>
      </w:r>
      <w:r>
        <w:t xml:space="preserve"> </w:t>
      </w:r>
      <w:r>
        <w:rPr>
          <w:rStyle w:val="VerbatimChar"/>
        </w:rPr>
        <w:t xml:space="preserve">PasswordHash</w:t>
      </w:r>
      <w:r>
        <w:t xml:space="preserve">, documentos, direcciones y CV son datos sujetos a controles de acceso; no incluirlos en respaldos de demostración ni en logs.</w:t>
      </w:r>
    </w:p>
    <w:bookmarkEnd w:id="48"/>
    <w:bookmarkStart w:id="49" w:name="Xc674e9fb227689889d1d0fcdb0dee390beb5dc9"/>
    <w:p>
      <w:pPr>
        <w:pStyle w:val="Heading2"/>
        <w:keepNext/>
        <w:ind w:firstLine="0"/>
      </w:pPr>
      <w:r>
        <w:rPr>
          <w:color w:val="000000"/>
        </w:rPr>
        <w:t xml:space="preserve">10. Procedimiento de extracción del diccionario físico</w:t>
      </w:r>
    </w:p>
    <w:p>
      <w:pPr>
        <w:pStyle w:val="Compact"/>
        <w:numPr>
          <w:ilvl w:val="0"/>
          <w:numId w:val="1002"/>
        </w:numPr>
      </w:pPr>
      <w:r>
        <w:t xml:space="preserve">Seleccionar proveedor BD y obtener credenciales de desarrollo con permisos mínimos.</w:t>
      </w:r>
    </w:p>
    <w:p>
      <w:pPr>
        <w:pStyle w:val="Compact"/>
        <w:numPr>
          <w:ilvl w:val="0"/>
          <w:numId w:val="1002"/>
        </w:numPr>
      </w:pPr>
      <w:r>
        <w:t xml:space="preserve">Registrar SHA de</w:t>
      </w:r>
      <w:r>
        <w:t xml:space="preserve"> </w:t>
      </w:r>
      <w:r>
        <w:rPr>
          <w:rStyle w:val="VerbatimChar"/>
        </w:rPr>
        <w:t xml:space="preserve">SaborExpressBack</w:t>
      </w:r>
      <w:r>
        <w:t xml:space="preserve"> </w:t>
      </w:r>
      <w:r>
        <w:t xml:space="preserve">y versión EF/motor.</w:t>
      </w:r>
    </w:p>
    <w:p>
      <w:pPr>
        <w:pStyle w:val="Compact"/>
        <w:numPr>
          <w:ilvl w:val="0"/>
          <w:numId w:val="1002"/>
        </w:numPr>
      </w:pPr>
      <w:r>
        <w:t xml:space="preserve">Crear base de datos temporal vacía; respaldar toda base preexistente.</w:t>
      </w:r>
    </w:p>
    <w:p>
      <w:pPr>
        <w:pStyle w:val="Compact"/>
        <w:numPr>
          <w:ilvl w:val="0"/>
          <w:numId w:val="1002"/>
        </w:numPr>
      </w:pPr>
      <w:r>
        <w:t xml:space="preserve">Ejecutar migraciones aprobadas con</w:t>
      </w:r>
      <w:r>
        <w:t xml:space="preserve"> </w:t>
      </w:r>
      <w:r>
        <w:rPr>
          <w:rStyle w:val="VerbatimChar"/>
        </w:rPr>
        <w:t xml:space="preserve">dotnet ef database update</w:t>
      </w:r>
      <w:r>
        <w:t xml:space="preserve"> </w:t>
      </w:r>
      <w:r>
        <w:t xml:space="preserve">solo en la base temporal o ejecutar servicio con configuración segura tras comprobar</w:t>
      </w:r>
      <w:r>
        <w:t xml:space="preserve"> </w:t>
      </w:r>
      <w:r>
        <w:rPr>
          <w:rStyle w:val="VerbatimChar"/>
        </w:rPr>
        <w:t xml:space="preserve">MigrateAsync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Obtener DDL mediante herramienta nativa del motor o</w:t>
      </w:r>
      <w:r>
        <w:t xml:space="preserve"> </w:t>
      </w:r>
      <w:r>
        <w:rPr>
          <w:rStyle w:val="VerbatimChar"/>
        </w:rPr>
        <w:t xml:space="preserve">dotnet ef migrations script</w:t>
      </w:r>
      <w:r>
        <w:t xml:space="preserve"> </w:t>
      </w:r>
      <w:r>
        <w:t xml:space="preserve">sobre migraciones seleccionadas, revisando compatibilidad.</w:t>
      </w:r>
    </w:p>
    <w:p>
      <w:pPr>
        <w:pStyle w:val="Compact"/>
        <w:numPr>
          <w:ilvl w:val="0"/>
          <w:numId w:val="1002"/>
        </w:numPr>
      </w:pPr>
      <w:r>
        <w:t xml:space="preserve">Exportar columnas, tipo SQL, precisión, null, índices, únicos, PK/FK, constraints y reglas delete/update.</w:t>
      </w:r>
    </w:p>
    <w:p>
      <w:pPr>
        <w:pStyle w:val="Compact"/>
        <w:numPr>
          <w:ilvl w:val="0"/>
          <w:numId w:val="1002"/>
        </w:numPr>
      </w:pPr>
      <w:r>
        <w:t xml:space="preserve">Comparar entidades C# con esquema resultante, resolver diferencias de nomenclatura.</w:t>
      </w:r>
    </w:p>
    <w:p>
      <w:pPr>
        <w:pStyle w:val="Compact"/>
        <w:numPr>
          <w:ilvl w:val="0"/>
          <w:numId w:val="1002"/>
        </w:numPr>
      </w:pPr>
      <w:r>
        <w:t xml:space="preserve">Firmar el diccionario y asociarlo al backup/migración de la versión.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Estado:</w:t>
      </w:r>
      <w:r>
        <w:t xml:space="preserve"> </w:t>
      </w:r>
      <w:r>
        <w:t xml:space="preserve">no realizado. El archivo</w:t>
      </w:r>
      <w:r>
        <w:t xml:space="preserve"> </w:t>
      </w:r>
      <w:r>
        <w:rPr>
          <w:rStyle w:val="VerbatimChar"/>
        </w:rPr>
        <w:t xml:space="preserve">database-schema.sql</w:t>
      </w:r>
      <w:r>
        <w:t xml:space="preserve"> </w:t>
      </w:r>
      <w:r>
        <w:t xml:space="preserve">del paquete explica la exportación y no reemplaza la migración real.</w:t>
      </w:r>
    </w:p>
    <w:bookmarkEnd w:id="49"/>
    <w:bookmarkStart w:id="50" w:name="X3b235e6520532a4f4b1c93fe39758e2cbbbf639"/>
    <w:p>
      <w:pPr>
        <w:pStyle w:val="Heading2"/>
        <w:keepNext/>
        <w:ind w:firstLine="0"/>
      </w:pPr>
      <w:r>
        <w:rPr>
          <w:color w:val="000000"/>
        </w:rPr>
        <w:t xml:space="preserve">11. Diccionario extendido de dominios sin inspección de columnas</w:t>
      </w:r>
    </w:p>
    <w:p>
      <w:pPr>
        <w:pStyle w:val="FirstParagraph"/>
        <w:spacing w:line="480" w:lineRule="auto" w:after="0"/>
        <w:ind w:firstLine="720"/>
      </w:pPr>
      <w:r>
        <w:t xml:space="preserve">Además de las ocho clases examinadas existen DbSet para: Roles, Permissions, RolePermissions, UserRoles, Customers, Categories, OrderDetailHistories, OrderStatusHistories, Tables, Reviews, Addresses, UserPreferences, Configurations, BranchOperationalSettings, UserSettings, PasswordResetCodes, EmailConfirmationCodes, RefreshTokens, EmployeeSchedules, DailyMenuItems, Invoices, EmployeeActivationCodes y Notifications. Su inclusión está respaldada por</w:t>
      </w:r>
      <w:r>
        <w:t xml:space="preserve"> </w:t>
      </w:r>
      <w:r>
        <w:rPr>
          <w:rStyle w:val="VerbatimChar"/>
        </w:rPr>
        <w:t xml:space="preserve">AppDbContext</w:t>
      </w:r>
      <w:r>
        <w:t xml:space="preserve">, pero</w:t>
      </w:r>
      <w:r>
        <w:t xml:space="preserve"> </w:t>
      </w:r>
      <w:r>
        <w:rPr>
          <w:b/>
          <w:bCs/>
        </w:rPr>
        <w:t xml:space="preserve">no se especifican campos físicos adicionales</w:t>
      </w:r>
      <w:r>
        <w:t xml:space="preserve"> </w:t>
      </w:r>
      <w:r>
        <w:t xml:space="preserve">para no inferirlos sin leer las clases y configuraciones respectivas.</w:t>
      </w:r>
    </w:p>
    <w:p>
      <w:pPr>
        <w:pStyle w:val="BodyText"/>
        <w:spacing w:line="480" w:lineRule="auto" w:after="0"/>
        <w:ind w:firstLine="720"/>
      </w:pPr>
      <w:r>
        <w:t xml:space="preserve">La investigación final debe agregar para cada una: descripción, campos y tipos SQL, valores permitidos, restricciones, ejemplo sintético, origen, propietarios funcionales, clasificación de datos personales y retención. Las migraciones</w:t>
      </w:r>
      <w:r>
        <w:t xml:space="preserve"> </w:t>
      </w:r>
      <w:r>
        <w:rPr>
          <w:rStyle w:val="VerbatimChar"/>
        </w:rPr>
        <w:t xml:space="preserve">Migrations/*</w:t>
      </w:r>
      <w:r>
        <w:t xml:space="preserve"> </w:t>
      </w:r>
      <w:r>
        <w:t xml:space="preserve">son la fuente para validar cambios históricos por versión.</w:t>
      </w:r>
    </w:p>
    <w:bookmarkEnd w:id="50"/>
    <w:bookmarkStart w:id="51" w:name="fuentes-primarias-de-implementación"/>
    <w:p>
      <w:pPr>
        <w:pStyle w:val="Heading2"/>
        <w:keepNext/>
        <w:ind w:firstLine="0"/>
      </w:pPr>
      <w:r>
        <w:rPr>
          <w:color w:val="000000"/>
        </w:rPr>
        <w:t xml:space="preserve">Fuentes primarias de implementación</w:t>
      </w:r>
    </w:p>
    <w:p>
      <w:pPr>
        <w:pStyle w:val="Compact"/>
        <w:numPr>
          <w:ilvl w:val="0"/>
          <w:numId w:val="1003"/>
        </w:numPr>
      </w:pPr>
      <w:r>
        <w:t xml:space="preserve">API: https://github.com/yersonct/SaborExpressBack/tree/main</w:t>
      </w:r>
    </w:p>
    <w:p>
      <w:pPr>
        <w:pStyle w:val="Compact"/>
        <w:numPr>
          <w:ilvl w:val="0"/>
          <w:numId w:val="1003"/>
        </w:numPr>
      </w:pPr>
      <w:r>
        <w:t xml:space="preserve">Web: https://github.com/yersonct/SaborExpressWeb/tree/main</w:t>
      </w:r>
    </w:p>
    <w:p>
      <w:pPr>
        <w:pStyle w:val="Compact"/>
        <w:numPr>
          <w:ilvl w:val="0"/>
          <w:numId w:val="1003"/>
        </w:numPr>
      </w:pPr>
      <w:r>
        <w:t xml:space="preserve">Móvil: https://github.com/yersonct/SaborExpressMovil/tree/main</w:t>
      </w:r>
    </w:p>
    <w:p>
      <w:pPr>
        <w:pStyle w:val="Compact"/>
        <w:numPr>
          <w:ilvl w:val="0"/>
          <w:numId w:val="1003"/>
        </w:numPr>
      </w:pPr>
      <w:r>
        <w:t xml:space="preserve">Referencia de presentación: https://github.com/jsgh1/SRD-v1/tree/dev/docs/docs-SRD</w:t>
      </w:r>
    </w:p>
    <w:p>
      <w:pPr>
        <w:pStyle w:val="FirstParagraph"/>
        <w:spacing w:line="480" w:lineRule="auto" w:after="0"/>
        <w:ind w:firstLine="720"/>
      </w:pPr>
      <w:r>
        <w:rPr>
          <w:b/>
          <w:bCs/>
        </w:rPr>
        <w:t xml:space="preserve">Control documental:</w:t>
      </w:r>
      <w:r>
        <w:t xml:space="preserve"> </w:t>
      </w:r>
      <w:r>
        <w:t xml:space="preserve">documento elaborado a partir del estado observado en octubre de 2026. Antes de entregar, verificar el commit exacto, responsable, revisión del instructor y cualquier cambio posterior del código.</w:t>
      </w:r>
    </w:p>
    <w:bookmarkEnd w:id="51"/>
    <w:bookmarkEnd w:id="52"/>
    <w:sectPr>
      <w:headerReference r:id="rId9" w:type="default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fldSimple w:instr="PAGE"/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line="480" w:lineRule="auto"/>
      <w:ind w:firstLine="720"/>
    </w:pPr>
    <w:rPr>
      <w:rFonts w:ascii="Times New Roman" w:hAnsi="Times New Roman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0" w:before="36" w:line="240" w:lineRule="auto"/>
      <w:ind w:firstLine="0"/>
    </w:pPr>
    <w:rPr>
      <w:rFonts w:ascii="Times New Roman" w:hAnsi="Times New Roman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40" w:before="120" w:line="480" w:lineRule="auto"/>
      <w:ind w:firstLine="0"/>
      <w:jc w:val="center"/>
    </w:pPr>
    <w:rPr>
      <w:rFonts w:ascii="Times New Roman" w:asciiTheme="majorHAnsi" w:cstheme="majorBidi" w:eastAsiaTheme="majorEastAsia" w:hAnsi="Times New Roman" w:hAnsiTheme="majorHAnsi"/>
      <w:b/>
      <w:bCs/>
      <w:color w:val="000000"/>
      <w:sz w:val="24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  <w:sz w:val="1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31" Type="http://schemas.openxmlformats.org/officeDocument/2006/relationships/image" Target="media/rId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2026-10-15T00:54:02Z</dcterms:created>
  <dcterms:modified xsi:type="dcterms:W3CDTF">2026-10-15T00:54:02Z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