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3100" w:line="480" w:lineRule="auto"/>
        <w:jc w:val="center"/>
      </w:pPr>
      <w:r>
        <w:rPr>
          <w:rFonts w:ascii="Times New Roman" w:hAnsi="Times New Roman"/>
          <w:b/>
          <w:sz w:val="28"/>
        </w:rPr>
        <w:t>05 Manual de instalacion SaborExpress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Equipo de desarrollo SaborExpress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Filiación institucional y autores individuales: por confirmar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Estudio académico de ingeniería de software y documentación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14 de octubre de 2026</w:t>
      </w:r>
    </w:p>
    <w:p>
      <w:r>
        <w:br w:type="page"/>
      </w:r>
    </w:p>
    <w:bookmarkStart w:id="35" w:name="manual-de-instalación-y-configuración"/>
    <w:p>
      <w:pPr>
        <w:pStyle w:val="Heading1"/>
        <w:keepNext/>
        <w:ind w:firstLine="0"/>
      </w:pPr>
      <w:r>
        <w:rPr>
          <w:color w:val="000000"/>
        </w:rPr>
        <w:t xml:space="preserve">Manual de instalación y configuración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X6a6c0d8336e7ce9fef2baaa04ee2e7baf23c263"/>
    <w:p>
      <w:pPr>
        <w:pStyle w:val="Heading2"/>
        <w:keepNext/>
        <w:ind w:firstLine="0"/>
      </w:pPr>
      <w:r>
        <w:rPr>
          <w:color w:val="000000"/>
        </w:rPr>
        <w:t xml:space="preserve">1. Requisitos mínimos de entorno de desarrollo</w:t>
      </w:r>
    </w:p>
    <w:p>
      <w:pPr>
        <w:pStyle w:val="FirstParagraph"/>
        <w:spacing w:line="480" w:lineRule="auto" w:after="0"/>
        <w:ind w:firstLine="720"/>
      </w:pPr>
      <w:r>
        <w:t xml:space="preserve">Windows, macOS o Linux compatible, Git, .NET SDK 8, Node.js LTS compatible con Next.js 16 y Expo 57, npm, acceso a un gestor relacional soportado por la configuración .NET y una cuenta de pruebas para las integraciones externas. La capacidad de RAM/CPU y versiones exactas de emuladores se deben ajustar y medir según hardware real; no se promete un mínimo productivo universal.</w:t>
      </w:r>
    </w:p>
    <w:bookmarkEnd w:id="20"/>
    <w:bookmarkStart w:id="21" w:name="descarga-y-ramas"/>
    <w:p>
      <w:pPr>
        <w:pStyle w:val="Heading2"/>
        <w:keepNext/>
        <w:ind w:firstLine="0"/>
      </w:pPr>
      <w:r>
        <w:rPr>
          <w:color w:val="000000"/>
        </w:rPr>
        <w:t xml:space="preserve">2. Descarga y ramas</w:t>
      </w:r>
    </w:p>
    <w:p>
      <w:pPr>
        <w:pStyle w:val="SourceCode"/>
      </w:pP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\Dev\SaborExpress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\Dev\SaborExpress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yersonct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SaborExpressBack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back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yersonct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SaborExpressWeb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web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yersonct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SaborExpressMovil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movil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yersonct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SaborExpressDocs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docs</w:t>
      </w:r>
    </w:p>
    <w:p>
      <w:pPr>
        <w:pStyle w:val="FirstParagraph"/>
        <w:spacing w:line="480" w:lineRule="auto" w:after="0"/>
        <w:ind w:firstLine="720"/>
      </w:pPr>
      <w:r>
        <w:t xml:space="preserve">La ubicación es un ejemplo. Registrar ramas y SHA con</w:t>
      </w:r>
      <w:r>
        <w:t xml:space="preserve"> </w:t>
      </w:r>
      <w:r>
        <w:rPr>
          <w:rStyle w:val="VerbatimChar"/>
        </w:rPr>
        <w:t xml:space="preserve">git -C .\back rev-parse HEAD</w:t>
      </w:r>
      <w:r>
        <w:t xml:space="preserve"> </w:t>
      </w:r>
      <w:r>
        <w:t xml:space="preserve">y comandos equivalentes. No dar por supuesto que todas las dependencias están sincronizadas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1"/>
    <w:bookmarkStart w:id="22" w:name="backend-asp.net-core"/>
    <w:p>
      <w:pPr>
        <w:pStyle w:val="Heading2"/>
        <w:keepNext/>
        <w:ind w:firstLine="0"/>
      </w:pPr>
      <w:r>
        <w:rPr>
          <w:color w:val="000000"/>
        </w:rPr>
        <w:t xml:space="preserve">3. Backend ASP.NET Core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\Dev\SaborExpress\back</w:t>
      </w:r>
      <w:r>
        <w:br/>
      </w:r>
      <w:r>
        <w:rPr>
          <w:rStyle w:val="NormalTok"/>
        </w:rPr>
        <w:t xml:space="preserve">dotnet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info</w:t>
      </w:r>
      <w:r>
        <w:br/>
      </w:r>
      <w:r>
        <w:rPr>
          <w:rStyle w:val="NormalTok"/>
        </w:rPr>
        <w:t xml:space="preserve">dotnet restore</w:t>
      </w:r>
      <w:r>
        <w:br/>
      </w:r>
      <w:r>
        <w:rPr>
          <w:rStyle w:val="NormalTok"/>
        </w:rPr>
        <w:t xml:space="preserve">dotnet 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Debug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Configuración:</w:t>
      </w:r>
      <w:r>
        <w:t xml:space="preserve"> </w:t>
      </w:r>
      <w:r>
        <w:rPr>
          <w:rStyle w:val="VerbatimChar"/>
        </w:rPr>
        <w:t xml:space="preserve">DatabaseProvider</w:t>
      </w:r>
      <w:r>
        <w:t xml:space="preserve"> </w:t>
      </w:r>
      <w:r>
        <w:t xml:space="preserve">acepta literalmente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SqlServer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t xml:space="preserve">según</w:t>
      </w:r>
      <w:r>
        <w:t xml:space="preserve"> </w:t>
      </w:r>
      <w:r>
        <w:rPr>
          <w:rStyle w:val="VerbatimChar"/>
        </w:rPr>
        <w:t xml:space="preserve">DatabaseConfiguration.cs</w:t>
      </w:r>
      <w:r>
        <w:t xml:space="preserve">. El</w:t>
      </w:r>
      <w:r>
        <w:t xml:space="preserve"> </w:t>
      </w:r>
      <w:r>
        <w:rPr>
          <w:rStyle w:val="VerbatimChar"/>
        </w:rPr>
        <w:t xml:space="preserve">ConnectionStrings</w:t>
      </w:r>
      <w:r>
        <w:t xml:space="preserve"> </w:t>
      </w:r>
      <w:r>
        <w:t xml:space="preserve">debe incluir, según el proveedor,</w:t>
      </w:r>
      <w:r>
        <w:t xml:space="preserve"> </w:t>
      </w:r>
      <w:r>
        <w:rPr>
          <w:rStyle w:val="VerbatimChar"/>
        </w:rPr>
        <w:t xml:space="preserve">MySQLConnection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SqlServerConnection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PostgresConnection</w:t>
      </w:r>
      <w:r>
        <w:t xml:space="preserve">. Los valores sensibles deben ir en variables de entorno o</w:t>
      </w:r>
      <w:r>
        <w:t xml:space="preserve"> </w:t>
      </w:r>
      <w:r>
        <w:rPr>
          <w:rStyle w:val="VerbatimChar"/>
        </w:rPr>
        <w:t xml:space="preserve">dotnet user-secrets</w:t>
      </w:r>
      <w:r>
        <w:t xml:space="preserve">; no copiar cadenas reales del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al documento. Revisar</w:t>
      </w:r>
      <w:r>
        <w:t xml:space="preserve"> </w:t>
      </w:r>
      <w:r>
        <w:rPr>
          <w:rStyle w:val="VerbatimChar"/>
        </w:rPr>
        <w:t xml:space="preserve">JwtSettings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AllowedOrigins</w:t>
      </w:r>
      <w:r>
        <w:t xml:space="preserve">, correos, Wompi y cualquier clave externa en clases de configuración.</w:t>
      </w:r>
    </w:p>
    <w:p>
      <w:pPr>
        <w:pStyle w:val="BodyText"/>
        <w:spacing w:line="480" w:lineRule="auto" w:after="0"/>
        <w:ind w:firstLine="720"/>
      </w:pPr>
      <w:r>
        <w:t xml:space="preserve">Ejemplo sintáctico sin credenciales:</w:t>
      </w:r>
    </w:p>
    <w:p>
      <w:pPr>
        <w:pStyle w:val="SourceCode"/>
      </w:pPr>
      <w:r>
        <w:rPr>
          <w:rStyle w:val="NormalTok"/>
        </w:rPr>
        <w:t xml:space="preserve">dotnet user-secrets init</w:t>
      </w:r>
      <w:r>
        <w:br/>
      </w:r>
      <w:r>
        <w:rPr>
          <w:rStyle w:val="NormalTok"/>
        </w:rPr>
        <w:t xml:space="preserve">dotnet user-secrets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'DatabaseProvider'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'PostgreSQL'</w:t>
      </w:r>
      <w:r>
        <w:br/>
      </w:r>
      <w:r>
        <w:rPr>
          <w:rStyle w:val="NormalTok"/>
        </w:rPr>
        <w:t xml:space="preserve">dotnet user-secrets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'ConnectionStrings:PostgresConnection'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'&lt;CADENA_LOCAL_DE_PRUEBA&gt;'</w:t>
      </w:r>
    </w:p>
    <w:p>
      <w:pPr>
        <w:pStyle w:val="FirstParagraph"/>
        <w:spacing w:line="480" w:lineRule="auto" w:after="0"/>
        <w:ind w:firstLine="720"/>
      </w:pPr>
      <w:r>
        <w:t xml:space="preserve">La API llama migraciones y seeders al arrancar.</w:t>
      </w:r>
      <w:r>
        <w:t xml:space="preserve"> </w:t>
      </w:r>
      <w:r>
        <w:rPr>
          <w:b/>
          <w:bCs/>
        </w:rPr>
        <w:t xml:space="preserve">Primero usar una BD desechable respaldada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MigrateAsync</w:t>
      </w:r>
      <w:r>
        <w:t xml:space="preserve"> </w:t>
      </w:r>
      <w:r>
        <w:t xml:space="preserve">puede alterar el esquema. Lanzar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 </w:t>
      </w:r>
      <w:r>
        <w:t xml:space="preserve">solo después de validar los secretos y confirmar el proveedor. Swagger UI aparece en la ruta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cuando el proceso y el entorno permiten acceder a ella. No se garantiza URL o puerto fijo.</w:t>
      </w:r>
    </w:p>
    <w:bookmarkEnd w:id="22"/>
    <w:bookmarkStart w:id="23" w:name="web-next.js"/>
    <w:p>
      <w:pPr>
        <w:pStyle w:val="Heading2"/>
        <w:keepNext/>
        <w:ind w:firstLine="0"/>
      </w:pPr>
      <w:r>
        <w:rPr>
          <w:color w:val="000000"/>
        </w:rPr>
        <w:t xml:space="preserve">4. Web Next.js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\Dev\SaborExpress\web</w:t>
      </w:r>
      <w:r>
        <w:br/>
      </w:r>
      <w:r>
        <w:rPr>
          <w:rStyle w:val="NormalTok"/>
        </w:rPr>
        <w:t xml:space="preserve">npm ci</w:t>
      </w:r>
      <w:r>
        <w:br/>
      </w:r>
      <w:r>
        <w:rPr>
          <w:rStyle w:val="NormalTok"/>
        </w:rPr>
        <w:t xml:space="preserve">npm run dev</w:t>
      </w:r>
    </w:p>
    <w:p>
      <w:pPr>
        <w:pStyle w:val="FirstParagraph"/>
        <w:spacing w:line="480" w:lineRule="auto" w:after="0"/>
        <w:ind w:firstLine="720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permite comprobar empaquetado. Ajustar la URL base de la API según variables reales usadas en</w:t>
      </w:r>
      <w:r>
        <w:t xml:space="preserve"> </w:t>
      </w:r>
      <w:r>
        <w:rPr>
          <w:rStyle w:val="VerbatimChar"/>
        </w:rPr>
        <w:t xml:space="preserve">src/config</w:t>
      </w:r>
      <w:r>
        <w:t xml:space="preserve"> </w:t>
      </w:r>
      <w:r>
        <w:t xml:space="preserve">o servicios; no asumir un nombre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comprobado. La URL que imprima Next.js será el punto de acceso local.</w:t>
      </w:r>
    </w:p>
    <w:bookmarkEnd w:id="23"/>
    <w:bookmarkStart w:id="24" w:name="móvil-expo"/>
    <w:p>
      <w:pPr>
        <w:pStyle w:val="Heading2"/>
        <w:keepNext/>
        <w:ind w:firstLine="0"/>
      </w:pPr>
      <w:r>
        <w:rPr>
          <w:color w:val="000000"/>
        </w:rPr>
        <w:t xml:space="preserve">5. Móvil Expo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\Dev\SaborExpress\movil</w:t>
      </w:r>
      <w:r>
        <w:br/>
      </w:r>
      <w:r>
        <w:rPr>
          <w:rStyle w:val="NormalTok"/>
        </w:rPr>
        <w:t xml:space="preserve">npm ci</w:t>
      </w:r>
      <w:r>
        <w:br/>
      </w:r>
      <w:r>
        <w:rPr>
          <w:rStyle w:val="NormalTok"/>
        </w:rPr>
        <w:t xml:space="preserve">npx expo </w:t>
      </w:r>
      <w:r>
        <w:rPr>
          <w:rStyle w:val="FunctionTok"/>
        </w:rPr>
        <w:t xml:space="preserve">start</w:t>
      </w:r>
    </w:p>
    <w:p>
      <w:pPr>
        <w:pStyle w:val="FirstParagraph"/>
        <w:spacing w:line="480" w:lineRule="auto" w:after="0"/>
        <w:ind w:firstLine="720"/>
      </w:pPr>
      <w:r>
        <w:t xml:space="preserve">En un teléfono físico se necesita dirección IP accesible por red, no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del PC. Expo 57 usa dev client o flujo admitido por la versión; confirmar compatibilidad de Expo Go/dispositivo, permisos de ubicación y push. Registrar token push solo en ambiente de prueba autorizado.</w:t>
      </w:r>
    </w:p>
    <w:bookmarkEnd w:id="24"/>
    <w:bookmarkStart w:id="25" w:name="wompi-signalr-y-servicios-externos"/>
    <w:p>
      <w:pPr>
        <w:pStyle w:val="Heading2"/>
        <w:keepNext/>
        <w:ind w:firstLine="0"/>
      </w:pPr>
      <w:r>
        <w:rPr>
          <w:color w:val="000000"/>
        </w:rPr>
        <w:t xml:space="preserve">6. Wompi, SignalR y servicios externos</w:t>
      </w:r>
    </w:p>
    <w:p>
      <w:pPr>
        <w:pStyle w:val="FirstParagraph"/>
        <w:spacing w:line="480" w:lineRule="auto" w:after="0"/>
        <w:ind w:firstLine="720"/>
      </w:pPr>
      <w:r>
        <w:t xml:space="preserve">Usar ambiente sandbox y llaves de prueba; validar firmas de eventos mediante el código del servicio. No activar pagos reales en pruebas. Para SignalR probar sesión JWT, negociación, reconexión y comportamiento cuando no hay conexión.</w:t>
      </w:r>
    </w:p>
    <w:bookmarkEnd w:id="25"/>
    <w:bookmarkStart w:id="26" w:name="verificación-y-resolución-de-fallas"/>
    <w:p>
      <w:pPr>
        <w:pStyle w:val="Heading2"/>
        <w:keepNext/>
        <w:ind w:firstLine="0"/>
      </w:pPr>
      <w:r>
        <w:rPr>
          <w:color w:val="000000"/>
        </w:rPr>
        <w:t xml:space="preserve">7. Verificación y resolución de fallas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Problema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Comprobación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Solución segura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dotnet restore falla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SDK 8 y paquetes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Revisar feeds/proxy sin exponer credenciales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 conecta BD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Provider/nombre de cadena/servicio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Probar conexión local y permisos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Migración falla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Proveedor e historial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Restaurar BD de pruebas y revisar script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CORS rechaza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Origen web, URL API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Ajustar AllowedOrigins para ambiente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Móvil no conecta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IP/firewall/HTTPS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Usar IP de PC accesible, TLS de prueba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Wompi no confirma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Referencia y firma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Inspeccionar sandbox sin reintentos reales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Web no compila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Node/npm/dependencias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npm ci y revisar errores exactos</w:t>
            </w:r>
          </w:p>
        </w:tc>
      </w:tr>
    </w:tbl>
    <w:bookmarkEnd w:id="26"/>
    <w:bookmarkStart w:id="27" w:name="desinstalación-y-respaldo"/>
    <w:p>
      <w:pPr>
        <w:pStyle w:val="Heading2"/>
        <w:keepNext/>
        <w:ind w:firstLine="0"/>
      </w:pPr>
      <w:r>
        <w:rPr>
          <w:color w:val="000000"/>
        </w:rPr>
        <w:t xml:space="preserve">8. Desinstalación y respaldo</w:t>
      </w:r>
    </w:p>
    <w:p>
      <w:pPr>
        <w:pStyle w:val="FirstParagraph"/>
        <w:spacing w:line="480" w:lineRule="auto" w:after="0"/>
        <w:ind w:firstLine="720"/>
      </w:pPr>
      <w:r>
        <w:t xml:space="preserve">Detener procesos; respaldar BD y archivos según política; eliminar instalaciones de prueba después de garantizar recuperabilidad. Nunca ejecutar eliminación de volúmenes o base productiva como procedimiento genérico.</w:t>
      </w:r>
    </w:p>
    <w:bookmarkEnd w:id="27"/>
    <w:bookmarkStart w:id="28" w:name="instalación-reproducible-por-componente"/>
    <w:p>
      <w:pPr>
        <w:pStyle w:val="Heading2"/>
        <w:keepNext/>
        <w:ind w:firstLine="0"/>
      </w:pPr>
      <w:r>
        <w:rPr>
          <w:color w:val="000000"/>
        </w:rPr>
        <w:t xml:space="preserve">8. Instalación reproducible por componente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Etapa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Comando o actividad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Resultado esperado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Comprobar herramientas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dotnet --info</w:t>
            </w:r>
            <w:r>
              <w:rPr>
                <w:rFonts w:ascii="Times New Roman" w:hAnsi="Times New Roman"/>
                <w:sz w:val="18"/>
              </w:rPr>
              <w:t xml:space="preserve">;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</w:rPr>
              <w:t xml:space="preserve">node --version</w:t>
            </w:r>
            <w:r>
              <w:rPr>
                <w:rFonts w:ascii="Times New Roman" w:hAnsi="Times New Roman"/>
                <w:sz w:val="18"/>
              </w:rPr>
              <w:t xml:space="preserve">;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</w:rPr>
              <w:t xml:space="preserve">npm --version</w:t>
            </w:r>
            <w:r>
              <w:rPr>
                <w:rFonts w:ascii="Times New Roman" w:hAnsi="Times New Roman"/>
                <w:sz w:val="18"/>
              </w:rPr>
              <w:t xml:space="preserve">;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</w:rPr>
              <w:t xml:space="preserve">git --version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Revisar versión SDK .NET 8, Node compatible con Next.js 16, Git y herramientas móviles.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Obtener repositorios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clone https://github.com/yersonct/SaborExpressBack.git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y sus equivalentes Web/Movil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Guardar SHA reproducible con git rev-parse HEAD.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Restaurar API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cd SaborExpressBack</w:t>
            </w:r>
            <w:r>
              <w:rPr>
                <w:rFonts w:ascii="Times New Roman" w:hAnsi="Times New Roman"/>
                <w:sz w:val="18"/>
              </w:rPr>
              <w:t xml:space="preserve">;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</w:rPr>
              <w:t xml:space="preserve">dotnet restore SaborExpress.csproj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Sin requerir conexión a BD para restaurar paquetes.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Compilar API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dotnet build SaborExpress.csproj -c Release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Compilación sin errores; no equivale a prueba funcional.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Preparar base de datos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crear BD/usuario con privilegios mínimos e inyectar ConnectionStrings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Proveedor oficial de desarrollo debe coincidir con DatabaseProvider.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Ejecutar API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dotnet run --project SaborExpress.csproj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Consultar URL y puerto de consola, abrir Swagger en raíz si configuración lo permite.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Restaurar web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cd SaborExpressWeb</w:t>
            </w:r>
            <w:r>
              <w:rPr>
                <w:rFonts w:ascii="Times New Roman" w:hAnsi="Times New Roman"/>
                <w:sz w:val="18"/>
              </w:rPr>
              <w:t xml:space="preserve">;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</w:rPr>
              <w:t xml:space="preserve">npm ci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Dependencias iguales a package-lock.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Compilar web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npm run build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Validar variables de API y route protection.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Iniciar web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npm run dev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Url mostrada por consola; por defecto Next suele utilizar localhost:3000, verificar.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Restaurar móvil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cd SaborExpressMovil</w:t>
            </w:r>
            <w:r>
              <w:rPr>
                <w:rFonts w:ascii="Times New Roman" w:hAnsi="Times New Roman"/>
                <w:sz w:val="18"/>
              </w:rPr>
              <w:t xml:space="preserve">;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</w:rPr>
              <w:t xml:space="preserve">npm ci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Acordar Node/SDK con versiones Expo declaradas.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Iniciar móvil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npm start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o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</w:rPr>
              <w:t xml:space="preserve">npx expo start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Elegir emulador/dispositivo según SDK requerido; URL API accesible.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Verificar funcionalidad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inspeccionar Swagger, crear cliente sintético y consultar catálogo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 usar datos ni pagos de producción en prueba.</w:t>
            </w:r>
          </w:p>
        </w:tc>
      </w:tr>
    </w:tbl>
    <w:bookmarkEnd w:id="28"/>
    <w:bookmarkStart w:id="29" w:name="X00494b9ca9695082c21029bc5d9f8fa39139b85"/>
    <w:p>
      <w:pPr>
        <w:pStyle w:val="Heading2"/>
        <w:keepNext/>
        <w:ind w:firstLine="0"/>
      </w:pPr>
      <w:r>
        <w:rPr>
          <w:color w:val="000000"/>
        </w:rPr>
        <w:t xml:space="preserve">9. Configuración de ambiente de forma segura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API:</w:t>
      </w:r>
      <w:r>
        <w:t xml:space="preserve"> </w:t>
      </w:r>
      <w:r>
        <w:t xml:space="preserve">seleccionar proveedor</w:t>
      </w:r>
      <w:r>
        <w:t xml:space="preserve"> </w:t>
      </w:r>
      <w:r>
        <w:rPr>
          <w:rStyle w:val="VerbatimChar"/>
        </w:rPr>
        <w:t xml:space="preserve">DatabaseProvider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SqlServer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) y la cadena correspondiente (</w:t>
      </w:r>
      <w:r>
        <w:rPr>
          <w:rStyle w:val="VerbatimChar"/>
        </w:rPr>
        <w:t xml:space="preserve">MySQLConnection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SqlServerConnection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PostgresConnection</w:t>
      </w:r>
      <w:r>
        <w:t xml:space="preserve">). Revisar además configuración JWT, orígenes permitidos CORS, correo, geocodificación y Wompi antes de levantar el proceso. Los nombres de claves secundarios deben derivarse de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y settings de clases, sin inventar valores concretos.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Secretos:</w:t>
      </w:r>
      <w:r>
        <w:t xml:space="preserve"> </w:t>
      </w:r>
      <w:r>
        <w:t xml:space="preserve">almacenar credenciales mediante User Secrets de .NET o variables del orquestador en desarrollo, y gestor de secretos en producción. No reutilizar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sensible,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ni credenciales cargadas por compañeros como ejemplos públicos.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Web:</w:t>
      </w:r>
      <w:r>
        <w:t xml:space="preserve"> </w:t>
      </w:r>
      <w:r>
        <w:t xml:space="preserve">identificar variable que configura la URL de API leyendo</w:t>
      </w:r>
      <w:r>
        <w:t xml:space="preserve"> </w:t>
      </w:r>
      <w:r>
        <w:rPr>
          <w:rStyle w:val="VerbatimChar"/>
        </w:rPr>
        <w:t xml:space="preserve">src/config</w:t>
      </w:r>
      <w:r>
        <w:t xml:space="preserve"> </w:t>
      </w:r>
      <w:r>
        <w:t xml:space="preserve">y servicios antes de modificar. Next.js expone al navegador variables con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: nunca colocar claves privadas en ellas.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Móvil:</w:t>
      </w:r>
      <w:r>
        <w:t xml:space="preserve"> </w:t>
      </w:r>
      <w:r>
        <w:t xml:space="preserve">para teléfono físico, localhost apunta al teléfono y no a la PC. Usar URL accesible en la red de desarrollo, TLS apropiado y evitar tunnels públicos con información real. Expo Go puede carecer de módulos nativos que exijan development build; verificar condiciones de Expo 57.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Datos de semilla:</w:t>
      </w:r>
      <w:r>
        <w:t xml:space="preserve"> </w:t>
      </w:r>
      <w:r>
        <w:t xml:space="preserve">Program.cs puede aplicar migraciones y seeders al arrancar. Antes de la primera ejecución, comprobar que el seeder inicial no incluya una contraseña fija en código o configuración distribuida.</w:t>
      </w:r>
    </w:p>
    <w:bookmarkEnd w:id="29"/>
    <w:bookmarkStart w:id="30" w:name="Xf74451ce9da85613d077f26606664618220e2ad"/>
    <w:p>
      <w:pPr>
        <w:pStyle w:val="Heading2"/>
        <w:keepNext/>
        <w:ind w:firstLine="0"/>
      </w:pPr>
      <w:r>
        <w:rPr>
          <w:color w:val="000000"/>
        </w:rPr>
        <w:t xml:space="preserve">10. Procedimiento Windows PowerShell (ejemplo reproducible)</w:t>
      </w:r>
    </w:p>
    <w:p>
      <w:pPr>
        <w:pStyle w:val="SourceCode"/>
      </w:pPr>
      <w:r>
        <w:rPr>
          <w:rStyle w:val="CommentTok"/>
        </w:rPr>
        <w:t xml:space="preserve"># En un directorio de trabajo seguro, con Git, .NET 8 y Node instalados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yersonct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SaborExpressBack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yersonct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SaborExpressWeb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yersonct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SaborExpressMovil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SaborExpressBack</w:t>
      </w:r>
      <w:r>
        <w:br/>
      </w:r>
      <w:r>
        <w:rPr>
          <w:rStyle w:val="NormalTok"/>
        </w:rPr>
        <w:t xml:space="preserve">git rev-parse HEAD</w:t>
      </w:r>
      <w:r>
        <w:br/>
      </w:r>
      <w:r>
        <w:rPr>
          <w:rStyle w:val="NormalTok"/>
        </w:rPr>
        <w:t xml:space="preserve">dotnet restore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dotnet build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Release</w:t>
      </w:r>
      <w:r>
        <w:br/>
      </w:r>
      <w:r>
        <w:rPr>
          <w:rStyle w:val="CommentTok"/>
        </w:rPr>
        <w:t xml:space="preserve"># Configurar cadena de conexión y secretos ANTES de ejecutar</w:t>
      </w:r>
      <w:r>
        <w:br/>
      </w:r>
      <w:r>
        <w:rPr>
          <w:rStyle w:val="CommentTok"/>
        </w:rPr>
        <w:t xml:space="preserve"># dotnet run --project SaborExpress.csproj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\SaborExpressWeb</w:t>
      </w:r>
      <w:r>
        <w:br/>
      </w:r>
      <w:r>
        <w:rPr>
          <w:rStyle w:val="NormalTok"/>
        </w:rPr>
        <w:t xml:space="preserve">npm ci</w:t>
      </w:r>
      <w:r>
        <w:br/>
      </w:r>
      <w:r>
        <w:rPr>
          <w:rStyle w:val="NormalTok"/>
        </w:rPr>
        <w:t xml:space="preserve">npm run build</w:t>
      </w:r>
      <w:r>
        <w:br/>
      </w:r>
      <w:r>
        <w:rPr>
          <w:rStyle w:val="CommentTok"/>
        </w:rPr>
        <w:t xml:space="preserve"># npm run dev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\SaborExpressMovil</w:t>
      </w:r>
      <w:r>
        <w:br/>
      </w:r>
      <w:r>
        <w:rPr>
          <w:rStyle w:val="NormalTok"/>
        </w:rPr>
        <w:t xml:space="preserve">npm ci</w:t>
      </w:r>
      <w:r>
        <w:br/>
      </w:r>
      <w:r>
        <w:rPr>
          <w:rStyle w:val="CommentTok"/>
        </w:rPr>
        <w:t xml:space="preserve"># npm start</w:t>
      </w:r>
    </w:p>
    <w:p>
      <w:pPr>
        <w:pStyle w:val="FirstParagraph"/>
        <w:spacing w:line="480" w:lineRule="auto" w:after="0"/>
        <w:ind w:firstLine="720"/>
      </w:pPr>
      <w:r>
        <w:t xml:space="preserve">Los comandos de ejecución se dejan comentados por seguridad hasta configurar un motor de datos de prueba y variables apropiadas. El SDK y los puertos definitivos se documentan después de instalar en el equipo destino.</w:t>
      </w:r>
    </w:p>
    <w:bookmarkEnd w:id="30"/>
    <w:bookmarkStart w:id="31" w:name="Xa6fbb221d2afe5de53dfa7eeb1b722db4670f1b"/>
    <w:p>
      <w:pPr>
        <w:pStyle w:val="Heading2"/>
        <w:keepNext/>
        <w:ind w:firstLine="0"/>
      </w:pPr>
      <w:r>
        <w:rPr>
          <w:color w:val="000000"/>
        </w:rPr>
        <w:t xml:space="preserve">11. Preparación de despliegue y puesta en marcha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Preflight:</w:t>
      </w:r>
      <w:r>
        <w:t xml:space="preserve"> </w:t>
      </w:r>
      <w:r>
        <w:t xml:space="preserve">comprobar compatibilidad de SO y arquitectura, IP/dominio, puertos, proxy y TLS, archivos de configuración, migraciones pendientes, estado de dependencias, permisos del usuario de DB, espacio disponible, sincronización horaria y acceso Wompi sandbox.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Paso controlado:</w:t>
      </w:r>
      <w:r>
        <w:t xml:space="preserve"> </w:t>
      </w:r>
      <w:r>
        <w:t xml:space="preserve">generar backup → compilar backend y web con SHA aprobado → exportar migración revisada → aplicar en staging → ejecutar pruebas humo de Auth/Products/Orders/Payments → habilitar entorno → monitorizar y conservar artefactos del despliegue.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Plan de reversión:</w:t>
      </w:r>
      <w:r>
        <w:t xml:space="preserve"> </w:t>
      </w:r>
      <w:r>
        <w:t xml:space="preserve">mantener binarios previos, export de esquema y respaldo. Ante migración no reversible, restaurar BD en nueva instancia validada antes de apuntar clientes; no usar</w:t>
      </w:r>
      <w:r>
        <w:t xml:space="preserve"> </w:t>
      </w:r>
      <w:r>
        <w:rPr>
          <w:rStyle w:val="VerbatimChar"/>
        </w:rPr>
        <w:t xml:space="preserve">database update 0</w:t>
      </w:r>
      <w:r>
        <w:t xml:space="preserve"> </w:t>
      </w:r>
      <w:r>
        <w:t xml:space="preserve">ni revertir migraciones indiscriminadamente sobre producción.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Separación de ambientes:</w:t>
      </w:r>
      <w:r>
        <w:t xml:space="preserve"> </w:t>
      </w:r>
      <w:r>
        <w:t xml:space="preserve">DEV usa datos sintéticos y Wompi sandbox; STAGING replica configuración sin datos personales; PROD necesita secretos productivos, TLS real, backups, monitoreo y procedimientos firmados. No mezclar URL ni clave Wompi de test/prod.</w:t>
      </w:r>
    </w:p>
    <w:bookmarkEnd w:id="31"/>
    <w:bookmarkStart w:id="32" w:name="diagnóstico-de-instalación"/>
    <w:p>
      <w:pPr>
        <w:pStyle w:val="Heading2"/>
        <w:keepNext/>
        <w:ind w:firstLine="0"/>
      </w:pPr>
      <w:r>
        <w:rPr>
          <w:color w:val="000000"/>
        </w:rPr>
        <w:t xml:space="preserve">12. Diagnóstico de instalación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Error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Causa probable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Validación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Solución prudente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dotnet restore falla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red o versión SDK incompatible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dotnet –info; NuGet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revisar SDK net8.0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Migration failed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cadena incorrecta, falta DB o permisos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logs sin secretos; provider EF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reparar BD, repetir en sandbox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next build falla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Node o variable obligatoria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npm run build, package.json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alinear versión y dependencias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app móvil no conecta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localhost erróneo o red bloqueada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ping y URL accesible desde teléfono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usar IP red o túnel protegido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401 login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JWT/config de usuario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logs sanitizados y claims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revisar Auth/seeders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WebSocket no conecta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proxy, CORS o credenciales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Network tab y servidor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proxy websocket/cors seguros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Webhook no llega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HTTPS o URL mal configurada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panel Wompi sandbox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URL pública HTTPS solo sandbox</w:t>
            </w:r>
          </w:p>
        </w:tc>
      </w:tr>
    </w:tbl>
    <w:bookmarkEnd w:id="32"/>
    <w:bookmarkStart w:id="33" w:name="lista-de-aceptación-de-instalación"/>
    <w:p>
      <w:pPr>
        <w:pStyle w:val="Heading2"/>
        <w:keepNext/>
        <w:ind w:firstLine="0"/>
      </w:pPr>
      <w:r>
        <w:rPr>
          <w:color w:val="000000"/>
        </w:rPr>
        <w:t xml:space="preserve">13. Lista de aceptación de instalación</w:t>
      </w:r>
    </w:p>
    <w:p>
      <w:pPr>
        <w:pStyle w:val="Compact"/>
        <w:numPr>
          <w:ilvl w:val="0"/>
          <w:numId w:val="1001"/>
        </w:numPr>
      </w:pPr>
      <w:r>
        <w:t xml:space="preserve">☐ API compila y publica su versión y SHA.</w:t>
      </w:r>
    </w:p>
    <w:p>
      <w:pPr>
        <w:pStyle w:val="Compact"/>
        <w:numPr>
          <w:ilvl w:val="0"/>
          <w:numId w:val="1001"/>
        </w:numPr>
      </w:pPr>
      <w:r>
        <w:t xml:space="preserve">☐ DB seleccionada soporta migraciones nuevas en base efímera.</w:t>
      </w:r>
    </w:p>
    <w:p>
      <w:pPr>
        <w:pStyle w:val="Compact"/>
        <w:numPr>
          <w:ilvl w:val="0"/>
          <w:numId w:val="1001"/>
        </w:numPr>
      </w:pPr>
      <w:r>
        <w:t xml:space="preserve">☐ Swagger accesible únicamente conforme al ambiente y su política.</w:t>
      </w:r>
    </w:p>
    <w:p>
      <w:pPr>
        <w:pStyle w:val="Compact"/>
        <w:numPr>
          <w:ilvl w:val="0"/>
          <w:numId w:val="1001"/>
        </w:numPr>
      </w:pPr>
      <w:r>
        <w:t xml:space="preserve">☐ Web compila y consulta API de prueba.</w:t>
      </w:r>
    </w:p>
    <w:p>
      <w:pPr>
        <w:pStyle w:val="Compact"/>
        <w:numPr>
          <w:ilvl w:val="0"/>
          <w:numId w:val="1001"/>
        </w:numPr>
      </w:pPr>
      <w:r>
        <w:t xml:space="preserve">☐ Móvil permite una sesión de prueba en el entorno objetivo.</w:t>
      </w:r>
    </w:p>
    <w:p>
      <w:pPr>
        <w:pStyle w:val="Compact"/>
        <w:numPr>
          <w:ilvl w:val="0"/>
          <w:numId w:val="1001"/>
        </w:numPr>
      </w:pPr>
      <w:r>
        <w:t xml:space="preserve">☐ Inicio/cierre de sesión y lectura del catálogo probados.</w:t>
      </w:r>
    </w:p>
    <w:p>
      <w:pPr>
        <w:pStyle w:val="Compact"/>
        <w:numPr>
          <w:ilvl w:val="0"/>
          <w:numId w:val="1001"/>
        </w:numPr>
      </w:pPr>
      <w:r>
        <w:t xml:space="preserve">☐ Datos de prueba aislados de producción.</w:t>
      </w:r>
    </w:p>
    <w:p>
      <w:pPr>
        <w:pStyle w:val="Compact"/>
        <w:numPr>
          <w:ilvl w:val="0"/>
          <w:numId w:val="1001"/>
        </w:numPr>
      </w:pPr>
      <w:r>
        <w:t xml:space="preserve">☐ Firma Wompi sandbox y evento duplicado ensayados.</w:t>
      </w:r>
    </w:p>
    <w:p>
      <w:pPr>
        <w:pStyle w:val="Compact"/>
        <w:numPr>
          <w:ilvl w:val="0"/>
          <w:numId w:val="1001"/>
        </w:numPr>
      </w:pPr>
      <w:r>
        <w:t xml:space="preserve">☐ Copia/restauración de DB simulada.</w:t>
      </w:r>
    </w:p>
    <w:p>
      <w:pPr>
        <w:pStyle w:val="Compact"/>
        <w:numPr>
          <w:ilvl w:val="0"/>
          <w:numId w:val="1001"/>
        </w:numPr>
      </w:pPr>
      <w:r>
        <w:t xml:space="preserve">☐ Responsable firma acta, versión y evidencias.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Estado de esta lista:</w:t>
      </w:r>
      <w:r>
        <w:t xml:space="preserve"> </w:t>
      </w:r>
      <w:r>
        <w:t xml:space="preserve">no ejecutada; debe diligenciarla el responsable que despliegue.</w:t>
      </w:r>
    </w:p>
    <w:bookmarkEnd w:id="33"/>
    <w:bookmarkStart w:id="34" w:name="fuentes-primarias-de-implementación"/>
    <w:p>
      <w:pPr>
        <w:pStyle w:val="Heading2"/>
        <w:keepNext/>
        <w:ind w:firstLine="0"/>
      </w:pPr>
      <w:r>
        <w:rPr>
          <w:color w:val="000000"/>
        </w:rPr>
        <w:t xml:space="preserve">Fuentes primarias de implementación</w:t>
      </w:r>
    </w:p>
    <w:p>
      <w:pPr>
        <w:pStyle w:val="Compact"/>
        <w:numPr>
          <w:ilvl w:val="0"/>
          <w:numId w:val="1002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2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2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2"/>
        </w:numPr>
      </w:pPr>
      <w:r>
        <w:t xml:space="preserve">Referencia de presentación: https://github.com/jsgh1/SRD-v1/tree/dev/docs/docs-SRD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34"/>
    <w:bookmarkEnd w:id="35"/>
    <w:sectPr>
      <w:headerReference r:id="rId9" w:type="default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  <w:ind w:firstLine="720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120" w:line="480" w:lineRule="auto"/>
      <w:ind w:firstLine="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2026-10-15T00:54:01Z</dcterms:created>
  <dcterms:modified xsi:type="dcterms:W3CDTF">2026-10-15T00:54:01Z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