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3100" w:line="480" w:lineRule="auto"/>
        <w:jc w:val="center"/>
      </w:pPr>
      <w:r>
        <w:rPr>
          <w:rFonts w:ascii="Times New Roman" w:hAnsi="Times New Roman"/>
          <w:b/>
          <w:sz w:val="28"/>
        </w:rPr>
        <w:t>01 Documentacion de pruebas SaborExpress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Equipo de desarrollo SaborExpress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Filiación institucional y autores individuales: por confirmar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Estudio académico de ingeniería de software y documentación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14 de octubre de 2026</w:t>
      </w:r>
    </w:p>
    <w:p>
      <w:r>
        <w:br w:type="page"/>
      </w:r>
    </w:p>
    <w:bookmarkStart w:id="58" w:name="plan-de-pruebas-evidencias-y-aceptación"/>
    <w:p>
      <w:pPr>
        <w:pStyle w:val="Heading1"/>
        <w:keepNext/>
        <w:ind w:firstLine="0"/>
      </w:pPr>
      <w:r>
        <w:rPr>
          <w:color w:val="000000"/>
        </w:rPr>
        <w:t xml:space="preserve">Plan de pruebas, evidencias y aceptación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principio-de-evidencia"/>
    <w:p>
      <w:pPr>
        <w:pStyle w:val="Heading2"/>
        <w:keepNext/>
        <w:ind w:firstLine="0"/>
      </w:pPr>
      <w:r>
        <w:rPr>
          <w:color w:val="000000"/>
        </w:rPr>
        <w:t xml:space="preserve">1. Principio de evidencia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Estado general: NO EJECUTADO en esta elaboración.</w:t>
      </w:r>
      <w:r>
        <w:t xml:space="preserve"> </w:t>
      </w:r>
      <w:r>
        <w:t xml:space="preserve">Este documento diseña pruebas reproducibles; no hay actas, capturas de ejecución ni registros de CI entregados que permitan certificarlas como aprobadas. Se inspeccionaron rutas y código fuente, no se desplegó la aplicación ni se realizaron cobros.</w:t>
      </w:r>
    </w:p>
    <w:bookmarkEnd w:id="20"/>
    <w:bookmarkStart w:id="21" w:name="estrategia-por-niveles"/>
    <w:p>
      <w:pPr>
        <w:pStyle w:val="Heading2"/>
        <w:keepNext/>
        <w:ind w:firstLine="0"/>
      </w:pPr>
      <w:r>
        <w:rPr>
          <w:color w:val="000000"/>
        </w:rPr>
        <w:t xml:space="preserve">2. Estrategia por niveles</w:t>
      </w:r>
    </w:p>
    <w:p>
      <w:pPr>
        <w:pStyle w:val="FirstParagraph"/>
        <w:spacing w:line="480" w:lineRule="auto" w:after="0"/>
        <w:ind w:firstLine="720"/>
      </w:pPr>
      <w:r>
        <w:t xml:space="preserve">Pruebas unitarias de servicios y validadores; integración con EF Core sobre base efímera; contrato API desde Swagger y Postman; E2E por rol; seguridad negativa de roles/recursos; sandbox de Wompi; carga de HTTP/SignalR; accesibilidad/usabilidad; restauración/recuperación; despliegue y smoke. Cada prueba debe registrar commit, ambiente, conjunto de datos sintéticos, ejecutor, fecha y resultado observado.</w:t>
      </w:r>
    </w:p>
    <w:bookmarkEnd w:id="21"/>
    <w:bookmarkStart w:id="22" w:name="casos-críticos-propuestos"/>
    <w:p>
      <w:pPr>
        <w:pStyle w:val="Heading2"/>
        <w:keepNext/>
        <w:ind w:firstLine="0"/>
      </w:pPr>
      <w:r>
        <w:rPr>
          <w:color w:val="000000"/>
        </w:rPr>
        <w:t xml:space="preserve">3. Casos críticos propuestos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Grupo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Datos/estímulo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Resultado esperado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Ejecución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CP-01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Auth válido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Credenciales de prueba válidas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Login exitoso, JWT válido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CP-02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Auth inválido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Contraseña errónea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Respuesta controlada sin token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CP-03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Token expirado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JWT fuera de vigencia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401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CP-04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Token manipulado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Firma inválida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401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Acceso intersede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Admin de sede A consulta B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403 o filtrado seguro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CP-06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Producto público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GET catálogo sede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Solo productos de sede y globales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CP-07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Crear producto sin rol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Cliente invoca POST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403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CP-08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Crear pedido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Detalle consistente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201 + total calculado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CP-09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Pedido negativo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Cantidad &lt;=0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Rechazado sin persistencia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CP-10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Pedido domicilio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Sin dirección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Regla de validación consistente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CP-11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Cancelación propia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Cliente propietario, estado admisible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Cancelación controlada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CP-12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Cancelación ajena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Cliente distinto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403/404 seguro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CP-13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Estado inválido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Transición de pedido prohibida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Conflicto controlado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CP-14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Pago válido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Sandbox Wompi firma válida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Un pago reconciliado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CP-15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Webhook adulterado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Checksum incorrecto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 se aplica pago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CP-16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Webhook repetido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Mismo evento dos veces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Idempotencia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CP-17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Pago rechazado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Sandbox REJECTED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 cambiar a pagado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CP-18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QR cajero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Generar link desde turno válido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Referencia y valor correctos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CP-19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Cierre de caja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Pagos del cajero actual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 mezcla de empleados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CP-20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Entrega ajena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Repartidor A pide B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Acceso rechazado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CP-21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Calificación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Cliente propietario de entrega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Guardar solo 1..5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CP-22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SignalR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Cliente autorizado suscrito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Evento recibido/reconexión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CP-23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DB falla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Interrumpir motor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Sin corrupción ni secretos en error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CP-24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Migración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BD efímera desde cero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Schema coherente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CP-25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Rollback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Restaurar backup de prueba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Integridad post-restauración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CP-26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Carga HTTP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Carga y duración declaradas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p50/p95 medidos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CP-27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Usabilidad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Tareas por roles voluntarios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Tiempos, errores, SUS si aplica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Pendiente</w:t>
            </w:r>
          </w:p>
        </w:tc>
      </w:tr>
    </w:tbl>
    <w:bookmarkEnd w:id="22"/>
    <w:bookmarkStart w:id="23" w:name="ambiente-y-datos-sintéticos"/>
    <w:p>
      <w:pPr>
        <w:pStyle w:val="Heading2"/>
        <w:keepNext/>
        <w:ind w:firstLine="0"/>
      </w:pPr>
      <w:r>
        <w:rPr>
          <w:color w:val="000000"/>
        </w:rPr>
        <w:t xml:space="preserve">4. Ambiente y datos sintéticos</w:t>
      </w:r>
    </w:p>
    <w:p>
      <w:pPr>
        <w:pStyle w:val="FirstParagraph"/>
        <w:spacing w:line="480" w:lineRule="auto" w:after="0"/>
        <w:ind w:firstLine="720"/>
      </w:pPr>
      <w:r>
        <w:t xml:space="preserve">Preparar usuarios por cada rol y dos sedes ficticias, productos y pedidos conocidos, cuentas de sandbox, copia limpia de BD de test y timezone consistente. Guardar definición de pruebas sin claves ni información de clientes reales. Controlar estado inicial/final de cada caso para evitar contaminación entre pruebas.</w:t>
      </w:r>
    </w:p>
    <w:bookmarkEnd w:id="23"/>
    <w:bookmarkStart w:id="24" w:name="Xb3b4b6a2df9921fcbd3cdab510a53a0e1c4e4e7"/>
    <w:p>
      <w:pPr>
        <w:pStyle w:val="Heading2"/>
        <w:keepNext/>
        <w:ind w:firstLine="0"/>
      </w:pPr>
      <w:r>
        <w:rPr>
          <w:color w:val="000000"/>
        </w:rPr>
        <w:t xml:space="preserve">5. Matriz de cobertura y formato de resultado</w:t>
      </w:r>
    </w:p>
    <w:p>
      <w:pPr>
        <w:pStyle w:val="FirstParagraph"/>
        <w:spacing w:line="480" w:lineRule="auto" w:after="0"/>
        <w:ind w:firstLine="720"/>
      </w:pPr>
      <w:r>
        <w:t xml:space="preserve">Criterio: 100% de requisitos de prioridad crítica con al menos un caso positivo y uno negativo; cobertura restante acordada por QA. Esta es una</w:t>
      </w:r>
      <w:r>
        <w:t xml:space="preserve"> </w:t>
      </w:r>
      <w:r>
        <w:rPr>
          <w:b/>
          <w:bCs/>
        </w:rPr>
        <w:t xml:space="preserve">meta</w:t>
      </w:r>
      <w:r>
        <w:t xml:space="preserve">, no porcentaje actual. Plantilla de registro:</w:t>
      </w:r>
      <w:r>
        <w:t xml:space="preserve"> </w:t>
      </w:r>
      <w:r>
        <w:rPr>
          <w:rStyle w:val="VerbatimChar"/>
        </w:rPr>
        <w:t xml:space="preserve">ID / SHA / versión / ambiente / datos / pasos / esperado / observado / evidencia / estado / responsable</w:t>
      </w:r>
      <w:r>
        <w:t xml:space="preserve">.</w:t>
      </w:r>
    </w:p>
    <w:bookmarkEnd w:id="24"/>
    <w:bookmarkStart w:id="25" w:name="requisitos-para-declarar-aceptación"/>
    <w:p>
      <w:pPr>
        <w:pStyle w:val="Heading2"/>
        <w:keepNext/>
        <w:ind w:firstLine="0"/>
      </w:pPr>
      <w:r>
        <w:rPr>
          <w:color w:val="000000"/>
        </w:rPr>
        <w:t xml:space="preserve">6. Requisitos para declarar aceptación</w:t>
      </w:r>
    </w:p>
    <w:p>
      <w:pPr>
        <w:pStyle w:val="FirstParagraph"/>
        <w:spacing w:line="480" w:lineRule="auto" w:after="0"/>
        <w:ind w:firstLine="720"/>
      </w:pPr>
      <w:r>
        <w:t xml:space="preserve">No hay incidentes críticos abiertos, pagos conciliados de forma idempotente, segregación por sede verificada, backup/restore demostrado, documentación e instrucción de usuarios aprobadas y métricas no funcionales medidas contra umbrales acordados. No usar el presente documento para afirmar aprobación del instructor o QA.</w:t>
      </w:r>
    </w:p>
    <w:bookmarkEnd w:id="25"/>
    <w:bookmarkStart w:id="53" w:name="fichas-de-ejecución-por-caso-de-prueba"/>
    <w:p>
      <w:pPr>
        <w:pStyle w:val="Heading2"/>
        <w:keepNext/>
        <w:ind w:firstLine="0"/>
      </w:pPr>
      <w:r>
        <w:rPr>
          <w:color w:val="000000"/>
        </w:rPr>
        <w:t xml:space="preserve">8. Fichas de ejecución por caso de prueba</w:t>
      </w:r>
    </w:p>
    <w:p>
      <w:pPr>
        <w:pStyle w:val="FirstParagraph"/>
        <w:spacing w:line="480" w:lineRule="auto" w:after="0"/>
        <w:ind w:firstLine="720"/>
      </w:pPr>
      <w:r>
        <w:t xml:space="preserve">Los pasos detallados convierten el catálogo sintético en una guía reproducible. Cada caso debe ejecutarse en sandbox, registrar comparación esperado-observado y crear un defecto si no cumple.</w:t>
      </w:r>
    </w:p>
    <w:bookmarkStart w:id="26" w:name="cp-01.-auth-válido"/>
    <w:p>
      <w:pPr>
        <w:pStyle w:val="Heading3"/>
        <w:keepNext/>
        <w:ind w:firstLine="0"/>
      </w:pPr>
      <w:r>
        <w:rPr>
          <w:color w:val="000000"/>
        </w:rPr>
        <w:t xml:space="preserve">CP-01. Auth válido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Credenciales de prueba válidas.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Login exitoso, JWT válido.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Credenciales de prueba válidas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Login exitoso, JWT válido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26"/>
    <w:bookmarkStart w:id="27" w:name="cp-02.-auth-inválido"/>
    <w:p>
      <w:pPr>
        <w:pStyle w:val="Heading3"/>
        <w:keepNext/>
        <w:ind w:firstLine="0"/>
      </w:pPr>
      <w:r>
        <w:rPr>
          <w:color w:val="000000"/>
        </w:rPr>
        <w:t xml:space="preserve">CP-02. Auth inválido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Contraseña errónea.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Respuesta controlada sin token.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Contraseña errónea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Respuesta controlada sin token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27"/>
    <w:bookmarkStart w:id="28" w:name="cp-03.-token-expirado"/>
    <w:p>
      <w:pPr>
        <w:pStyle w:val="Heading3"/>
        <w:keepNext/>
        <w:ind w:firstLine="0"/>
      </w:pPr>
      <w:r>
        <w:rPr>
          <w:color w:val="000000"/>
        </w:rPr>
        <w:t xml:space="preserve">CP-03. Token expirado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JWT fuera de vigencia.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401.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JWT fuera de vigencia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28"/>
    <w:bookmarkStart w:id="29" w:name="cp-04.-token-manipulado"/>
    <w:p>
      <w:pPr>
        <w:pStyle w:val="Heading3"/>
        <w:keepNext/>
        <w:ind w:firstLine="0"/>
      </w:pPr>
      <w:r>
        <w:rPr>
          <w:color w:val="000000"/>
        </w:rPr>
        <w:t xml:space="preserve">CP-04. Token manipulado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Firma inválida.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401.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Firma inválida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29"/>
    <w:bookmarkStart w:id="30" w:name="cp-05.-acceso-intersede"/>
    <w:p>
      <w:pPr>
        <w:pStyle w:val="Heading3"/>
        <w:keepNext/>
        <w:ind w:firstLine="0"/>
      </w:pPr>
      <w:r>
        <w:rPr>
          <w:color w:val="000000"/>
        </w:rPr>
        <w:t xml:space="preserve">CP-05. Acceso intersede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Admin de sede A consulta B.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403 o filtrado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Admin de sede A consulta B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403 o filtrado seguro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30"/>
    <w:bookmarkStart w:id="31" w:name="cp-06.-producto-público"/>
    <w:p>
      <w:pPr>
        <w:pStyle w:val="Heading3"/>
        <w:keepNext/>
        <w:ind w:firstLine="0"/>
      </w:pPr>
      <w:r>
        <w:rPr>
          <w:color w:val="000000"/>
        </w:rPr>
        <w:t xml:space="preserve">CP-06. Producto público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GET catálogo sede.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Solo productos de sede y globales.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GET catálogo sede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Solo productos de sede y globales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31"/>
    <w:bookmarkStart w:id="32" w:name="cp-07.-crear-producto-sin-rol"/>
    <w:p>
      <w:pPr>
        <w:pStyle w:val="Heading3"/>
        <w:keepNext/>
        <w:ind w:firstLine="0"/>
      </w:pPr>
      <w:r>
        <w:rPr>
          <w:color w:val="000000"/>
        </w:rPr>
        <w:t xml:space="preserve">CP-07. Crear producto sin rol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Cliente invoca POST.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403.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Cliente invoca POST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32"/>
    <w:bookmarkStart w:id="33" w:name="cp-08.-crear-pedido"/>
    <w:p>
      <w:pPr>
        <w:pStyle w:val="Heading3"/>
        <w:keepNext/>
        <w:ind w:firstLine="0"/>
      </w:pPr>
      <w:r>
        <w:rPr>
          <w:color w:val="000000"/>
        </w:rPr>
        <w:t xml:space="preserve">CP-08. Crear pedido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Detalle consistente.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201 + total calculado.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Detalle consistente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201 + total calculado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33"/>
    <w:bookmarkStart w:id="34" w:name="cp-09.-pedido-negativo"/>
    <w:p>
      <w:pPr>
        <w:pStyle w:val="Heading3"/>
        <w:keepNext/>
        <w:ind w:firstLine="0"/>
      </w:pPr>
      <w:r>
        <w:rPr>
          <w:color w:val="000000"/>
        </w:rPr>
        <w:t xml:space="preserve">CP-09. Pedido negativo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Cantidad &lt;=0.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Rechazado sin persistencia.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Cantidad &lt;=0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Rechazado sin persistencia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34"/>
    <w:bookmarkStart w:id="35" w:name="cp-10.-pedido-domicilio"/>
    <w:p>
      <w:pPr>
        <w:pStyle w:val="Heading3"/>
        <w:keepNext/>
        <w:ind w:firstLine="0"/>
      </w:pPr>
      <w:r>
        <w:rPr>
          <w:color w:val="000000"/>
        </w:rPr>
        <w:t xml:space="preserve">CP-10. Pedido domicilio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Sin dirección.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Regla de validación consistente.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Sin dirección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Regla de validación consistente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35"/>
    <w:bookmarkStart w:id="36" w:name="cp-11.-cancelación-propia"/>
    <w:p>
      <w:pPr>
        <w:pStyle w:val="Heading3"/>
        <w:keepNext/>
        <w:ind w:firstLine="0"/>
      </w:pPr>
      <w:r>
        <w:rPr>
          <w:color w:val="000000"/>
        </w:rPr>
        <w:t xml:space="preserve">CP-11. Cancelación propia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Cliente propietario, estado admisible.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Cancelación controlada.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Cliente propietario, estado admisible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Cancelación controlada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36"/>
    <w:bookmarkStart w:id="37" w:name="cp-12.-cancelación-ajena"/>
    <w:p>
      <w:pPr>
        <w:pStyle w:val="Heading3"/>
        <w:keepNext/>
        <w:ind w:firstLine="0"/>
      </w:pPr>
      <w:r>
        <w:rPr>
          <w:color w:val="000000"/>
        </w:rPr>
        <w:t xml:space="preserve">CP-12. Cancelación ajena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Cliente distinto.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403/404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Cliente distinto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403/404 seguro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37"/>
    <w:bookmarkStart w:id="38" w:name="cp-13.-estado-inválido"/>
    <w:p>
      <w:pPr>
        <w:pStyle w:val="Heading3"/>
        <w:keepNext/>
        <w:ind w:firstLine="0"/>
      </w:pPr>
      <w:r>
        <w:rPr>
          <w:color w:val="000000"/>
        </w:rPr>
        <w:t xml:space="preserve">CP-13. Estado inválido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Transición de pedido prohibida.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Conflicto controlado.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Transición de pedido prohibida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Conflicto controlado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38"/>
    <w:bookmarkStart w:id="39" w:name="cp-14.-pago-válido"/>
    <w:p>
      <w:pPr>
        <w:pStyle w:val="Heading3"/>
        <w:keepNext/>
        <w:ind w:firstLine="0"/>
      </w:pPr>
      <w:r>
        <w:rPr>
          <w:color w:val="000000"/>
        </w:rPr>
        <w:t xml:space="preserve">CP-14. Pago válido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Sandbox Wompi firma válida.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Un pago reconciliado.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Sandbox Wompi firma válida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Un pago reconciliado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39"/>
    <w:bookmarkStart w:id="40" w:name="cp-15.-webhook-adulterado"/>
    <w:p>
      <w:pPr>
        <w:pStyle w:val="Heading3"/>
        <w:keepNext/>
        <w:ind w:firstLine="0"/>
      </w:pPr>
      <w:r>
        <w:rPr>
          <w:color w:val="000000"/>
        </w:rPr>
        <w:t xml:space="preserve">CP-15. Webhook adulterado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Checksum incorrecto.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No se aplica pago.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Checksum incorrecto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No se aplica pago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40"/>
    <w:bookmarkStart w:id="41" w:name="cp-16.-webhook-repetido"/>
    <w:p>
      <w:pPr>
        <w:pStyle w:val="Heading3"/>
        <w:keepNext/>
        <w:ind w:firstLine="0"/>
      </w:pPr>
      <w:r>
        <w:rPr>
          <w:color w:val="000000"/>
        </w:rPr>
        <w:t xml:space="preserve">CP-16. Webhook repetido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Mismo evento dos veces.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Idempotencia.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Mismo evento dos veces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Idempotencia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41"/>
    <w:bookmarkStart w:id="42" w:name="cp-17.-pago-rechazado"/>
    <w:p>
      <w:pPr>
        <w:pStyle w:val="Heading3"/>
        <w:keepNext/>
        <w:ind w:firstLine="0"/>
      </w:pPr>
      <w:r>
        <w:rPr>
          <w:color w:val="000000"/>
        </w:rPr>
        <w:t xml:space="preserve">CP-17. Pago rechazado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Sandbox REJECTED.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No cambiar a pagado.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Sandbox REJECTED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No cambiar a pagado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42"/>
    <w:bookmarkStart w:id="43" w:name="cp-18.-qr-cajero"/>
    <w:p>
      <w:pPr>
        <w:pStyle w:val="Heading3"/>
        <w:keepNext/>
        <w:ind w:firstLine="0"/>
      </w:pPr>
      <w:r>
        <w:rPr>
          <w:color w:val="000000"/>
        </w:rPr>
        <w:t xml:space="preserve">CP-18. QR cajero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Generar link desde turno válido.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Referencia y valor correctos.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Generar link desde turno válido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Referencia y valor correctos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43"/>
    <w:bookmarkStart w:id="44" w:name="cp-19.-cierre-de-caja"/>
    <w:p>
      <w:pPr>
        <w:pStyle w:val="Heading3"/>
        <w:keepNext/>
        <w:ind w:firstLine="0"/>
      </w:pPr>
      <w:r>
        <w:rPr>
          <w:color w:val="000000"/>
        </w:rPr>
        <w:t xml:space="preserve">CP-19. Cierre de caja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Pagos del cajero actual.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No mezcla de empleados.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Pagos del cajero actual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No mezcla de empleados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44"/>
    <w:bookmarkStart w:id="45" w:name="cp-20.-entrega-ajena"/>
    <w:p>
      <w:pPr>
        <w:pStyle w:val="Heading3"/>
        <w:keepNext/>
        <w:ind w:firstLine="0"/>
      </w:pPr>
      <w:r>
        <w:rPr>
          <w:color w:val="000000"/>
        </w:rPr>
        <w:t xml:space="preserve">CP-20. Entrega ajena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Repartidor A pide B.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Acceso rechazado.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Repartidor A pide B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Acceso rechazado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45"/>
    <w:bookmarkStart w:id="46" w:name="cp-21.-calificación"/>
    <w:p>
      <w:pPr>
        <w:pStyle w:val="Heading3"/>
        <w:keepNext/>
        <w:ind w:firstLine="0"/>
      </w:pPr>
      <w:r>
        <w:rPr>
          <w:color w:val="000000"/>
        </w:rPr>
        <w:t xml:space="preserve">CP-21. Calificación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Cliente propietario de entrega.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Guardar solo 1..5.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Cliente propietario de entrega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Guardar solo 1..5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46"/>
    <w:bookmarkStart w:id="47" w:name="cp-22.-signalr"/>
    <w:p>
      <w:pPr>
        <w:pStyle w:val="Heading3"/>
        <w:keepNext/>
        <w:ind w:firstLine="0"/>
      </w:pPr>
      <w:r>
        <w:rPr>
          <w:color w:val="000000"/>
        </w:rPr>
        <w:t xml:space="preserve">CP-22. SignalR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Cliente autorizado suscrito.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Evento recibido/reconexión.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Cliente autorizado suscrito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Evento recibido/reconexión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47"/>
    <w:bookmarkStart w:id="48" w:name="cp-23.-db-falla"/>
    <w:p>
      <w:pPr>
        <w:pStyle w:val="Heading3"/>
        <w:keepNext/>
        <w:ind w:firstLine="0"/>
      </w:pPr>
      <w:r>
        <w:rPr>
          <w:color w:val="000000"/>
        </w:rPr>
        <w:t xml:space="preserve">CP-23. DB falla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Interrumpir motor.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Sin corrupción ni secretos en error.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Interrumpir motor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Sin corrupción ni secretos en error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48"/>
    <w:bookmarkStart w:id="49" w:name="cp-24.-migración"/>
    <w:p>
      <w:pPr>
        <w:pStyle w:val="Heading3"/>
        <w:keepNext/>
        <w:ind w:firstLine="0"/>
      </w:pPr>
      <w:r>
        <w:rPr>
          <w:color w:val="000000"/>
        </w:rPr>
        <w:t xml:space="preserve">CP-24. Migración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BD efímera desde cero.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Schema coherente.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BD efímera desde cero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Schema coherente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49"/>
    <w:bookmarkStart w:id="50" w:name="cp-25.-rollback"/>
    <w:p>
      <w:pPr>
        <w:pStyle w:val="Heading3"/>
        <w:keepNext/>
        <w:ind w:firstLine="0"/>
      </w:pPr>
      <w:r>
        <w:rPr>
          <w:color w:val="000000"/>
        </w:rPr>
        <w:t xml:space="preserve">CP-25. Rollback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Restaurar backup de prueba.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Integridad post-restauración.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Restaurar backup de prueba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Integridad post-restauración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50"/>
    <w:bookmarkStart w:id="51" w:name="cp-26.-carga-http"/>
    <w:p>
      <w:pPr>
        <w:pStyle w:val="Heading3"/>
        <w:keepNext/>
        <w:ind w:firstLine="0"/>
      </w:pPr>
      <w:r>
        <w:rPr>
          <w:color w:val="000000"/>
        </w:rPr>
        <w:t xml:space="preserve">CP-26. Carga HTTP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Carga y duración declaradas.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p50/p95 medidos.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Carga y duración declaradas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p50/p95 medidos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51"/>
    <w:bookmarkStart w:id="52" w:name="cp-27.-usabilidad"/>
    <w:p>
      <w:pPr>
        <w:pStyle w:val="Heading3"/>
        <w:keepNext/>
        <w:ind w:firstLine="0"/>
      </w:pPr>
      <w:r>
        <w:rPr>
          <w:color w:val="000000"/>
        </w:rPr>
        <w:t xml:space="preserve">CP-27. Usabilidad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Objetivo y escenario:</w:t>
      </w:r>
      <w:r>
        <w:t xml:space="preserve"> </w:t>
      </w:r>
      <w:r>
        <w:t xml:space="preserve">Tareas por roles voluntarios.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Tiempos, errores, SUS si aplica.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Preparación:</w:t>
      </w:r>
      <w:r>
        <w:t xml:space="preserve"> </w:t>
      </w:r>
      <w:r>
        <w:t xml:space="preserve">anotar el SHA de los tres repositorios y URL sandbox; reservar base efímera con dos sedes ficticias, al menos tres roles y transacciones de prueba; obtener credenciales desde gestor local seguro.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Ejecución:</w:t>
      </w:r>
      <w:r>
        <w:t xml:space="preserve"> </w:t>
      </w:r>
      <w:r>
        <w:t xml:space="preserve">1) confirmar precondición e identidad; 2) capturar estado inicial; 3) ejecutar estímulo</w:t>
      </w:r>
      <w:r>
        <w:t xml:space="preserve"> </w:t>
      </w:r>
      <w:r>
        <w:rPr>
          <w:rStyle w:val="VerbatimChar"/>
        </w:rPr>
        <w:t xml:space="preserve">Tareas por roles voluntarios</w:t>
      </w:r>
      <w:r>
        <w:t xml:space="preserve"> </w:t>
      </w:r>
      <w:r>
        <w:t xml:space="preserve">por interfaz/API con la autorización pertinente; 4) registrar respuesta HTTP, cambios BD e interfaz; 5) repetir ante escenario negativo o reintento; 6) comprobar</w:t>
      </w:r>
      <w:r>
        <w:t xml:space="preserve"> </w:t>
      </w:r>
      <w:r>
        <w:rPr>
          <w:rStyle w:val="VerbatimChar"/>
        </w:rPr>
        <w:t xml:space="preserve">Tiempos, errores, SUS si aplica</w:t>
      </w:r>
      <w:r>
        <w:t xml:space="preserve"> </w:t>
      </w:r>
      <w:r>
        <w:t xml:space="preserve">y ausencia de efectos colaterales.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Criterio de paso:</w:t>
      </w:r>
      <w:r>
        <w:t xml:space="preserve"> </w:t>
      </w:r>
      <w:r>
        <w:t xml:space="preserve">resultado coincide con contrato y queda evidencia fechada de petición/respuesta sanitizada, log y estado final.</w:t>
      </w:r>
      <w:r>
        <w:t xml:space="preserve"> </w:t>
      </w:r>
      <w:r>
        <w:rPr>
          <w:b/>
          <w:bCs/>
        </w:rPr>
        <w:t xml:space="preserve">Resultado real y defecto:</w:t>
      </w:r>
      <w:r>
        <w:t xml:space="preserve"> </w:t>
      </w:r>
      <w:r>
        <w:t xml:space="preserve">pendientes de ejecutar, no completados por esta documentación.</w:t>
      </w:r>
    </w:p>
    <w:bookmarkEnd w:id="52"/>
    <w:bookmarkEnd w:id="53"/>
    <w:bookmarkStart w:id="54" w:name="casos-complementarios-recomendados"/>
    <w:p>
      <w:pPr>
        <w:pStyle w:val="Heading2"/>
        <w:keepNext/>
        <w:ind w:firstLine="0"/>
      </w:pPr>
      <w:r>
        <w:rPr>
          <w:color w:val="000000"/>
        </w:rPr>
        <w:t xml:space="preserve">9. Casos complementarios recomendados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Categoría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Estímulo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Aprobación esperada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CP-28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Recuperación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código vencido/reusado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 permite cambiar clave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CP-29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Roles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cliente llama admin endpoint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denegación completa sin filtraciones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CP-30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Turnos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empleado sin turno intenta operación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política ActiveShift aplicada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CP-31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Notificaciones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usuario A consulta notificaciones B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prohibición sin datos filtrados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CP-32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Geo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coordenadas fuera de rango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rechazo validado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CP-33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Mesas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dos clientes actualizan mesa en paralelo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sin duplicación de ocupación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CP-34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Reportes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filtro temporal y otra sede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métricas y permisos consistentes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CP-35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Seguridad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CORS con Origin externo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denegación o política esperada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CP-36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Migración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múltiples instancias iniciando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sin corrupción de esquema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CP-37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Cache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cambio de producto al pagar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servidor calcula tarifa coherente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CP-38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Observabilidad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fallo de webhook y log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sin credenciales/PII</w:t>
            </w:r>
          </w:p>
        </w:tc>
      </w:tr>
    </w:tbl>
    <w:bookmarkEnd w:id="54"/>
    <w:bookmarkStart w:id="55" w:name="X53b33d4e3ee758e7db9e8041a068eafdadf54a4"/>
    <w:p>
      <w:pPr>
        <w:pStyle w:val="Heading2"/>
        <w:keepNext/>
        <w:ind w:firstLine="0"/>
      </w:pPr>
      <w:r>
        <w:rPr>
          <w:color w:val="000000"/>
        </w:rPr>
        <w:t xml:space="preserve">10. Plan de pruebas no funcionales y medición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Métrica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Método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Datos requeridos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Interpretación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Latencia p50/p95 API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carga repetible con k6/JMeter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duración, concurrencia, URL, tasas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 comparar sin igual configuración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Capacidad de checkout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pedidos/hora con sandbox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referencias y estados únicos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contar completados, no solo 200 HTTP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SignalR reconexión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corte wifi de clientes simulados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tiempos, eventos recuperados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verificar consistencia tras reconexión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Accesibilidad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axe/Lighthouse + teclado manual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hallazgos WCAG por pantalla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priorizar flujos auth y pago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Usabilidad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guion de tareas voluntarias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éxito, errores, tiempo, consentimiento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 afirmar satisfacción sin participantes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Backup/restore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restauración en entorno aislado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checksums, total filas, relaciones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exigir coincidencia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Seguridad API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OWASP API Top 10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roles, IDs cruzados, propiedades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hallazgo real requiere reproducción</w:t>
            </w:r>
          </w:p>
        </w:tc>
      </w:tr>
    </w:tbl>
    <w:bookmarkEnd w:id="55"/>
    <w:bookmarkStart w:id="56" w:name="X6af7a8e37bbb21c515175b2b6eaf1003d8a80e7"/>
    <w:p>
      <w:pPr>
        <w:pStyle w:val="Heading2"/>
        <w:keepNext/>
        <w:ind w:firstLine="0"/>
      </w:pPr>
      <w:r>
        <w:rPr>
          <w:color w:val="000000"/>
        </w:rPr>
        <w:t xml:space="preserve">11. Gestión profesional de defectos y reporte final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Clasificación:</w:t>
      </w:r>
      <w:r>
        <w:t xml:space="preserve"> </w:t>
      </w:r>
      <w:r>
        <w:t xml:space="preserve">Bloqueante (corrupción o pago indebido), Crítico (escalada de permisos o fuga personal), Mayor (flujo básico inutilizable), Menor (presentación), Mejora (uso).</w:t>
      </w:r>
      <w:r>
        <w:t xml:space="preserve"> </w:t>
      </w:r>
      <w:r>
        <w:rPr>
          <w:b/>
          <w:bCs/>
        </w:rPr>
        <w:t xml:space="preserve">Priorización:</w:t>
      </w:r>
      <w:r>
        <w:t xml:space="preserve"> </w:t>
      </w:r>
      <w:r>
        <w:t xml:space="preserve">impacto × probabilidad × exposición; el revisor valida severidad.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Informe por caso:</w:t>
      </w:r>
      <w:r>
        <w:t xml:space="preserve"> </w:t>
      </w:r>
      <w:r>
        <w:t xml:space="preserve">ID, requerimiento relacionado, SHA, rama, ambiente y timestamp, precondiciones, datos anonimizados, procedimiento exacto, estado esperado, observado, captura, logs, evidencia BD, resultado Pass/Fail/Blocked/Not Run, incidencia y re-ejecución.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Cierre por release:</w:t>
      </w:r>
      <w:r>
        <w:t xml:space="preserve"> </w:t>
      </w:r>
      <w:r>
        <w:t xml:space="preserve">100% casos críticos ejecutados; sin defectos bloqueantes/altos abiertos; integridad Wompi aprobada; aislamiento por sede comprobado; restauración y accesibilidad crítica evaluadas; firma de responsables. Son puertas de calidad recomendadas, no porcentajes de cumplimiento actual.</w:t>
      </w:r>
    </w:p>
    <w:bookmarkEnd w:id="56"/>
    <w:bookmarkStart w:id="57" w:name="fuentes-primarias-de-implementación"/>
    <w:p>
      <w:pPr>
        <w:pStyle w:val="Heading2"/>
        <w:keepNext/>
        <w:ind w:firstLine="0"/>
      </w:pPr>
      <w:r>
        <w:rPr>
          <w:color w:val="000000"/>
        </w:rPr>
        <w:t xml:space="preserve">Fuentes primarias de implementación</w:t>
      </w:r>
    </w:p>
    <w:p>
      <w:pPr>
        <w:pStyle w:val="Compact"/>
        <w:numPr>
          <w:ilvl w:val="0"/>
          <w:numId w:val="1001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1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1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1"/>
        </w:numPr>
      </w:pPr>
      <w:r>
        <w:t xml:space="preserve">Referencia de presentación: https://github.com/jsgh1/SRD-v1/tree/dev/docs/docs-SRD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57"/>
    <w:bookmarkEnd w:id="58"/>
    <w:sectPr>
      <w:headerReference r:id="rId9" w:type="default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  <w:ind w:firstLine="720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120" w:line="480" w:lineRule="auto"/>
      <w:ind w:firstLine="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2026-10-15T00:54:02Z</dcterms:created>
  <dcterms:modified xsi:type="dcterms:W3CDTF">2026-10-15T00:54:02Z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