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100" w:line="480" w:lineRule="auto"/>
        <w:jc w:val="center"/>
      </w:pPr>
      <w:r>
        <w:rPr>
          <w:rFonts w:ascii="Times New Roman" w:hAnsi="Times New Roman"/>
          <w:b/>
          <w:sz w:val="28"/>
        </w:rPr>
        <w:t>02 SaborExpress Analisis del Software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Equipo de desarrollo SaborExpress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Filiación institucional y autores individuales: por confirmar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Estudio académico de ingeniería de software y documentación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r>
        <w:br w:type="page"/>
      </w:r>
    </w:p>
    <w:bookmarkStart w:id="51" w:name="análisis-del-software-saborexpress"/>
    <w:p>
      <w:pPr>
        <w:pStyle w:val="Heading1"/>
        <w:keepNext/>
        <w:ind w:firstLine="0"/>
      </w:pPr>
      <w:r>
        <w:rPr>
          <w:color w:val="000000"/>
        </w:rPr>
        <w:t xml:space="preserve">Análisis del software SaborExpress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roblema-de-negocio"/>
    <w:p>
      <w:pPr>
        <w:pStyle w:val="Heading2"/>
        <w:keepNext/>
        <w:ind w:firstLine="0"/>
      </w:pPr>
      <w:r>
        <w:rPr>
          <w:color w:val="000000"/>
        </w:rPr>
        <w:t xml:space="preserve">1. Problema de negocio</w:t>
      </w:r>
    </w:p>
    <w:p>
      <w:pPr>
        <w:pStyle w:val="FirstParagraph"/>
        <w:spacing w:line="480" w:lineRule="auto" w:after="0"/>
        <w:ind w:firstLine="720"/>
      </w:pPr>
      <w:r>
        <w:t xml:space="preserve">Una operación gastronómica combina catálogo, atención de mesa, cocina, caja, despachos y reparto. Cuando estos procesos usan registros aislados, se incrementa el riesgo de confusión de estados, transcripciones manuales y baja trazabilidad. La solución analizada centraliza contratos y datos de pedidos a través de una API; esto es una justificación de diseño, no una medición real de reducción de errores.</w:t>
      </w:r>
    </w:p>
    <w:bookmarkEnd w:id="20"/>
    <w:bookmarkStart w:id="21" w:name="interesados-y-responsabilidades"/>
    <w:p>
      <w:pPr>
        <w:pStyle w:val="Heading2"/>
        <w:keepNext/>
        <w:ind w:firstLine="0"/>
      </w:pPr>
      <w:r>
        <w:rPr>
          <w:color w:val="000000"/>
        </w:rPr>
        <w:t xml:space="preserve">2. Interesados y responsabilidades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Interesado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Necesidad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Acciones principales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Cliente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Comprar y dar seguimiento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Catálogo, pedido, pago, cancelación, calificación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Cajero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Consolidar transacciones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Pedido, cobro, cierre de turno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Cocina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Atender órdenes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Tablero, cambios de estado por plato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Coordinar sede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Personal, productos, horarios, caja, entregas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Repartidor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Gestionar domicilio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Órdenes asignadas, estatus, ubicación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Gerente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Supervisar operación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Sedes, reportes, permisos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Equipo técnico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Operar y mantener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API, migraciones, logs, incidentes</w:t>
            </w:r>
          </w:p>
        </w:tc>
      </w:tr>
    </w:tbl>
    <w:bookmarkEnd w:id="21"/>
    <w:bookmarkStart w:id="27" w:name="casos-de-uso-principales"/>
    <w:p>
      <w:pPr>
        <w:pStyle w:val="Heading2"/>
        <w:keepNext/>
        <w:ind w:firstLine="0"/>
      </w:pPr>
      <w:r>
        <w:rPr>
          <w:color w:val="000000"/>
        </w:rPr>
        <w:t xml:space="preserve">3. Casos de uso principales</w:t>
      </w:r>
    </w:p>
    <w:bookmarkStart w:id="22" w:name="cu-01.-inicio-de-sesión"/>
    <w:p>
      <w:pPr>
        <w:pStyle w:val="Heading3"/>
        <w:keepNext/>
        <w:ind w:firstLine="0"/>
      </w:pPr>
      <w:r>
        <w:rPr>
          <w:color w:val="000000"/>
        </w:rPr>
        <w:t xml:space="preserve">CU-01. Inicio de sesión</w:t>
      </w:r>
    </w:p>
    <w:p>
      <w:pPr>
        <w:pStyle w:val="FirstParagraph"/>
        <w:spacing w:line="480" w:lineRule="auto" w:after="0"/>
        <w:ind w:firstLine="720"/>
      </w:pPr>
      <w:r>
        <w:t xml:space="preserve">Precondición: usuario registrado. Flujo: introducir credenciales → enviar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→ recibir respuesta o error controlado → habilitar rutas conforme a roles. Excepciones: cuenta no activada, correo sin confirmar, intentos fallidos, token inválido. Postcondición: sesión autenticada según el contrato de la API.</w:t>
      </w:r>
    </w:p>
    <w:bookmarkEnd w:id="22"/>
    <w:bookmarkStart w:id="23" w:name="cu-02.-gestión-del-catálogo"/>
    <w:p>
      <w:pPr>
        <w:pStyle w:val="Heading3"/>
        <w:keepNext/>
        <w:ind w:firstLine="0"/>
      </w:pPr>
      <w:r>
        <w:rPr>
          <w:color w:val="000000"/>
        </w:rPr>
        <w:t xml:space="preserve">CU-02. Gestión del catálogo</w:t>
      </w:r>
    </w:p>
    <w:p>
      <w:pPr>
        <w:pStyle w:val="FirstParagraph"/>
        <w:spacing w:line="480" w:lineRule="auto" w:after="0"/>
        <w:ind w:firstLine="720"/>
      </w:pPr>
      <w:r>
        <w:t xml:space="preserve">Precondición: sede o catálogo disponible. Flujo:</w:t>
      </w:r>
      <w:r>
        <w:t xml:space="preserve"> </w:t>
      </w:r>
      <w:r>
        <w:rPr>
          <w:rStyle w:val="VerbatimChar"/>
        </w:rPr>
        <w:t xml:space="preserve">GET /api/Products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branchId</w:t>
      </w:r>
      <w:r>
        <w:t xml:space="preserve"> </w:t>
      </w:r>
      <w:r>
        <w:t xml:space="preserve">opcional, elegir productos, consultar categorías. Actor administrador puede crear, modificar o inhabilitar productos bajo permisos específicos. Excepciones: producto inexistente, sede inactiva, error de imagen.</w:t>
      </w:r>
    </w:p>
    <w:bookmarkEnd w:id="23"/>
    <w:bookmarkStart w:id="24" w:name="cu-03.-pedido-y-cocina"/>
    <w:p>
      <w:pPr>
        <w:pStyle w:val="Heading3"/>
        <w:keepNext/>
        <w:ind w:firstLine="0"/>
      </w:pPr>
      <w:r>
        <w:rPr>
          <w:color w:val="000000"/>
        </w:rPr>
        <w:t xml:space="preserve">CU-03. Pedido y cocina</w:t>
      </w:r>
    </w:p>
    <w:p>
      <w:pPr>
        <w:pStyle w:val="FirstParagraph"/>
        <w:spacing w:line="480" w:lineRule="auto" w:after="0"/>
        <w:ind w:firstLine="720"/>
      </w:pPr>
      <w:r>
        <w:t xml:space="preserve">El usuario selecciona detalles, cantidades y tipo (comer en sitio, para llevar o domicilio). Se envía</w:t>
      </w:r>
      <w:r>
        <w:t xml:space="preserve"> </w:t>
      </w:r>
      <w:r>
        <w:rPr>
          <w:rStyle w:val="VerbatimChar"/>
        </w:rPr>
        <w:t xml:space="preserve">POST /api/Orders</w:t>
      </w:r>
      <w:r>
        <w:t xml:space="preserve">; el personal consulta vistas filtradas y actualiza estado mediante PATCH. El tablero de cocina atiende etapas operativas; se deben demostrar las transiciones válidas en pruebas futuras.</w:t>
      </w:r>
    </w:p>
    <w:bookmarkEnd w:id="24"/>
    <w:bookmarkStart w:id="25" w:name="cu-04.-cobro-por-pasarela"/>
    <w:p>
      <w:pPr>
        <w:pStyle w:val="Heading3"/>
        <w:keepNext/>
        <w:ind w:firstLine="0"/>
      </w:pPr>
      <w:r>
        <w:rPr>
          <w:color w:val="000000"/>
        </w:rPr>
        <w:t xml:space="preserve">CU-04. Cobro por pasarela</w:t>
      </w:r>
    </w:p>
    <w:p>
      <w:pPr>
        <w:pStyle w:val="FirstParagraph"/>
        <w:spacing w:line="480" w:lineRule="auto" w:after="0"/>
        <w:ind w:firstLine="720"/>
      </w:pPr>
      <w:r>
        <w:t xml:space="preserve">Se inicia la transacción con Wompi; el backend genera una referencia y expone un webhook para confirmación de eventos externos. La sincronización por ID funciona como alternativa de consulta. Riesgos: firmas erróneas, eventos duplicados, carrera entre confirmación y cancelación, latencia del proveedor.</w:t>
      </w:r>
    </w:p>
    <w:bookmarkEnd w:id="25"/>
    <w:bookmarkStart w:id="26" w:name="cu-05.-domicilio-y-entrega"/>
    <w:p>
      <w:pPr>
        <w:pStyle w:val="Heading3"/>
        <w:keepNext/>
        <w:ind w:firstLine="0"/>
      </w:pPr>
      <w:r>
        <w:rPr>
          <w:color w:val="000000"/>
        </w:rPr>
        <w:t xml:space="preserve">CU-05. Domicilio y entrega</w:t>
      </w:r>
    </w:p>
    <w:p>
      <w:pPr>
        <w:pStyle w:val="FirstParagraph"/>
        <w:spacing w:line="480" w:lineRule="auto" w:after="0"/>
        <w:ind w:firstLine="720"/>
      </w:pPr>
      <w:r>
        <w:t xml:space="preserve">Gerente o administrador asigna entrega; repartidor consulta sus órdenes, actualiza estados, cliente califica. Se deben validar reglas de privacidad y segregación por sede.</w:t>
      </w:r>
    </w:p>
    <w:bookmarkEnd w:id="26"/>
    <w:bookmarkEnd w:id="27"/>
    <w:bookmarkStart w:id="28" w:name="flujos-de-información"/>
    <w:p>
      <w:pPr>
        <w:pStyle w:val="Heading2"/>
        <w:keepNext/>
        <w:ind w:firstLine="0"/>
      </w:pPr>
      <w:r>
        <w:rPr>
          <w:color w:val="000000"/>
        </w:rPr>
        <w:t xml:space="preserve">4. Flujos de información</w:t>
      </w:r>
    </w:p>
    <w:p>
      <w:pPr>
        <w:pStyle w:val="FirstParagraph"/>
        <w:spacing w:line="480" w:lineRule="auto" w:after="0"/>
        <w:ind w:firstLine="720"/>
      </w:pPr>
      <w:r>
        <w:rPr>
          <w:rStyle w:val="VerbatimChar"/>
        </w:rPr>
        <w:t xml:space="preserve">Interfaz → servicio de cliente → HTTP/JWT → controlador → servicio de dominio → repositorio/EF → BD</w:t>
      </w:r>
      <w:r>
        <w:t xml:space="preserve">. Para notificaciones:</w:t>
      </w:r>
      <w:r>
        <w:t xml:space="preserve"> </w:t>
      </w:r>
      <w:r>
        <w:rPr>
          <w:rStyle w:val="VerbatimChar"/>
        </w:rPr>
        <w:t xml:space="preserve">evento de negocio → notificación → hub SignalR → cliente suscrito</w:t>
      </w:r>
      <w:r>
        <w:t xml:space="preserve">; el código del Hub prueba su existencia, no la garantía de entrega.</w:t>
      </w:r>
    </w:p>
    <w:bookmarkEnd w:id="28"/>
    <w:bookmarkStart w:id="29" w:name="escenarios-excepcionales-y-riesgos"/>
    <w:p>
      <w:pPr>
        <w:pStyle w:val="Heading2"/>
        <w:keepNext/>
        <w:ind w:firstLine="0"/>
      </w:pPr>
      <w:r>
        <w:rPr>
          <w:color w:val="000000"/>
        </w:rPr>
        <w:t xml:space="preserve">5. Escenarios excepcionales y riesgos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Escenario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Comportamiento esperado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 pendiente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JWT expirado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401 y renovación guiada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Token caducado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Acceso a otra sede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403 sin filtrar información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Prueba cruzada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Webhook repetido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No duplicar pago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Repetición mismo evento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Falla de base de datos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Respuesta controlada + recuperación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Interrupción de DB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Pérdida de SignalR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Reintento o estado reconciliado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Reconexión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Dirección inválida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Validación sin pedido inconsistente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Caso domicilio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Estado de cocina incompatible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Rechazo de transición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Secuencia inválida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EX-08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Pago rechazado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Pedido no aparece abonado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Sandbox Wompi</w:t>
            </w:r>
          </w:p>
        </w:tc>
      </w:tr>
    </w:tbl>
    <w:bookmarkEnd w:id="29"/>
    <w:bookmarkStart w:id="30" w:name="análisis-de-viabilidad"/>
    <w:p>
      <w:pPr>
        <w:pStyle w:val="Heading2"/>
        <w:keepNext/>
        <w:ind w:firstLine="0"/>
      </w:pPr>
      <w:r>
        <w:rPr>
          <w:color w:val="000000"/>
        </w:rPr>
        <w:t xml:space="preserve">6. Análisis de viabilidad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Técnica:</w:t>
      </w:r>
      <w:r>
        <w:t xml:space="preserve"> </w:t>
      </w:r>
      <w:r>
        <w:t xml:space="preserve">el stack identificado dispone de bibliotecas y convenciones para la integración.</w:t>
      </w:r>
      <w:r>
        <w:t xml:space="preserve"> </w:t>
      </w:r>
      <w:r>
        <w:rPr>
          <w:b/>
          <w:bCs/>
        </w:rPr>
        <w:t xml:space="preserve">Operativa:</w:t>
      </w:r>
      <w:r>
        <w:t xml:space="preserve"> </w:t>
      </w:r>
      <w:r>
        <w:t xml:space="preserve">requiere roles, política de turnos y manuales por actor.</w:t>
      </w:r>
      <w:r>
        <w:t xml:space="preserve"> </w:t>
      </w:r>
      <w:r>
        <w:rPr>
          <w:b/>
          <w:bCs/>
        </w:rPr>
        <w:t xml:space="preserve">Financiera:</w:t>
      </w:r>
      <w:r>
        <w:t xml:space="preserve"> </w:t>
      </w:r>
      <w:r>
        <w:t xml:space="preserve">no hay datos reales de costos operativos, por lo que no se presenta ROI; se incluye una matriz de rubros a cotizar.</w:t>
      </w:r>
      <w:r>
        <w:t xml:space="preserve"> </w:t>
      </w:r>
      <w:r>
        <w:rPr>
          <w:b/>
          <w:bCs/>
        </w:rPr>
        <w:t xml:space="preserve">Jurídica y de privacidad:</w:t>
      </w:r>
      <w:r>
        <w:t xml:space="preserve"> </w:t>
      </w:r>
      <w:r>
        <w:t xml:space="preserve">se requiere política de tratamiento de datos, términos y controles de seguridad para operación real.</w:t>
      </w:r>
    </w:p>
    <w:bookmarkEnd w:id="30"/>
    <w:bookmarkStart w:id="31" w:name="hallazgos-y-decisiones-abiertas"/>
    <w:p>
      <w:pPr>
        <w:pStyle w:val="Heading2"/>
        <w:keepNext/>
        <w:ind w:firstLine="0"/>
      </w:pPr>
      <w:r>
        <w:rPr>
          <w:color w:val="000000"/>
        </w:rPr>
        <w:t xml:space="preserve">7. Hallazgos y decisiones abiertas</w:t>
      </w:r>
    </w:p>
    <w:p>
      <w:pPr>
        <w:pStyle w:val="FirstParagraph"/>
        <w:spacing w:line="480" w:lineRule="auto" w:after="0"/>
        <w:ind w:firstLine="720"/>
      </w:pPr>
      <w:r>
        <w:t xml:space="preserve">Los controladores contienen numerosas operaciones, pero el repositorio no demuestra por sí solo la cobertura de tests, permisos en profundidad ni consistencia multi-proveedor de las migraciones. 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del repositorio documental describía Supabase como backend principal, contradiciendo el proyecto .NET inspeccionado; esta versión lo corrige.</w:t>
      </w:r>
    </w:p>
    <w:bookmarkEnd w:id="31"/>
    <w:bookmarkStart w:id="46" w:name="fichas-ampliadas-de-casos-de-uso"/>
    <w:p>
      <w:pPr>
        <w:pStyle w:val="Heading2"/>
        <w:keepNext/>
        <w:ind w:firstLine="0"/>
      </w:pPr>
      <w:r>
        <w:rPr>
          <w:color w:val="000000"/>
        </w:rPr>
        <w:t xml:space="preserve">8. Fichas ampliadas de casos de uso</w:t>
      </w:r>
    </w:p>
    <w:p>
      <w:pPr>
        <w:pStyle w:val="FirstParagraph"/>
        <w:spacing w:line="480" w:lineRule="auto" w:after="0"/>
        <w:ind w:firstLine="720"/>
      </w:pPr>
      <w:r>
        <w:t xml:space="preserve">Los siguientes casos representan flujos reconstruidos desde los contratos conocidos; cada paso debe contrastarse con el servicio y el frontend antes de aprobarse como comportamiento implantado.</w:t>
      </w:r>
    </w:p>
    <w:bookmarkStart w:id="32" w:name="cu-01.-autenticación"/>
    <w:p>
      <w:pPr>
        <w:pStyle w:val="Heading3"/>
        <w:keepNext/>
        <w:ind w:firstLine="0"/>
      </w:pPr>
      <w:r>
        <w:rPr>
          <w:color w:val="000000"/>
        </w:rPr>
        <w:t xml:space="preserve">CU-01. Autenticación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Usuario.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RF-01 RF-02.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Usuario activo, servicio Auth accesible.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Suministra credenciales; backend verifica; rol autoriza cliente;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Sesión creada según respuesta real.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Usuario no confirmado, bloqueo por intentos, token expirado.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2"/>
    <w:bookmarkStart w:id="33" w:name="cu-02.-catálogo-por-sede"/>
    <w:p>
      <w:pPr>
        <w:pStyle w:val="Heading3"/>
        <w:keepNext/>
        <w:ind w:firstLine="0"/>
      </w:pPr>
      <w:r>
        <w:rPr>
          <w:color w:val="000000"/>
        </w:rPr>
        <w:t xml:space="preserve">CU-02. Catálogo por sede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Cliente.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RF-08 RF-09.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Productos globales y por sede preparados.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Selecciona sede; lista catálogo; filtra categoría;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Lista consistente con sucursal.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Producto deshabilitado, sede inactiva.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3"/>
    <w:bookmarkStart w:id="34" w:name="cu-03.-pedido-para-mesa"/>
    <w:p>
      <w:pPr>
        <w:pStyle w:val="Heading3"/>
        <w:keepNext/>
        <w:ind w:firstLine="0"/>
      </w:pPr>
      <w:r>
        <w:rPr>
          <w:color w:val="000000"/>
        </w:rPr>
        <w:t xml:space="preserve">CU-03. Pedido para mesa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Mesero/Cajero.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RF-10 RF-24.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Mesa elegible y empleado con turno.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Elige mesa, productos, cantidades; registra orden;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Orden con BranchId y TableId.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Mesa incorrecta, precio desactualizado.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4"/>
    <w:bookmarkStart w:id="35" w:name="cu-04.-pedido-para-domicilio"/>
    <w:p>
      <w:pPr>
        <w:pStyle w:val="Heading3"/>
        <w:keepNext/>
        <w:ind w:firstLine="0"/>
      </w:pPr>
      <w:r>
        <w:rPr>
          <w:color w:val="000000"/>
        </w:rPr>
        <w:t xml:space="preserve">CU-04. Pedido para domicilio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Cliente.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RF-10 RF-23.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Dirección válida y sede operativa.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Elige canal domicilio; registra detalles y dirección;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Order.AddressId presente según regla del servicio.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Dirección ajena, radio fuera de cobertura.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5"/>
    <w:bookmarkStart w:id="36" w:name="cu-05.-actualización-de-cocina"/>
    <w:p>
      <w:pPr>
        <w:pStyle w:val="Heading3"/>
        <w:keepNext/>
        <w:ind w:firstLine="0"/>
      </w:pPr>
      <w:r>
        <w:rPr>
          <w:color w:val="000000"/>
        </w:rPr>
        <w:t xml:space="preserve">CU-05. Actualización de cocina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Cocinero.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RF-12 RF-22.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Pedido pendiente según política.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Abre tablero y marca nuevas etapas;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Estado persistido y reflejado en clientes.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Dos cambios simultáneos, turno inválido.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6"/>
    <w:bookmarkStart w:id="37" w:name="cu-06.-cancelación-del-pedido"/>
    <w:p>
      <w:pPr>
        <w:pStyle w:val="Heading3"/>
        <w:keepNext/>
        <w:ind w:firstLine="0"/>
      </w:pPr>
      <w:r>
        <w:rPr>
          <w:color w:val="000000"/>
        </w:rPr>
        <w:t xml:space="preserve">CU-06. Cancelación del pedido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Cliente.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RF-13.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El titular posee pedido en estado cancelable.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Consulta y cancela desde su sesión;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Cancelación auditable.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No propietario, pago pendiente.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7"/>
    <w:bookmarkStart w:id="38" w:name="cu-07.-pago-presencial"/>
    <w:p>
      <w:pPr>
        <w:pStyle w:val="Heading3"/>
        <w:keepNext/>
        <w:ind w:firstLine="0"/>
      </w:pPr>
      <w:r>
        <w:rPr>
          <w:color w:val="000000"/>
        </w:rPr>
        <w:t xml:space="preserve">CU-07. Pago presencial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Cajero.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RF-14.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Cuenta autorizada con turno activo.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Registra monto, medio y conciliación;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Payment asociada a Order.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Doble registro, sobrepago.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8"/>
    <w:bookmarkStart w:id="39" w:name="cu-08.-pago-wompi"/>
    <w:p>
      <w:pPr>
        <w:pStyle w:val="Heading3"/>
        <w:keepNext/>
        <w:ind w:firstLine="0"/>
      </w:pPr>
      <w:r>
        <w:rPr>
          <w:color w:val="000000"/>
        </w:rPr>
        <w:t xml:space="preserve">CU-08. Pago Wompi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Cliente.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RF-15 RF-16.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Pedido, ambiente Wompi configurado.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Solicita init; paga en pasarela; recibe webhook;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Estado no se adelanta antes de verificación.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Firma inválida, devolución, webhook duplicado.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39"/>
    <w:bookmarkStart w:id="40" w:name="cu-09.-pago-por-qr"/>
    <w:p>
      <w:pPr>
        <w:pStyle w:val="Heading3"/>
        <w:keepNext/>
        <w:ind w:firstLine="0"/>
      </w:pPr>
      <w:r>
        <w:rPr>
          <w:color w:val="000000"/>
        </w:rPr>
        <w:t xml:space="preserve">CU-09. Pago por QR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Cajero.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RF-17.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Pedido válido y permisos vigentes.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Obtiene QR/referencia; presenta al cliente;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Pago conciliado tras evento auténtico.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Referencia caducada, múltiples QR.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0"/>
    <w:bookmarkStart w:id="41" w:name="cu-10.-asignación-de-domicilio"/>
    <w:p>
      <w:pPr>
        <w:pStyle w:val="Heading3"/>
        <w:keepNext/>
        <w:ind w:firstLine="0"/>
      </w:pPr>
      <w:r>
        <w:rPr>
          <w:color w:val="000000"/>
        </w:rPr>
        <w:t xml:space="preserve">CU-10. Asignación de domicilio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Gerente/Admin.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RF-18.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Orden domicilio y empleado elegible.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Designa repartidor y crea Delivery;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Relación única coherente.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Repartidor de otra sede.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1"/>
    <w:bookmarkStart w:id="42" w:name="cu-11.-entrega-a-domicilio"/>
    <w:p>
      <w:pPr>
        <w:pStyle w:val="Heading3"/>
        <w:keepNext/>
        <w:ind w:firstLine="0"/>
      </w:pPr>
      <w:r>
        <w:rPr>
          <w:color w:val="000000"/>
        </w:rPr>
        <w:t xml:space="preserve">CU-11. Entrega a domicilio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Repartidor.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RF-19.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Entrega asignada.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Consulta su tarea y cambia etapa;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Estado entregado bajo política.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Empleado no titular, status inválido.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2"/>
    <w:bookmarkStart w:id="43" w:name="cu-12.-calificación"/>
    <w:p>
      <w:pPr>
        <w:pStyle w:val="Heading3"/>
        <w:keepNext/>
        <w:ind w:firstLine="0"/>
      </w:pPr>
      <w:r>
        <w:rPr>
          <w:color w:val="000000"/>
        </w:rPr>
        <w:t xml:space="preserve">CU-12. Calificación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Cliente.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RF-20.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Entrega finalizada de su orden.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Califica con puntuación y comentario;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Rating 1..5 asociada a Delivery.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Tercero o repetición no autorizada.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3"/>
    <w:bookmarkStart w:id="44" w:name="cu-13.-administración-de-sedes"/>
    <w:p>
      <w:pPr>
        <w:pStyle w:val="Heading3"/>
        <w:keepNext/>
        <w:ind w:firstLine="0"/>
      </w:pPr>
      <w:r>
        <w:rPr>
          <w:color w:val="000000"/>
        </w:rPr>
        <w:t xml:space="preserve">CU-13. Administración de sedes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Gerente.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RF-04 RF-05.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Privilegios de gerente.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Crea/edita sede con datos operativos;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Sucursal actualizada.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Administrador de sede ajena.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4"/>
    <w:bookmarkStart w:id="45" w:name="cu-14.-notificación-en-tiempo-real"/>
    <w:p>
      <w:pPr>
        <w:pStyle w:val="Heading3"/>
        <w:keepNext/>
        <w:ind w:firstLine="0"/>
      </w:pPr>
      <w:r>
        <w:rPr>
          <w:color w:val="000000"/>
        </w:rPr>
        <w:t xml:space="preserve">CU-14. Notificación en tiempo real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Actor primario:</w:t>
      </w:r>
      <w:r>
        <w:t xml:space="preserve"> </w:t>
      </w:r>
      <w:r>
        <w:t xml:space="preserve">Usuario operativo.</w:t>
      </w:r>
      <w:r>
        <w:t xml:space="preserve"> </w:t>
      </w:r>
      <w:r>
        <w:rPr>
          <w:b/>
          <w:bCs/>
        </w:rPr>
        <w:t xml:space="preserve">Trazabilidad:</w:t>
      </w:r>
      <w:r>
        <w:t xml:space="preserve"> </w:t>
      </w:r>
      <w:r>
        <w:t xml:space="preserve">RF-21 RF-22.</w:t>
      </w:r>
      <w:r>
        <w:t xml:space="preserve"> </w:t>
      </w:r>
      <w:r>
        <w:rPr>
          <w:b/>
          <w:bCs/>
        </w:rPr>
        <w:t xml:space="preserve">Interesados secundarios:</w:t>
      </w:r>
      <w:r>
        <w:t xml:space="preserve"> </w:t>
      </w:r>
      <w:r>
        <w:t xml:space="preserve">servicio API, base de datos y/o pasarela según flujo.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Precondición:</w:t>
      </w:r>
      <w:r>
        <w:t xml:space="preserve"> </w:t>
      </w:r>
      <w:r>
        <w:t xml:space="preserve">Sesión autorizada y Hub disponible.</w:t>
      </w:r>
      <w:r>
        <w:t xml:space="preserve"> </w:t>
      </w:r>
      <w:r>
        <w:rPr>
          <w:b/>
          <w:bCs/>
        </w:rPr>
        <w:t xml:space="preserve">Flujo normal:</w:t>
      </w:r>
      <w:r>
        <w:t xml:space="preserve"> </w:t>
      </w:r>
      <w:r>
        <w:t xml:space="preserve">1) iniciar operación en interfaz; 2) comprobar autorización; 3) Se conecta a SignalR y atiende evento; 4) observar respuesta REST o confirmación de pasarela; 5) mostrar estado actualizado y conservar registro.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Postcondición:</w:t>
      </w:r>
      <w:r>
        <w:t xml:space="preserve"> </w:t>
      </w:r>
      <w:r>
        <w:t xml:space="preserve">Cliente reconcilia estado con REST.</w:t>
      </w:r>
      <w:r>
        <w:t xml:space="preserve"> </w:t>
      </w:r>
      <w:r>
        <w:rPr>
          <w:b/>
          <w:bCs/>
        </w:rPr>
        <w:t xml:space="preserve">Eventos excepcionales:</w:t>
      </w:r>
      <w:r>
        <w:t xml:space="preserve"> </w:t>
      </w:r>
      <w:r>
        <w:t xml:space="preserve">Red caída, duplicado, conexión sin permisos. Ante fallos se debe evitar duplicar el efecto de negocio y exponer información sensible.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Aceptación propuesta:</w:t>
      </w:r>
      <w:r>
        <w:t xml:space="preserve"> </w:t>
      </w:r>
      <w:r>
        <w:t xml:space="preserve">ejecutar caso positivo y negativo, guardar peticiones/respuestas anonimizadas, evidencia de BD y verificación del cliente con SHA y fecha.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pendiente de ensayo.</w:t>
      </w:r>
    </w:p>
    <w:bookmarkEnd w:id="45"/>
    <w:bookmarkEnd w:id="46"/>
    <w:bookmarkStart w:id="47" w:name="modelo-de-actores-permisos-y-límites"/>
    <w:p>
      <w:pPr>
        <w:pStyle w:val="Heading2"/>
        <w:keepNext/>
        <w:ind w:firstLine="0"/>
      </w:pPr>
      <w:r>
        <w:rPr>
          <w:color w:val="000000"/>
        </w:rPr>
        <w:t xml:space="preserve">9. Modelo de actores, permisos y límites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Datos propios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Operación usual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Riesgo crítico de autorización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Cliente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pedidos, direcciones y perfil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consulta propia, pedidos, pago, cancelación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IDOR: acceder a pedido ajeno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Cajero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caja de turno, pedidos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cobro presencial, QR, cierre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mezclar pagos de otro empleado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Mesero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mesas y órdenes de sede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tomar/editar pedido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editar mesas fuera de sede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Cocinero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cola de preparación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cambiar estado de cocina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elevar permiso administrativo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Repartidor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entregas asignadas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actualizar estado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leer/modificar reparto ajeno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sede, equipo, catálogo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configuración y turnos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saltar aislamiento de sucursales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Gerente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múltiples sedes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alta, supervisión y reportes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exposición de perfiles personales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Sistema externo Wompi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evento firmado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webhook de pago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suplantación / repetición</w:t>
            </w:r>
          </w:p>
        </w:tc>
      </w:tr>
    </w:tbl>
    <w:bookmarkEnd w:id="47"/>
    <w:bookmarkStart w:id="48" w:name="reglas-y-excepciones-por-agregado"/>
    <w:p>
      <w:pPr>
        <w:pStyle w:val="Heading2"/>
        <w:keepNext/>
        <w:ind w:firstLine="0"/>
      </w:pPr>
      <w:r>
        <w:rPr>
          <w:color w:val="000000"/>
        </w:rPr>
        <w:t xml:space="preserve">10. Reglas y excepciones por agregado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Pedido:</w:t>
      </w:r>
      <w:r>
        <w:t xml:space="preserve"> </w:t>
      </w:r>
      <w:r>
        <w:t xml:space="preserve">la entidad Order mantiene asociación obligatoria a Branch y opcionales a Customer, Employee, Table y Address. No se debe suponer un único canal: validar diferencias de DineIn, ToGo y Delivery en los servicios. La suma total es un cálculo del servidor; el cliente no es autoridad monetaria.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Pago:</w:t>
      </w:r>
      <w:r>
        <w:t xml:space="preserve"> </w:t>
      </w:r>
      <w:r>
        <w:t xml:space="preserve">cada Payment tiene OrderId y Amount; los campos WompiReference y WompiTransactionId vinculan las actualizaciones externas. Se recomienda unicidad lógica por referencia y transacción; su implementación física debe comprobarse en configuraciones EF. Un webhook válido no debe cambiar dos veces el saldo.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Entrega:</w:t>
      </w:r>
      <w:r>
        <w:t xml:space="preserve"> </w:t>
      </w:r>
      <w:r>
        <w:t xml:space="preserve">Delivery referencia Order, Address y DeliveryPersonId; verificación de sede y titular debe ejecutarse en servicios, no solo en pantallas. La calificación requiere identidad del propietario, rango válido y criterio explícito de repetición.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Catálogo:</w:t>
      </w:r>
      <w:r>
        <w:t xml:space="preserve"> </w:t>
      </w:r>
      <w:r>
        <w:t xml:space="preserve">Product.BranchId nullable distingue productos globales de específicos de una sede; el cliente no debe ver estados internos o productos deshabilitados según las reglas reales del servicio.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Sesión/turno:</w:t>
      </w:r>
      <w:r>
        <w:t xml:space="preserve"> </w:t>
      </w:r>
      <w:r>
        <w:t xml:space="preserve">Program.cs registra ActiveShift, pero cada controlador puede tener atributos distintos; elaborar matriz endpoint-rol-turno con la implementación completa.</w:t>
      </w:r>
    </w:p>
    <w:bookmarkEnd w:id="48"/>
    <w:bookmarkStart w:id="49" w:name="viabilidad-y-supuestos-de-la-solución"/>
    <w:p>
      <w:pPr>
        <w:pStyle w:val="Heading2"/>
        <w:keepNext/>
        <w:ind w:firstLine="0"/>
      </w:pPr>
      <w:r>
        <w:rPr>
          <w:color w:val="000000"/>
        </w:rPr>
        <w:t xml:space="preserve">11. Viabilidad y supuestos de la solución</w:t>
      </w:r>
    </w:p>
    <w:p>
      <w:pPr>
        <w:pStyle w:val="FirstParagraph"/>
        <w:spacing w:line="480" w:lineRule="auto" w:after="0"/>
        <w:ind w:firstLine="720"/>
      </w:pPr>
      <w:r>
        <w:t xml:space="preserve">La viabilidad técnica se fundamenta en proyectos existentes con tecnologías de soporte amplio, aunque faltan pruebas de compilación y despliegue reproducible. La viabilidad económica exige presupuestar cómputo, almacenamiento, copias, correo, dominio, transacciones y soporte, y medir ingresos/costos: no se calcula retorno de inversión sin datos. La viabilidad operativa depende de conectividad, capacitación de caja, procedimientos de cocina, teléfonos del personal y funcionamiento de la pasarela. La viabilidad regulatoria demanda análisis de tratamiento de datos personales, retención y condiciones contractuales de la pasarela, sin que este informe constituya dictamen legal.</w:t>
      </w:r>
    </w:p>
    <w:p>
      <w:pPr>
        <w:pStyle w:val="BodyText"/>
        <w:spacing w:line="480" w:lineRule="auto" w:after="0"/>
        <w:ind w:firstLine="720"/>
      </w:pPr>
      <w:r>
        <w:rPr>
          <w:b/>
          <w:bCs/>
        </w:rPr>
        <w:t xml:space="preserve">Supuestos a validar:</w:t>
      </w:r>
      <w:r>
        <w:t xml:space="preserve"> </w:t>
      </w:r>
      <w:r>
        <w:t xml:space="preserve">un negocio con varias sedes, un backend central, cuentas diferenciadas por rol y conectividad móvil.</w:t>
      </w:r>
      <w:r>
        <w:t xml:space="preserve"> </w:t>
      </w:r>
      <w:r>
        <w:rPr>
          <w:b/>
          <w:bCs/>
        </w:rPr>
        <w:t xml:space="preserve">Restricciones:</w:t>
      </w:r>
      <w:r>
        <w:t xml:space="preserve"> </w:t>
      </w:r>
      <w:r>
        <w:t xml:space="preserve">llamadas REST autorizadas, gestión de credenciales y conciliación de pagos.</w:t>
      </w:r>
      <w:r>
        <w:t xml:space="preserve"> </w:t>
      </w:r>
      <w:r>
        <w:rPr>
          <w:b/>
          <w:bCs/>
        </w:rPr>
        <w:t xml:space="preserve">Dependencias críticas:</w:t>
      </w:r>
      <w:r>
        <w:t xml:space="preserve"> </w:t>
      </w:r>
      <w:r>
        <w:t xml:space="preserve">plataforma de datos, Wompi, conectividad y dispositivos de cajeros y repartidores.</w:t>
      </w:r>
    </w:p>
    <w:bookmarkEnd w:id="49"/>
    <w:bookmarkStart w:id="50" w:name="fuentes-primarias-de-implementación"/>
    <w:p>
      <w:pPr>
        <w:pStyle w:val="Heading2"/>
        <w:keepNext/>
        <w:ind w:firstLine="0"/>
      </w:pPr>
      <w:r>
        <w:rPr>
          <w:color w:val="000000"/>
        </w:rP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  <w:spacing w:line="480" w:lineRule="auto" w:after="0"/>
        <w:ind w:firstLine="72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50"/>
    <w:bookmarkEnd w:id="51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  <w:ind w:firstLine="7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120" w:line="480" w:lineRule="auto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2026-10-15T00:54:02Z</dcterms:created>
  <dcterms:modified xsi:type="dcterms:W3CDTF">2026-10-15T00:54:02Z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