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100" w:line="480" w:lineRule="auto"/>
        <w:jc w:val="center"/>
      </w:pPr>
      <w:r>
        <w:rPr>
          <w:rFonts w:ascii="Times New Roman" w:hAnsi="Times New Roman"/>
          <w:b/>
          <w:sz w:val="28"/>
        </w:rPr>
        <w:t>03 Acciones correctivas preventivas mejoramiento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Equipo de desarrollo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Filiación institucional y autores individuales: por confirmar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Estudio académico de ingeniería de software y documentación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r>
        <w:br w:type="page"/>
      </w:r>
    </w:p>
    <w:bookmarkStart w:id="37" w:name="Xe8eb190eb1518facb49ca4804e9e0424396435d"/>
    <w:p>
      <w:pPr>
        <w:pStyle w:val="Heading1"/>
        <w:keepNext/>
        <w:ind w:firstLine="0"/>
      </w:pPr>
      <w:r>
        <w:rPr>
          <w:color w:val="000000"/>
        </w:rPr>
        <w:t xml:space="preserve">Acciones correctivas, preventivas y plan de mejoramiento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criterio-de-evaluación"/>
    <w:p>
      <w:pPr>
        <w:pStyle w:val="Heading2"/>
        <w:keepNext/>
        <w:ind w:firstLine="0"/>
      </w:pPr>
      <w:r>
        <w:rPr>
          <w:color w:val="000000"/>
        </w:rPr>
        <w:t xml:space="preserve">1. Criterio de evaluación</w:t>
      </w:r>
    </w:p>
    <w:p>
      <w:pPr>
        <w:pStyle w:val="FirstParagraph"/>
        <w:spacing w:line="480" w:lineRule="auto" w:after="0"/>
        <w:ind w:firstLine="720"/>
      </w:pPr>
      <w:r>
        <w:t xml:space="preserve">Se clasifican riesgos observables en diseño/código y brechas de evidencia. Se habla de</w:t>
      </w:r>
      <w:r>
        <w:t xml:space="preserve"> </w:t>
      </w:r>
      <w:r>
        <w:rPr>
          <w:b/>
          <w:bCs/>
        </w:rPr>
        <w:t xml:space="preserve">recomendaciones de corrección</w:t>
      </w:r>
      <w:r>
        <w:t xml:space="preserve">, no de vulnerabilidades explotadas o incidentes reales, porque no se ejecutaron pruebas de seguridad ni explotación.</w:t>
      </w:r>
    </w:p>
    <w:bookmarkEnd w:id="20"/>
    <w:bookmarkStart w:id="21" w:name="registro-de-acciones"/>
    <w:p>
      <w:pPr>
        <w:pStyle w:val="Heading2"/>
        <w:keepNext/>
        <w:ind w:firstLine="0"/>
      </w:pPr>
      <w:r>
        <w:rPr>
          <w:color w:val="000000"/>
        </w:rPr>
        <w:t xml:space="preserve">2. Registro de acciones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Hallazgo/riesgo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Prioridad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Responsable sugerido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Método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Cierre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README Docs identificaba Supabase como backend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Corregir stack actual .NET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Documentación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Actualizar descripción y validarla contra csproj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README consistente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Archivos vacíos de documentación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Reemplazarlos por contenido real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Documentación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Revisar formatos y todos los tamaños &gt; 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Inventario completo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Apertura de CORS a rangos de dev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Restricción por entorno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Backend/DevOps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Validar AllowedOrigins productivos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Test orígenes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Migración automática en arranque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Revisión estrategia de liberación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Backend/DBA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Separar migration job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Despliegue controlado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Webhook con cuerpo en log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Minimización y redacción de logs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Revisar PaymentController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Sin datos sensibles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Autorización por roles/objetos sin batería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Pruebas negativas intersede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Crítica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Diseñar permisos sobre ID de recurso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Matriz de denegación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Wompi sin evidencia de sandbox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Ensayar firma, duplicados y rechazo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Crítica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Backend/QA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Pruebas webhook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Evidencia idempotencia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DB multi-proveedor no demostrada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Elegir motor y certificar migraciones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DBA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Integración motor seleccionado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Esquema validado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README web/móvil de plantilla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Personalizar onboarding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Frontend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Documentar navegación y env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Manual actualizado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AP-10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Falta repositorio visible de tests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Implementar CI y tests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QA/DevOps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Test suites + pipeline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Reporte verificado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AP-11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Diseño sin respaldo auditado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Backup/restore programado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DevOps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Ensayo desechable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Restauración aprobada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AP-12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Resultados de usabilidad ausentes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Sesiones éticas voluntarias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UX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Protocolo con consentimiento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Resultados reproducibles</w:t>
            </w:r>
          </w:p>
        </w:tc>
      </w:tr>
    </w:tbl>
    <w:bookmarkEnd w:id="21"/>
    <w:bookmarkStart w:id="22" w:name="priorización-y-seguimiento"/>
    <w:p>
      <w:pPr>
        <w:pStyle w:val="Heading2"/>
        <w:keepNext/>
        <w:ind w:firstLine="0"/>
      </w:pPr>
      <w:r>
        <w:rPr>
          <w:color w:val="000000"/>
        </w:rPr>
        <w:t xml:space="preserve">3. Priorización y seguimiento</w:t>
      </w:r>
    </w:p>
    <w:p>
      <w:pPr>
        <w:pStyle w:val="FirstParagraph"/>
        <w:spacing w:line="480" w:lineRule="auto" w:after="0"/>
        <w:ind w:firstLine="720"/>
      </w:pPr>
      <w:r>
        <w:t xml:space="preserve">Prioridad crítica: riesgos de doble cobro, autorización indebida y pérdida de integridad. Alta: configuración de producción y trazabilidad documental. Media: mejoras de UX y manuales. Cada hallazgo deberá asignarse, estimarse, revisarse en PR y cerrarse con una prueba. Las áreas asignadas son roles sugeridos, no personas designadas.</w:t>
      </w:r>
    </w:p>
    <w:bookmarkEnd w:id="22"/>
    <w:bookmarkStart w:id="23" w:name="lecciones-y-prevención"/>
    <w:p>
      <w:pPr>
        <w:pStyle w:val="Heading2"/>
        <w:keepNext/>
        <w:ind w:firstLine="0"/>
      </w:pPr>
      <w:r>
        <w:rPr>
          <w:color w:val="000000"/>
        </w:rPr>
        <w:t xml:space="preserve">4. Lecciones y prevención</w:t>
      </w:r>
    </w:p>
    <w:p>
      <w:pPr>
        <w:pStyle w:val="FirstParagraph"/>
        <w:spacing w:line="480" w:lineRule="auto" w:after="0"/>
        <w:ind w:firstLine="720"/>
      </w:pPr>
      <w:r>
        <w:t xml:space="preserve">Documentar decisiones arquitectónicas por SHA; automatizar validación del inventario de rutas; usar un único catálogo de API exportado de Swagger; integrar tests de regresión para pagos y roles; mantener manuales sincronizados con cada release; revisar cambios de esquema por proveedor antes de publicar.</w:t>
      </w:r>
    </w:p>
    <w:bookmarkEnd w:id="23"/>
    <w:bookmarkStart w:id="34" w:name="Xfc3ac9881b676a48f889bd9d03cef63e8bf85cc"/>
    <w:p>
      <w:pPr>
        <w:pStyle w:val="Heading2"/>
        <w:keepNext/>
        <w:ind w:firstLine="0"/>
      </w:pPr>
      <w:r>
        <w:rPr>
          <w:color w:val="000000"/>
        </w:rPr>
        <w:t xml:space="preserve">7. Registro de hallazgos y acciones con responsables propuestos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Riesgo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Hallazgo o punto por validar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Impacto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Rol asignable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Webhook no autenticado/idempotente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financiero y fraude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Ensayar checksum y evento duplicado; revisar referencia y BD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 + QA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Acceso entre sedes/propietarios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privacidad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Pruebas BOLA con dos sedes y titulares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 + seguridad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Migración al arranque en producción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disponibilidad de datos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Paso de migración único y backup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operaciones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AC-04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Descripción Supabase obsoleta en README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desinformación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Actualizar backend .NET 8 real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documentación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Ausencia identificada de pruebas automatizadas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regresión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Crear proyecto test y CI de seguridad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AC-06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README de clientes generado por plantilla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dificultad de instalación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Manuales de componentes y variables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web/móvil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AC-07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Datos privados en logs y repos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exposición legal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Escaneo secretos, redactar logs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seguridad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AC-08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CORS permisivo en entornos productivos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orígenes maliciosos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Restringir orígenes por ambiente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operaciones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AC-09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Compatibilidad MySQL/Postgres/SQLServer no probada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fallos al migrar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Elegir DB oficial y test CI por motor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backend/DBA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AC-10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Contrato REST sin export OpenAPI versionado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ruptura entre clientes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publicar snapshot y diff en cada release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integraciones</w:t>
            </w:r>
          </w:p>
        </w:tc>
      </w:tr>
    </w:tbl>
    <w:bookmarkStart w:id="24" w:name="ac-01.-webhook-no-autenticadoidempotente"/>
    <w:p>
      <w:pPr>
        <w:pStyle w:val="Heading3"/>
        <w:keepNext/>
        <w:ind w:firstLine="0"/>
      </w:pPr>
      <w:r>
        <w:rPr>
          <w:color w:val="000000"/>
        </w:rPr>
        <w:t xml:space="preserve">AC-01. Webhook no autenticado/idempotente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Alto.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financiero y fraude.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backend + QA;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Ensayar checksum y evento duplicado; revisar referencia y BD.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24"/>
    <w:bookmarkStart w:id="25" w:name="ac-02.-acceso-entre-sedespropietarios"/>
    <w:p>
      <w:pPr>
        <w:pStyle w:val="Heading3"/>
        <w:keepNext/>
        <w:ind w:firstLine="0"/>
      </w:pPr>
      <w:r>
        <w:rPr>
          <w:color w:val="000000"/>
        </w:rPr>
        <w:t xml:space="preserve">AC-02. Acceso entre sedes/propietarios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Alto.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privacidad.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backend + seguridad;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Pruebas BOLA con dos sedes y titulares.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25"/>
    <w:bookmarkStart w:id="26" w:name="X352f7d34bbe224f3f1ef2d3748603e4ef3be231"/>
    <w:p>
      <w:pPr>
        <w:pStyle w:val="Heading3"/>
        <w:keepNext/>
        <w:ind w:firstLine="0"/>
      </w:pPr>
      <w:r>
        <w:rPr>
          <w:color w:val="000000"/>
        </w:rPr>
        <w:t xml:space="preserve">AC-03. Migración al arranque en producción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Alto.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disponibilidad de datos.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operaciones;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Paso de migración único y backup.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26"/>
    <w:bookmarkStart w:id="27" w:name="Xbbdb2021c21f8ec038b6e36f91316140db289dd"/>
    <w:p>
      <w:pPr>
        <w:pStyle w:val="Heading3"/>
        <w:keepNext/>
        <w:ind w:firstLine="0"/>
      </w:pPr>
      <w:r>
        <w:rPr>
          <w:color w:val="000000"/>
        </w:rPr>
        <w:t xml:space="preserve">AC-04. Descripción Supabase obsoleta en README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Medio.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desinformación.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documentación;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Actualizar backend .NET 8 real.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27"/>
    <w:bookmarkStart w:id="28" w:name="X244b5d37e8c347bd6af07263d9b125705756717"/>
    <w:p>
      <w:pPr>
        <w:pStyle w:val="Heading3"/>
        <w:keepNext/>
        <w:ind w:firstLine="0"/>
      </w:pPr>
      <w:r>
        <w:rPr>
          <w:color w:val="000000"/>
        </w:rPr>
        <w:t xml:space="preserve">AC-05. Ausencia identificada de pruebas automatizadas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Medio.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regresión.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QA;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Crear proyecto test y CI de seguridad.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28"/>
    <w:bookmarkStart w:id="29" w:name="Xf77493adaac0ded3731c4cd31734ca3b3620f60"/>
    <w:p>
      <w:pPr>
        <w:pStyle w:val="Heading3"/>
        <w:keepNext/>
        <w:ind w:firstLine="0"/>
      </w:pPr>
      <w:r>
        <w:rPr>
          <w:color w:val="000000"/>
        </w:rPr>
        <w:t xml:space="preserve">AC-06. README de clientes generado por plantilla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Medio.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dificultad de instalación.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web/móvil;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Manuales de componentes y variables.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29"/>
    <w:bookmarkStart w:id="30" w:name="ac-07.-datos-privados-en-logs-y-repos"/>
    <w:p>
      <w:pPr>
        <w:pStyle w:val="Heading3"/>
        <w:keepNext/>
        <w:ind w:firstLine="0"/>
      </w:pPr>
      <w:r>
        <w:rPr>
          <w:color w:val="000000"/>
        </w:rPr>
        <w:t xml:space="preserve">AC-07. Datos privados en logs y repos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Alto.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exposición legal.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seguridad;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Escaneo secretos, redactar logs.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30"/>
    <w:bookmarkStart w:id="31" w:name="Xa2277d4576c91fb11f3be8b9fa254af16056966"/>
    <w:p>
      <w:pPr>
        <w:pStyle w:val="Heading3"/>
        <w:keepNext/>
        <w:ind w:firstLine="0"/>
      </w:pPr>
      <w:r>
        <w:rPr>
          <w:color w:val="000000"/>
        </w:rPr>
        <w:t xml:space="preserve">AC-08. CORS permisivo en entornos productivos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Alto.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orígenes maliciosos.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operaciones;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Restringir orígenes por ambiente.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31"/>
    <w:bookmarkStart w:id="32" w:name="X56cdcafb0a60d538ac2256a5259b6a48cdfa7be"/>
    <w:p>
      <w:pPr>
        <w:pStyle w:val="Heading3"/>
        <w:keepNext/>
        <w:ind w:firstLine="0"/>
      </w:pPr>
      <w:r>
        <w:rPr>
          <w:color w:val="000000"/>
        </w:rPr>
        <w:t xml:space="preserve">AC-09. Compatibilidad MySQL/Postgres/SQLServer no probada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Medio.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fallos al migrar.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backend/DBA;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Elegir DB oficial y test CI por motor.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32"/>
    <w:bookmarkStart w:id="33" w:name="Xc303d6def7cfa25d73c1f20f7ea5ba89feeecc0"/>
    <w:p>
      <w:pPr>
        <w:pStyle w:val="Heading3"/>
        <w:keepNext/>
        <w:ind w:firstLine="0"/>
      </w:pPr>
      <w:r>
        <w:rPr>
          <w:color w:val="000000"/>
        </w:rPr>
        <w:t xml:space="preserve">AC-10. Contrato REST sin export OpenAPI versionado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Riesgo:</w:t>
      </w:r>
      <w:r>
        <w:t xml:space="preserve"> </w:t>
      </w:r>
      <w:r>
        <w:t xml:space="preserve">Medio.</w:t>
      </w:r>
      <w:r>
        <w:t xml:space="preserve"> </w:t>
      </w:r>
      <w:r>
        <w:rPr>
          <w:b/>
          <w:bCs/>
        </w:rPr>
        <w:t xml:space="preserve">Consecuencia posible:</w:t>
      </w:r>
      <w:r>
        <w:t xml:space="preserve"> </w:t>
      </w:r>
      <w:r>
        <w:t xml:space="preserve">ruptura entre clientes.</w:t>
      </w:r>
      <w:r>
        <w:t xml:space="preserve"> </w:t>
      </w:r>
      <w:r>
        <w:rPr>
          <w:b/>
          <w:bCs/>
        </w:rPr>
        <w:t xml:space="preserve">Rol responsable sugerido:</w:t>
      </w:r>
      <w:r>
        <w:t xml:space="preserve"> </w:t>
      </w:r>
      <w:r>
        <w:t xml:space="preserve">integraciones; el nombre definitivo requiere aprobación.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Corrección:</w:t>
      </w:r>
      <w:r>
        <w:t xml:space="preserve"> </w:t>
      </w:r>
      <w:r>
        <w:t xml:space="preserve">publicar snapshot y diff en cada release.</w:t>
      </w:r>
      <w:r>
        <w:t xml:space="preserve"> </w:t>
      </w:r>
      <w:r>
        <w:rPr>
          <w:b/>
          <w:bCs/>
        </w:rPr>
        <w:t xml:space="preserve">Prevención:</w:t>
      </w:r>
      <w:r>
        <w:t xml:space="preserve"> </w:t>
      </w:r>
      <w:r>
        <w:t xml:space="preserve">añadir regla de revisión a pipeline, documentar evidencia de la rama/commit y capacitar al equipo involucrado.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Plan de verificación de eficacia:</w:t>
      </w:r>
      <w:r>
        <w:t xml:space="preserve"> </w:t>
      </w:r>
      <w:r>
        <w:t xml:space="preserve">repetir prueba negativa correspondiente, revisar ausencia de regresiones, archivar reportes anonimizados y obtener visto bueno.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propuesto/no ejecutado.</w:t>
      </w:r>
    </w:p>
    <w:bookmarkEnd w:id="33"/>
    <w:bookmarkEnd w:id="34"/>
    <w:bookmarkStart w:id="35" w:name="procedimiento-capa-y-control-de-calidad"/>
    <w:p>
      <w:pPr>
        <w:pStyle w:val="Heading2"/>
        <w:keepNext/>
        <w:ind w:firstLine="0"/>
      </w:pPr>
      <w:r>
        <w:rPr>
          <w:color w:val="000000"/>
        </w:rPr>
        <w:t xml:space="preserve">8. Procedimiento CAPA y control de calidad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Apertura:</w:t>
      </w:r>
      <w:r>
        <w:t xml:space="preserve"> </w:t>
      </w:r>
      <w:r>
        <w:t xml:space="preserve">registro de no conformidad con descripción factual y evidencia mínima (archivo, ruta, línea y comportamiento).</w:t>
      </w:r>
      <w:r>
        <w:t xml:space="preserve"> </w:t>
      </w:r>
      <w:r>
        <w:rPr>
          <w:b/>
          <w:bCs/>
        </w:rPr>
        <w:t xml:space="preserve">Causa raíz:</w:t>
      </w:r>
      <w:r>
        <w:t xml:space="preserve"> </w:t>
      </w:r>
      <w:r>
        <w:t xml:space="preserve">método de cinco porqués o diagrama Ishikawa cuando existan logs y datos; no atribuir causa sin investigación.</w:t>
      </w:r>
      <w:r>
        <w:t xml:space="preserve"> </w:t>
      </w:r>
      <w:r>
        <w:rPr>
          <w:b/>
          <w:bCs/>
        </w:rPr>
        <w:t xml:space="preserve">Corrección inmediata:</w:t>
      </w:r>
      <w:r>
        <w:t xml:space="preserve"> </w:t>
      </w:r>
      <w:r>
        <w:t xml:space="preserve">contener riesgo.</w:t>
      </w:r>
      <w:r>
        <w:t xml:space="preserve"> </w:t>
      </w:r>
      <w:r>
        <w:rPr>
          <w:b/>
          <w:bCs/>
        </w:rPr>
        <w:t xml:space="preserve">Acción correctiva:</w:t>
      </w:r>
      <w:r>
        <w:t xml:space="preserve"> </w:t>
      </w:r>
      <w:r>
        <w:t xml:space="preserve">eliminar causa confirmada.</w:t>
      </w:r>
      <w:r>
        <w:t xml:space="preserve"> </w:t>
      </w:r>
      <w:r>
        <w:rPr>
          <w:b/>
          <w:bCs/>
        </w:rPr>
        <w:t xml:space="preserve">Acción preventiva:</w:t>
      </w:r>
      <w:r>
        <w:t xml:space="preserve"> </w:t>
      </w:r>
      <w:r>
        <w:t xml:space="preserve">identificar defectos similares y bloquear recurrencia (test, checklist, linters, política).</w:t>
      </w:r>
      <w:r>
        <w:t xml:space="preserve"> </w:t>
      </w:r>
      <w:r>
        <w:rPr>
          <w:b/>
          <w:bCs/>
        </w:rPr>
        <w:t xml:space="preserve">Eficacia:</w:t>
      </w:r>
      <w:r>
        <w:t xml:space="preserve"> </w:t>
      </w:r>
      <w:r>
        <w:t xml:space="preserve">probar el mismo incidente y flujos adyacentes en versión posterior.</w:t>
      </w:r>
      <w:r>
        <w:t xml:space="preserve"> </w:t>
      </w:r>
      <w:r>
        <w:rPr>
          <w:b/>
          <w:bCs/>
        </w:rPr>
        <w:t xml:space="preserve">Cierre:</w:t>
      </w:r>
      <w:r>
        <w:t xml:space="preserve"> </w:t>
      </w:r>
      <w:r>
        <w:t xml:space="preserve">aprobar, documentar y asociar commit.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Indicadores recomendados:</w:t>
      </w:r>
      <w:r>
        <w:t xml:space="preserve"> </w:t>
      </w:r>
      <w:r>
        <w:t xml:space="preserve">tiempo medio hasta detectar/resolver incidentes, tasa de defectos repetidos, cobertura de requisitos críticos, eventos Wompi conciliados, versiones sin regresiones y porcentaje de backups restaurables. Sin mediciones no se proporcionan cifras reales.</w:t>
      </w:r>
    </w:p>
    <w:bookmarkEnd w:id="35"/>
    <w:bookmarkStart w:id="36" w:name="fuentes-primarias-de-implementación"/>
    <w:p>
      <w:pPr>
        <w:pStyle w:val="Heading2"/>
        <w:keepNext/>
        <w:ind w:firstLine="0"/>
      </w:pPr>
      <w:r>
        <w:rPr>
          <w:color w:val="000000"/>
        </w:rPr>
        <w:t xml:space="preserve">Fuentes primarias de implementación</w:t>
      </w:r>
    </w:p>
    <w:p>
      <w:pPr>
        <w:pStyle w:val="Compact"/>
        <w:numPr>
          <w:ilvl w:val="0"/>
          <w:numId w:val="1001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1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1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1"/>
        </w:numPr>
      </w:pPr>
      <w:r>
        <w:t xml:space="preserve">Referencia de presentación: https://github.com/jsgh1/SRD-v1/tree/dev/docs/docs-SRD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36"/>
    <w:bookmarkEnd w:id="37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120" w:line="480" w:lineRule="auto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2026-10-15T00:54:02Z</dcterms:created>
  <dcterms:modified xsi:type="dcterms:W3CDTF">2026-10-15T00:54:02Z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