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3100" w:line="480" w:lineRule="auto"/>
        <w:jc w:val="center"/>
      </w:pPr>
      <w:r>
        <w:rPr>
          <w:rFonts w:ascii="Times New Roman" w:hAnsi="Times New Roman"/>
          <w:b/>
          <w:sz w:val="28"/>
        </w:rPr>
        <w:t>10 Informe final SaborExpress</w:t>
      </w:r>
    </w:p>
    <w:p>
      <w:pPr>
        <w:spacing w:line="480" w:lineRule="auto"/>
        <w:jc w:val="center"/>
      </w:pPr>
      <w:r>
        <w:rPr>
          <w:rFonts w:ascii="Times New Roman" w:hAnsi="Times New Roman"/>
          <w:sz w:val="24"/>
        </w:rPr>
        <w:t>Equipo de desarrollo SaborExpress</w:t>
      </w:r>
    </w:p>
    <w:p>
      <w:pPr>
        <w:spacing w:line="480" w:lineRule="auto"/>
        <w:jc w:val="center"/>
      </w:pPr>
      <w:r>
        <w:rPr>
          <w:rFonts w:ascii="Times New Roman" w:hAnsi="Times New Roman"/>
          <w:sz w:val="24"/>
        </w:rPr>
        <w:t>Filiación institucional y autores individuales: por confirmar</w:t>
      </w:r>
    </w:p>
    <w:p>
      <w:pPr>
        <w:spacing w:line="480" w:lineRule="auto"/>
        <w:jc w:val="center"/>
      </w:pPr>
      <w:r>
        <w:rPr>
          <w:rFonts w:ascii="Times New Roman" w:hAnsi="Times New Roman"/>
          <w:sz w:val="24"/>
        </w:rPr>
        <w:t>Estudio académico de ingeniería de software y documentación</w:t>
      </w:r>
    </w:p>
    <w:p>
      <w:pPr>
        <w:spacing w:line="480" w:lineRule="auto"/>
        <w:jc w:val="center"/>
      </w:pPr>
      <w:r>
        <w:rPr>
          <w:rFonts w:ascii="Times New Roman" w:hAnsi="Times New Roman"/>
          <w:sz w:val="24"/>
        </w:rPr>
        <w:t>14 de octubre de 2026</w:t>
      </w:r>
    </w:p>
    <w:p>
      <w:r>
        <w:br w:type="page"/>
      </w:r>
    </w:p>
    <w:bookmarkStart w:id="35" w:name="X6db4f2c3925084858d034dd6e0fdbd83d75bf67"/>
    <w:p>
      <w:pPr>
        <w:pStyle w:val="Heading1"/>
        <w:keepNext/>
        <w:ind w:firstLine="0"/>
      </w:pPr>
      <w:r>
        <w:rPr>
          <w:color w:val="000000"/>
        </w:rPr>
        <w:t xml:space="preserve">Informe final de ingeniería — versión documental</w:t>
      </w:r>
    </w:p>
    <w:p>
      <w:pPr>
        <w:pStyle w:val="FirstParagraph"/>
        <w:spacing w:line="480" w:lineRule="auto" w:after="0"/>
        <w:ind w:firstLine="720"/>
      </w:pPr>
      <w:r>
        <w:rPr>
          <w:b/>
          <w:bCs/>
        </w:rPr>
        <w:t xml:space="preserve">Proyecto:</w:t>
      </w:r>
      <w:r>
        <w:t xml:space="preserve"> </w:t>
      </w:r>
      <w:r>
        <w:t xml:space="preserve">SaborExpress |</w:t>
      </w:r>
      <w:r>
        <w:t xml:space="preserve"> </w:t>
      </w:r>
      <w:r>
        <w:rPr>
          <w:b/>
          <w:bCs/>
        </w:rPr>
        <w:t xml:space="preserve">Fecha de corte:</w:t>
      </w:r>
      <w:r>
        <w:t xml:space="preserve"> </w:t>
      </w:r>
      <w:r>
        <w:t xml:space="preserve">14 de octubre de 2026 |</w:t>
      </w:r>
      <w:r>
        <w:t xml:space="preserve"> </w:t>
      </w:r>
      <w:r>
        <w:rPr>
          <w:b/>
          <w:bCs/>
        </w:rPr>
        <w:t xml:space="preserve">Versión:</w:t>
      </w:r>
      <w:r>
        <w:t xml:space="preserve"> </w:t>
      </w:r>
      <w:r>
        <w:t xml:space="preserve">2.0 |</w:t>
      </w:r>
      <w:r>
        <w:t xml:space="preserve"> </w:t>
      </w:r>
      <w:r>
        <w:rPr>
          <w:b/>
          <w:bCs/>
        </w:rPr>
        <w:t xml:space="preserve">Tipo:</w:t>
      </w:r>
      <w:r>
        <w:t xml:space="preserve"> </w:t>
      </w:r>
      <w:r>
        <w:t xml:space="preserve">Documento técnico y académico</w:t>
      </w:r>
    </w:p>
    <w:p>
      <w:pPr>
        <w:pStyle w:val="BodyText"/>
        <w:spacing w:line="480" w:lineRule="auto" w:after="0"/>
        <w:ind w:firstLine="720"/>
      </w:pPr>
      <w:r>
        <w:rPr>
          <w:b/>
          <w:bCs/>
        </w:rPr>
        <w:t xml:space="preserve">Estado de la evidencia:</w:t>
      </w:r>
      <w:r>
        <w:t xml:space="preserve"> </w:t>
      </w:r>
      <w:r>
        <w:t xml:space="preserve">inspección documental y estática del código. Las pruebas de ejecución y los datos institucionales no aportados no se presumen realizados.</w:t>
      </w:r>
    </w:p>
    <w:bookmarkStart w:id="20" w:name="síntesis-del-trabajo"/>
    <w:p>
      <w:pPr>
        <w:pStyle w:val="Heading2"/>
        <w:keepNext/>
        <w:ind w:firstLine="0"/>
      </w:pPr>
      <w:r>
        <w:rPr>
          <w:color w:val="000000"/>
        </w:rPr>
        <w:t xml:space="preserve">1. Síntesis del trabajo</w:t>
      </w:r>
    </w:p>
    <w:p>
      <w:pPr>
        <w:pStyle w:val="FirstParagraph"/>
        <w:spacing w:line="480" w:lineRule="auto" w:after="0"/>
        <w:ind w:firstLine="720"/>
      </w:pPr>
      <w:r>
        <w:t xml:space="preserve">Este expediente reúne un análisis del estado de código de SaborExpress a octubre de 2026 y documentos de requisitos, diseño, datos, interfaz, operación e investigación. No se ha realizado una evaluación experimental ni aceptación del sistema.</w:t>
      </w:r>
    </w:p>
    <w:bookmarkEnd w:id="20"/>
    <w:bookmarkStart w:id="21" w:name="sistema-caracterizado"/>
    <w:p>
      <w:pPr>
        <w:pStyle w:val="Heading2"/>
        <w:keepNext/>
        <w:ind w:firstLine="0"/>
      </w:pPr>
      <w:r>
        <w:rPr>
          <w:color w:val="000000"/>
        </w:rPr>
        <w:t xml:space="preserve">2. Sistema caracterizado</w:t>
      </w:r>
    </w:p>
    <w:p>
      <w:pPr>
        <w:pStyle w:val="FirstParagraph"/>
        <w:spacing w:line="480" w:lineRule="auto" w:after="0"/>
        <w:ind w:firstLine="720"/>
      </w:pPr>
      <w:r>
        <w:t xml:space="preserve">API central ASP.NET Core 8, EF Core, JWT, SignalR y procesos hospedados; interfaz administrativa web Next.js 16/React 19; móvil Expo 57/React Native 0.86; persistencia relacional con configuración de motores alternativos. Existe integración programada con Wompi que exige validación real en sandbox.</w:t>
      </w:r>
    </w:p>
    <w:bookmarkEnd w:id="21"/>
    <w:bookmarkStart w:id="22" w:name="evidencia-y-método"/>
    <w:p>
      <w:pPr>
        <w:pStyle w:val="Heading2"/>
        <w:keepNext/>
        <w:ind w:firstLine="0"/>
      </w:pPr>
      <w:r>
        <w:rPr>
          <w:color w:val="000000"/>
        </w:rPr>
        <w:t xml:space="preserve">3. Evidencia y método</w:t>
      </w:r>
    </w:p>
    <w:p>
      <w:pPr>
        <w:pStyle w:val="FirstParagraph"/>
        <w:spacing w:line="480" w:lineRule="auto" w:after="0"/>
        <w:ind w:firstLine="720"/>
      </w:pPr>
      <w:r>
        <w:t xml:space="preserve">Se consultaron</w:t>
      </w:r>
      <w:r>
        <w:t xml:space="preserve"> </w:t>
      </w:r>
      <w:r>
        <w:rPr>
          <w:rStyle w:val="VerbatimChar"/>
        </w:rPr>
        <w:t xml:space="preserve">Program.cs</w:t>
      </w:r>
      <w:r>
        <w:t xml:space="preserve">, los manifiestos, controladores de dominio, modelos de entidad y estructura de carpetas. Se construyó una matriz de brechas documentales y pruebas futuras. Este informe puede servir como línea base para la presentación del proyecto, no como demostración de rendimiento.</w:t>
      </w:r>
    </w:p>
    <w:bookmarkEnd w:id="22"/>
    <w:bookmarkStart w:id="23" w:name="principales-entregables-de-la-carpeta"/>
    <w:p>
      <w:pPr>
        <w:pStyle w:val="Heading2"/>
        <w:keepNext/>
        <w:ind w:firstLine="0"/>
      </w:pPr>
      <w:r>
        <w:rPr>
          <w:color w:val="000000"/>
        </w:rPr>
        <w:t xml:space="preserve">4. Principales entregables de la carpeta</w:t>
      </w:r>
    </w:p>
    <w:tbl>
      <w:tblPr>
        <w:tblStyle w:val="Table"/>
        <w:tblW w:type="auto" w:w="0"/>
        <w:jc w:val="left"/>
        <w:tblLook w:firstRow="1" w:lastRow="0" w:firstColumn="0" w:lastColumn="0" w:noHBand="0" w:noVBand="0" w:val="0020"/>
      </w:tblPr>
      <w:tblGrid>
        <w:gridCol w:w="3960"/>
        <w:gridCol w:w="3960"/>
      </w:tblGrid>
      <w:tr>
        <w:trPr>
          <w:tblHeader w:val="on"/>
          <w:tblHeader w:val="true"/>
        </w:trPr>
        <w:tc>
          <w:tcPr/>
          <w:p>
            <w:pPr>
              <w:pStyle w:val="Compact"/>
              <w:spacing w:line="240" w:lineRule="auto" w:after="0"/>
              <w:ind w:firstLine="0"/>
              <w:jc w:val="left"/>
            </w:pPr>
            <w:r>
              <w:rPr>
                <w:rFonts w:ascii="Times New Roman" w:hAnsi="Times New Roman"/>
                <w:sz w:val="18"/>
              </w:rPr>
              <w:t xml:space="preserve">Categoría</w:t>
            </w:r>
          </w:p>
        </w:tc>
        <w:tc>
          <w:tcPr/>
          <w:p>
            <w:pPr>
              <w:pStyle w:val="Compact"/>
              <w:spacing w:line="240" w:lineRule="auto" w:after="0"/>
              <w:ind w:firstLine="0"/>
              <w:jc w:val="left"/>
            </w:pPr>
            <w:r>
              <w:rPr>
                <w:rFonts w:ascii="Times New Roman" w:hAnsi="Times New Roman"/>
                <w:sz w:val="18"/>
              </w:rPr>
              <w:t xml:space="preserve">Resultado</w:t>
            </w:r>
          </w:p>
        </w:tc>
      </w:tr>
      <w:tr>
        <w:tc>
          <w:tcPr/>
          <w:p>
            <w:pPr>
              <w:pStyle w:val="Compact"/>
              <w:spacing w:line="240" w:lineRule="auto" w:after="0"/>
              <w:ind w:firstLine="0"/>
              <w:jc w:val="left"/>
            </w:pPr>
            <w:r>
              <w:rPr>
                <w:rFonts w:ascii="Times New Roman" w:hAnsi="Times New Roman"/>
                <w:sz w:val="18"/>
              </w:rPr>
              <w:t xml:space="preserve">01</w:t>
            </w:r>
          </w:p>
        </w:tc>
        <w:tc>
          <w:tcPr/>
          <w:p>
            <w:pPr>
              <w:pStyle w:val="Compact"/>
              <w:spacing w:line="240" w:lineRule="auto" w:after="0"/>
              <w:ind w:firstLine="0"/>
              <w:jc w:val="left"/>
            </w:pPr>
            <w:r>
              <w:rPr>
                <w:rFonts w:ascii="Times New Roman" w:hAnsi="Times New Roman"/>
                <w:sz w:val="18"/>
              </w:rPr>
              <w:t xml:space="preserve">SRS y acta de constitución</w:t>
            </w:r>
          </w:p>
        </w:tc>
      </w:tr>
      <w:tr>
        <w:tc>
          <w:tcPr/>
          <w:p>
            <w:pPr>
              <w:pStyle w:val="Compact"/>
              <w:spacing w:line="240" w:lineRule="auto" w:after="0"/>
              <w:ind w:firstLine="0"/>
              <w:jc w:val="left"/>
            </w:pPr>
            <w:r>
              <w:rPr>
                <w:rFonts w:ascii="Times New Roman" w:hAnsi="Times New Roman"/>
                <w:sz w:val="18"/>
              </w:rPr>
              <w:t xml:space="preserve">02</w:t>
            </w:r>
          </w:p>
        </w:tc>
        <w:tc>
          <w:tcPr/>
          <w:p>
            <w:pPr>
              <w:pStyle w:val="Compact"/>
              <w:spacing w:line="240" w:lineRule="auto" w:after="0"/>
              <w:ind w:firstLine="0"/>
              <w:jc w:val="left"/>
            </w:pPr>
            <w:r>
              <w:rPr>
                <w:rFonts w:ascii="Times New Roman" w:hAnsi="Times New Roman"/>
                <w:sz w:val="18"/>
              </w:rPr>
              <w:t xml:space="preserve">Análisis funcional y propuesta técnica</w:t>
            </w:r>
          </w:p>
        </w:tc>
      </w:tr>
      <w:tr>
        <w:tc>
          <w:tcPr/>
          <w:p>
            <w:pPr>
              <w:pStyle w:val="Compact"/>
              <w:spacing w:line="240" w:lineRule="auto" w:after="0"/>
              <w:ind w:firstLine="0"/>
              <w:jc w:val="left"/>
            </w:pPr>
            <w:r>
              <w:rPr>
                <w:rFonts w:ascii="Times New Roman" w:hAnsi="Times New Roman"/>
                <w:sz w:val="18"/>
              </w:rPr>
              <w:t xml:space="preserve">03</w:t>
            </w:r>
          </w:p>
        </w:tc>
        <w:tc>
          <w:tcPr/>
          <w:p>
            <w:pPr>
              <w:pStyle w:val="Compact"/>
              <w:spacing w:line="240" w:lineRule="auto" w:after="0"/>
              <w:ind w:firstLine="0"/>
              <w:jc w:val="left"/>
            </w:pPr>
            <w:r>
              <w:rPr>
                <w:rFonts w:ascii="Times New Roman" w:hAnsi="Times New Roman"/>
                <w:sz w:val="18"/>
              </w:rPr>
              <w:t xml:space="preserve">Diseño arquitectónico y diagramas</w:t>
            </w:r>
          </w:p>
        </w:tc>
      </w:tr>
      <w:tr>
        <w:tc>
          <w:tcPr/>
          <w:p>
            <w:pPr>
              <w:pStyle w:val="Compact"/>
              <w:spacing w:line="240" w:lineRule="auto" w:after="0"/>
              <w:ind w:firstLine="0"/>
              <w:jc w:val="left"/>
            </w:pPr>
            <w:r>
              <w:rPr>
                <w:rFonts w:ascii="Times New Roman" w:hAnsi="Times New Roman"/>
                <w:sz w:val="18"/>
              </w:rPr>
              <w:t xml:space="preserve">04</w:t>
            </w:r>
          </w:p>
        </w:tc>
        <w:tc>
          <w:tcPr/>
          <w:p>
            <w:pPr>
              <w:pStyle w:val="Compact"/>
              <w:spacing w:line="240" w:lineRule="auto" w:after="0"/>
              <w:ind w:firstLine="0"/>
              <w:jc w:val="left"/>
            </w:pPr>
            <w:r>
              <w:rPr>
                <w:rFonts w:ascii="Times New Roman" w:hAnsi="Times New Roman"/>
                <w:sz w:val="18"/>
              </w:rPr>
              <w:t xml:space="preserve">Manual técnico y de instalación</w:t>
            </w:r>
          </w:p>
        </w:tc>
      </w:tr>
      <w:tr>
        <w:tc>
          <w:tcPr/>
          <w:p>
            <w:pPr>
              <w:pStyle w:val="Compact"/>
              <w:spacing w:line="240" w:lineRule="auto" w:after="0"/>
              <w:ind w:firstLine="0"/>
              <w:jc w:val="left"/>
            </w:pPr>
            <w:r>
              <w:rPr>
                <w:rFonts w:ascii="Times New Roman" w:hAnsi="Times New Roman"/>
                <w:sz w:val="18"/>
              </w:rPr>
              <w:t xml:space="preserve">05</w:t>
            </w:r>
          </w:p>
        </w:tc>
        <w:tc>
          <w:tcPr/>
          <w:p>
            <w:pPr>
              <w:pStyle w:val="Compact"/>
              <w:spacing w:line="240" w:lineRule="auto" w:after="0"/>
              <w:ind w:firstLine="0"/>
              <w:jc w:val="left"/>
            </w:pPr>
            <w:r>
              <w:rPr>
                <w:rFonts w:ascii="Times New Roman" w:hAnsi="Times New Roman"/>
                <w:sz w:val="18"/>
              </w:rPr>
              <w:t xml:space="preserve">Manual por roles</w:t>
            </w:r>
          </w:p>
        </w:tc>
      </w:tr>
      <w:tr>
        <w:tc>
          <w:tcPr/>
          <w:p>
            <w:pPr>
              <w:pStyle w:val="Compact"/>
              <w:spacing w:line="240" w:lineRule="auto" w:after="0"/>
              <w:ind w:firstLine="0"/>
              <w:jc w:val="left"/>
            </w:pPr>
            <w:r>
              <w:rPr>
                <w:rFonts w:ascii="Times New Roman" w:hAnsi="Times New Roman"/>
                <w:sz w:val="18"/>
              </w:rPr>
              <w:t xml:space="preserve">06</w:t>
            </w:r>
          </w:p>
        </w:tc>
        <w:tc>
          <w:tcPr/>
          <w:p>
            <w:pPr>
              <w:pStyle w:val="Compact"/>
              <w:spacing w:line="240" w:lineRule="auto" w:after="0"/>
              <w:ind w:firstLine="0"/>
              <w:jc w:val="left"/>
            </w:pPr>
            <w:r>
              <w:rPr>
                <w:rFonts w:ascii="Times New Roman" w:hAnsi="Times New Roman"/>
                <w:sz w:val="18"/>
              </w:rPr>
              <w:t xml:space="preserve">Datos y catálogo API</w:t>
            </w:r>
          </w:p>
        </w:tc>
      </w:tr>
      <w:tr>
        <w:tc>
          <w:tcPr/>
          <w:p>
            <w:pPr>
              <w:pStyle w:val="Compact"/>
              <w:spacing w:line="240" w:lineRule="auto" w:after="0"/>
              <w:ind w:firstLine="0"/>
              <w:jc w:val="left"/>
            </w:pPr>
            <w:r>
              <w:rPr>
                <w:rFonts w:ascii="Times New Roman" w:hAnsi="Times New Roman"/>
                <w:sz w:val="18"/>
              </w:rPr>
              <w:t xml:space="preserve">07</w:t>
            </w:r>
          </w:p>
        </w:tc>
        <w:tc>
          <w:tcPr/>
          <w:p>
            <w:pPr>
              <w:pStyle w:val="Compact"/>
              <w:spacing w:line="240" w:lineRule="auto" w:after="0"/>
              <w:ind w:firstLine="0"/>
              <w:jc w:val="left"/>
            </w:pPr>
            <w:r>
              <w:rPr>
                <w:rFonts w:ascii="Times New Roman" w:hAnsi="Times New Roman"/>
                <w:sz w:val="18"/>
              </w:rPr>
              <w:t xml:space="preserve">Pruebas/trazabilidad/mejora</w:t>
            </w:r>
          </w:p>
        </w:tc>
      </w:tr>
      <w:tr>
        <w:tc>
          <w:tcPr/>
          <w:p>
            <w:pPr>
              <w:pStyle w:val="Compact"/>
              <w:spacing w:line="240" w:lineRule="auto" w:after="0"/>
              <w:ind w:firstLine="0"/>
              <w:jc w:val="left"/>
            </w:pPr>
            <w:r>
              <w:rPr>
                <w:rFonts w:ascii="Times New Roman" w:hAnsi="Times New Roman"/>
                <w:sz w:val="18"/>
              </w:rPr>
              <w:t xml:space="preserve">08</w:t>
            </w:r>
          </w:p>
        </w:tc>
        <w:tc>
          <w:tcPr/>
          <w:p>
            <w:pPr>
              <w:pStyle w:val="Compact"/>
              <w:spacing w:line="240" w:lineRule="auto" w:after="0"/>
              <w:ind w:firstLine="0"/>
              <w:jc w:val="left"/>
            </w:pPr>
            <w:r>
              <w:rPr>
                <w:rFonts w:ascii="Times New Roman" w:hAnsi="Times New Roman"/>
                <w:sz w:val="18"/>
              </w:rPr>
              <w:t xml:space="preserve">Artículo científico ES y EN</w:t>
            </w:r>
          </w:p>
        </w:tc>
      </w:tr>
    </w:tbl>
    <w:bookmarkEnd w:id="23"/>
    <w:bookmarkStart w:id="24" w:name="conclusiones-y-próximas-actividades"/>
    <w:p>
      <w:pPr>
        <w:pStyle w:val="Heading2"/>
        <w:keepNext/>
        <w:ind w:firstLine="0"/>
      </w:pPr>
      <w:r>
        <w:rPr>
          <w:color w:val="000000"/>
        </w:rPr>
        <w:t xml:space="preserve">5. Conclusiones y próximas actividades</w:t>
      </w:r>
    </w:p>
    <w:p>
      <w:pPr>
        <w:pStyle w:val="FirstParagraph"/>
        <w:spacing w:line="480" w:lineRule="auto" w:after="0"/>
        <w:ind w:firstLine="720"/>
      </w:pPr>
      <w:r>
        <w:t xml:space="preserve">El software puede caracterizarse como una solución modular multi-cliente. El conjunto de documentos elimina vacíos y corrige descripciones obsoletas. La mejora prioritaria es ejecutar pruebas reproducibles de integridad, pagos, autorizaciones, usabilidad y migraciones; completar capturas reales y actas de aprobación.</w:t>
      </w:r>
    </w:p>
    <w:p>
      <w:pPr>
        <w:pStyle w:val="BodyText"/>
        <w:spacing w:line="480" w:lineRule="auto" w:after="0"/>
        <w:ind w:firstLine="720"/>
      </w:pPr>
      <w:r>
        <w:rPr>
          <w:b/>
          <w:bCs/>
        </w:rPr>
        <w:t xml:space="preserve">Aprobación del equipo / instructor:</w:t>
      </w:r>
      <w:r>
        <w:t xml:space="preserve"> </w:t>
      </w:r>
      <w:r>
        <w:t xml:space="preserve">pendiente; no se inventa firma.</w:t>
      </w:r>
    </w:p>
    <w:bookmarkEnd w:id="24"/>
    <w:bookmarkStart w:id="25" w:name="X2a7579b426998d34fec0a87c9ede94407e53f08"/>
    <w:p>
      <w:pPr>
        <w:pStyle w:val="Heading2"/>
        <w:keepNext/>
        <w:ind w:firstLine="0"/>
      </w:pPr>
      <w:r>
        <w:rPr>
          <w:color w:val="000000"/>
        </w:rPr>
        <w:t xml:space="preserve">7. Estado detallado de entregables y evidencia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blHeader w:val="true"/>
        </w:trPr>
        <w:tc>
          <w:tcPr/>
          <w:p>
            <w:pPr>
              <w:pStyle w:val="Compact"/>
              <w:spacing w:line="240" w:lineRule="auto" w:after="0"/>
              <w:ind w:firstLine="0"/>
              <w:jc w:val="left"/>
            </w:pPr>
            <w:r>
              <w:rPr>
                <w:rFonts w:ascii="Times New Roman" w:hAnsi="Times New Roman"/>
                <w:sz w:val="18"/>
              </w:rPr>
              <w:t xml:space="preserve">Entregable</w:t>
            </w:r>
          </w:p>
        </w:tc>
        <w:tc>
          <w:tcPr/>
          <w:p>
            <w:pPr>
              <w:pStyle w:val="Compact"/>
              <w:spacing w:line="240" w:lineRule="auto" w:after="0"/>
              <w:ind w:firstLine="0"/>
              <w:jc w:val="left"/>
            </w:pPr>
            <w:r>
              <w:rPr>
                <w:rFonts w:ascii="Times New Roman" w:hAnsi="Times New Roman"/>
                <w:sz w:val="18"/>
              </w:rPr>
              <w:t xml:space="preserve">Evidencia documental</w:t>
            </w:r>
          </w:p>
        </w:tc>
        <w:tc>
          <w:tcPr/>
          <w:p>
            <w:pPr>
              <w:pStyle w:val="Compact"/>
              <w:spacing w:line="240" w:lineRule="auto" w:after="0"/>
              <w:ind w:firstLine="0"/>
              <w:jc w:val="left"/>
            </w:pPr>
            <w:r>
              <w:rPr>
                <w:rFonts w:ascii="Times New Roman" w:hAnsi="Times New Roman"/>
                <w:sz w:val="18"/>
              </w:rPr>
              <w:t xml:space="preserve">Validación faltante</w:t>
            </w:r>
          </w:p>
        </w:tc>
      </w:tr>
      <w:tr>
        <w:tc>
          <w:tcPr/>
          <w:p>
            <w:pPr>
              <w:pStyle w:val="Compact"/>
              <w:spacing w:line="240" w:lineRule="auto" w:after="0"/>
              <w:ind w:firstLine="0"/>
              <w:jc w:val="left"/>
            </w:pPr>
            <w:r>
              <w:rPr>
                <w:rFonts w:ascii="Times New Roman" w:hAnsi="Times New Roman"/>
                <w:sz w:val="18"/>
              </w:rPr>
              <w:t xml:space="preserve">Requisitos</w:t>
            </w:r>
          </w:p>
        </w:tc>
        <w:tc>
          <w:tcPr/>
          <w:p>
            <w:pPr>
              <w:pStyle w:val="Compact"/>
              <w:spacing w:line="240" w:lineRule="auto" w:after="0"/>
              <w:ind w:firstLine="0"/>
              <w:jc w:val="left"/>
            </w:pPr>
            <w:r>
              <w:rPr>
                <w:rFonts w:ascii="Times New Roman" w:hAnsi="Times New Roman"/>
                <w:sz w:val="18"/>
              </w:rPr>
              <w:t xml:space="preserve">RF-01..25 / RNF-01..15</w:t>
            </w:r>
          </w:p>
        </w:tc>
        <w:tc>
          <w:tcPr/>
          <w:p>
            <w:pPr>
              <w:pStyle w:val="Compact"/>
              <w:spacing w:line="240" w:lineRule="auto" w:after="0"/>
              <w:ind w:firstLine="0"/>
              <w:jc w:val="left"/>
            </w:pPr>
            <w:r>
              <w:rPr>
                <w:rFonts w:ascii="Times New Roman" w:hAnsi="Times New Roman"/>
                <w:sz w:val="18"/>
              </w:rPr>
              <w:t xml:space="preserve">aprobación y ensayos</w:t>
            </w:r>
          </w:p>
        </w:tc>
      </w:tr>
      <w:tr>
        <w:tc>
          <w:tcPr/>
          <w:p>
            <w:pPr>
              <w:pStyle w:val="Compact"/>
              <w:spacing w:line="240" w:lineRule="auto" w:after="0"/>
              <w:ind w:firstLine="0"/>
              <w:jc w:val="left"/>
            </w:pPr>
            <w:r>
              <w:rPr>
                <w:rFonts w:ascii="Times New Roman" w:hAnsi="Times New Roman"/>
                <w:sz w:val="18"/>
              </w:rPr>
              <w:t xml:space="preserve">Análisis</w:t>
            </w:r>
          </w:p>
        </w:tc>
        <w:tc>
          <w:tcPr/>
          <w:p>
            <w:pPr>
              <w:pStyle w:val="Compact"/>
              <w:spacing w:line="240" w:lineRule="auto" w:after="0"/>
              <w:ind w:firstLine="0"/>
              <w:jc w:val="left"/>
            </w:pPr>
            <w:r>
              <w:rPr>
                <w:rFonts w:ascii="Times New Roman" w:hAnsi="Times New Roman"/>
                <w:sz w:val="18"/>
              </w:rPr>
              <w:t xml:space="preserve">14 casos de uso extendidos</w:t>
            </w:r>
          </w:p>
        </w:tc>
        <w:tc>
          <w:tcPr/>
          <w:p>
            <w:pPr>
              <w:pStyle w:val="Compact"/>
              <w:spacing w:line="240" w:lineRule="auto" w:after="0"/>
              <w:ind w:firstLine="0"/>
              <w:jc w:val="left"/>
            </w:pPr>
            <w:r>
              <w:rPr>
                <w:rFonts w:ascii="Times New Roman" w:hAnsi="Times New Roman"/>
                <w:sz w:val="18"/>
              </w:rPr>
              <w:t xml:space="preserve">contrastar pantallas y servicios</w:t>
            </w:r>
          </w:p>
        </w:tc>
      </w:tr>
      <w:tr>
        <w:tc>
          <w:tcPr/>
          <w:p>
            <w:pPr>
              <w:pStyle w:val="Compact"/>
              <w:spacing w:line="240" w:lineRule="auto" w:after="0"/>
              <w:ind w:firstLine="0"/>
              <w:jc w:val="left"/>
            </w:pPr>
            <w:r>
              <w:rPr>
                <w:rFonts w:ascii="Times New Roman" w:hAnsi="Times New Roman"/>
                <w:sz w:val="18"/>
              </w:rPr>
              <w:t xml:space="preserve">Diseño</w:t>
            </w:r>
          </w:p>
        </w:tc>
        <w:tc>
          <w:tcPr/>
          <w:p>
            <w:pPr>
              <w:pStyle w:val="Compact"/>
              <w:spacing w:line="240" w:lineRule="auto" w:after="0"/>
              <w:ind w:firstLine="0"/>
              <w:jc w:val="left"/>
            </w:pPr>
            <w:r>
              <w:rPr>
                <w:rFonts w:ascii="Times New Roman" w:hAnsi="Times New Roman"/>
                <w:sz w:val="18"/>
              </w:rPr>
              <w:t xml:space="preserve">vistas, diagramas y ADR</w:t>
            </w:r>
          </w:p>
        </w:tc>
        <w:tc>
          <w:tcPr/>
          <w:p>
            <w:pPr>
              <w:pStyle w:val="Compact"/>
              <w:spacing w:line="240" w:lineRule="auto" w:after="0"/>
              <w:ind w:firstLine="0"/>
              <w:jc w:val="left"/>
            </w:pPr>
            <w:r>
              <w:rPr>
                <w:rFonts w:ascii="Times New Roman" w:hAnsi="Times New Roman"/>
                <w:sz w:val="18"/>
              </w:rPr>
              <w:t xml:space="preserve">revisión técnica de componentes</w:t>
            </w:r>
          </w:p>
        </w:tc>
      </w:tr>
      <w:tr>
        <w:tc>
          <w:tcPr/>
          <w:p>
            <w:pPr>
              <w:pStyle w:val="Compact"/>
              <w:spacing w:line="240" w:lineRule="auto" w:after="0"/>
              <w:ind w:firstLine="0"/>
              <w:jc w:val="left"/>
            </w:pPr>
            <w:r>
              <w:rPr>
                <w:rFonts w:ascii="Times New Roman" w:hAnsi="Times New Roman"/>
                <w:sz w:val="18"/>
              </w:rPr>
              <w:t xml:space="preserve">Datos</w:t>
            </w:r>
          </w:p>
        </w:tc>
        <w:tc>
          <w:tcPr/>
          <w:p>
            <w:pPr>
              <w:pStyle w:val="Compact"/>
              <w:spacing w:line="240" w:lineRule="auto" w:after="0"/>
              <w:ind w:firstLine="0"/>
              <w:jc w:val="left"/>
            </w:pPr>
            <w:r>
              <w:rPr>
                <w:rFonts w:ascii="Times New Roman" w:hAnsi="Times New Roman"/>
                <w:sz w:val="18"/>
              </w:rPr>
              <w:t xml:space="preserve">8 entidades C# inspeccionadas</w:t>
            </w:r>
          </w:p>
        </w:tc>
        <w:tc>
          <w:tcPr/>
          <w:p>
            <w:pPr>
              <w:pStyle w:val="Compact"/>
              <w:spacing w:line="240" w:lineRule="auto" w:after="0"/>
              <w:ind w:firstLine="0"/>
              <w:jc w:val="left"/>
            </w:pPr>
            <w:r>
              <w:rPr>
                <w:rFonts w:ascii="Times New Roman" w:hAnsi="Times New Roman"/>
                <w:sz w:val="18"/>
              </w:rPr>
              <w:t xml:space="preserve">DDL del motor y restricciones EF</w:t>
            </w:r>
          </w:p>
        </w:tc>
      </w:tr>
      <w:tr>
        <w:tc>
          <w:tcPr/>
          <w:p>
            <w:pPr>
              <w:pStyle w:val="Compact"/>
              <w:spacing w:line="240" w:lineRule="auto" w:after="0"/>
              <w:ind w:firstLine="0"/>
              <w:jc w:val="left"/>
            </w:pPr>
            <w:r>
              <w:rPr>
                <w:rFonts w:ascii="Times New Roman" w:hAnsi="Times New Roman"/>
                <w:sz w:val="18"/>
              </w:rPr>
              <w:t xml:space="preserve">API</w:t>
            </w:r>
          </w:p>
        </w:tc>
        <w:tc>
          <w:tcPr/>
          <w:p>
            <w:pPr>
              <w:pStyle w:val="Compact"/>
              <w:spacing w:line="240" w:lineRule="auto" w:after="0"/>
              <w:ind w:firstLine="0"/>
              <w:jc w:val="left"/>
            </w:pPr>
            <w:r>
              <w:rPr>
                <w:rFonts w:ascii="Times New Roman" w:hAnsi="Times New Roman"/>
                <w:sz w:val="18"/>
              </w:rPr>
              <w:t xml:space="preserve">52 rutas inventariadas de 6 controladores</w:t>
            </w:r>
          </w:p>
        </w:tc>
        <w:tc>
          <w:tcPr/>
          <w:p>
            <w:pPr>
              <w:pStyle w:val="Compact"/>
              <w:spacing w:line="240" w:lineRule="auto" w:after="0"/>
              <w:ind w:firstLine="0"/>
              <w:jc w:val="left"/>
            </w:pPr>
            <w:r>
              <w:rPr>
                <w:rFonts w:ascii="Times New Roman" w:hAnsi="Times New Roman"/>
                <w:sz w:val="18"/>
              </w:rPr>
              <w:t xml:space="preserve">export OpenAPI y resto de controllers</w:t>
            </w:r>
          </w:p>
        </w:tc>
      </w:tr>
      <w:tr>
        <w:tc>
          <w:tcPr/>
          <w:p>
            <w:pPr>
              <w:pStyle w:val="Compact"/>
              <w:spacing w:line="240" w:lineRule="auto" w:after="0"/>
              <w:ind w:firstLine="0"/>
              <w:jc w:val="left"/>
            </w:pPr>
            <w:r>
              <w:rPr>
                <w:rFonts w:ascii="Times New Roman" w:hAnsi="Times New Roman"/>
                <w:sz w:val="18"/>
              </w:rPr>
              <w:t xml:space="preserve">Calidad</w:t>
            </w:r>
          </w:p>
        </w:tc>
        <w:tc>
          <w:tcPr/>
          <w:p>
            <w:pPr>
              <w:pStyle w:val="Compact"/>
              <w:spacing w:line="240" w:lineRule="auto" w:after="0"/>
              <w:ind w:firstLine="0"/>
              <w:jc w:val="left"/>
            </w:pPr>
            <w:r>
              <w:rPr>
                <w:rFonts w:ascii="Times New Roman" w:hAnsi="Times New Roman"/>
                <w:sz w:val="18"/>
              </w:rPr>
              <w:t xml:space="preserve">38 casos de prueba diseñados</w:t>
            </w:r>
          </w:p>
        </w:tc>
        <w:tc>
          <w:tcPr/>
          <w:p>
            <w:pPr>
              <w:pStyle w:val="Compact"/>
              <w:spacing w:line="240" w:lineRule="auto" w:after="0"/>
              <w:ind w:firstLine="0"/>
              <w:jc w:val="left"/>
            </w:pPr>
            <w:r>
              <w:rPr>
                <w:rFonts w:ascii="Times New Roman" w:hAnsi="Times New Roman"/>
                <w:sz w:val="18"/>
              </w:rPr>
              <w:t xml:space="preserve">ejecución y actas</w:t>
            </w:r>
          </w:p>
        </w:tc>
      </w:tr>
      <w:tr>
        <w:tc>
          <w:tcPr/>
          <w:p>
            <w:pPr>
              <w:pStyle w:val="Compact"/>
              <w:spacing w:line="240" w:lineRule="auto" w:after="0"/>
              <w:ind w:firstLine="0"/>
              <w:jc w:val="left"/>
            </w:pPr>
            <w:r>
              <w:rPr>
                <w:rFonts w:ascii="Times New Roman" w:hAnsi="Times New Roman"/>
                <w:sz w:val="18"/>
              </w:rPr>
              <w:t xml:space="preserve">Instalación</w:t>
            </w:r>
          </w:p>
        </w:tc>
        <w:tc>
          <w:tcPr/>
          <w:p>
            <w:pPr>
              <w:pStyle w:val="Compact"/>
              <w:spacing w:line="240" w:lineRule="auto" w:after="0"/>
              <w:ind w:firstLine="0"/>
              <w:jc w:val="left"/>
            </w:pPr>
            <w:r>
              <w:rPr>
                <w:rFonts w:ascii="Times New Roman" w:hAnsi="Times New Roman"/>
                <w:sz w:val="18"/>
              </w:rPr>
              <w:t xml:space="preserve">runbook multi-cliente</w:t>
            </w:r>
          </w:p>
        </w:tc>
        <w:tc>
          <w:tcPr/>
          <w:p>
            <w:pPr>
              <w:pStyle w:val="Compact"/>
              <w:spacing w:line="240" w:lineRule="auto" w:after="0"/>
              <w:ind w:firstLine="0"/>
              <w:jc w:val="left"/>
            </w:pPr>
            <w:r>
              <w:rPr>
                <w:rFonts w:ascii="Times New Roman" w:hAnsi="Times New Roman"/>
                <w:sz w:val="18"/>
              </w:rPr>
              <w:t xml:space="preserve">entorno fresco</w:t>
            </w:r>
          </w:p>
        </w:tc>
      </w:tr>
      <w:tr>
        <w:tc>
          <w:tcPr/>
          <w:p>
            <w:pPr>
              <w:pStyle w:val="Compact"/>
              <w:spacing w:line="240" w:lineRule="auto" w:after="0"/>
              <w:ind w:firstLine="0"/>
              <w:jc w:val="left"/>
            </w:pPr>
            <w:r>
              <w:rPr>
                <w:rFonts w:ascii="Times New Roman" w:hAnsi="Times New Roman"/>
                <w:sz w:val="18"/>
              </w:rPr>
              <w:t xml:space="preserve">Usuario</w:t>
            </w:r>
          </w:p>
        </w:tc>
        <w:tc>
          <w:tcPr/>
          <w:p>
            <w:pPr>
              <w:pStyle w:val="Compact"/>
              <w:spacing w:line="240" w:lineRule="auto" w:after="0"/>
              <w:ind w:firstLine="0"/>
              <w:jc w:val="left"/>
            </w:pPr>
            <w:r>
              <w:rPr>
                <w:rFonts w:ascii="Times New Roman" w:hAnsi="Times New Roman"/>
                <w:sz w:val="18"/>
              </w:rPr>
              <w:t xml:space="preserve">16 procedimientos por rol</w:t>
            </w:r>
          </w:p>
        </w:tc>
        <w:tc>
          <w:tcPr/>
          <w:p>
            <w:pPr>
              <w:pStyle w:val="Compact"/>
              <w:spacing w:line="240" w:lineRule="auto" w:after="0"/>
              <w:ind w:firstLine="0"/>
              <w:jc w:val="left"/>
            </w:pPr>
            <w:r>
              <w:rPr>
                <w:rFonts w:ascii="Times New Roman" w:hAnsi="Times New Roman"/>
                <w:sz w:val="18"/>
              </w:rPr>
              <w:t xml:space="preserve">capturas y capacitación</w:t>
            </w:r>
          </w:p>
        </w:tc>
      </w:tr>
      <w:tr>
        <w:tc>
          <w:tcPr/>
          <w:p>
            <w:pPr>
              <w:pStyle w:val="Compact"/>
              <w:spacing w:line="240" w:lineRule="auto" w:after="0"/>
              <w:ind w:firstLine="0"/>
              <w:jc w:val="left"/>
            </w:pPr>
            <w:r>
              <w:rPr>
                <w:rFonts w:ascii="Times New Roman" w:hAnsi="Times New Roman"/>
                <w:sz w:val="18"/>
              </w:rPr>
              <w:t xml:space="preserve">Investigación</w:t>
            </w:r>
          </w:p>
        </w:tc>
        <w:tc>
          <w:tcPr/>
          <w:p>
            <w:pPr>
              <w:pStyle w:val="Compact"/>
              <w:spacing w:line="240" w:lineRule="auto" w:after="0"/>
              <w:ind w:firstLine="0"/>
              <w:jc w:val="left"/>
            </w:pPr>
            <w:r>
              <w:rPr>
                <w:rFonts w:ascii="Times New Roman" w:hAnsi="Times New Roman"/>
                <w:sz w:val="18"/>
              </w:rPr>
              <w:t xml:space="preserve">artículos ES/EN y bibliografía</w:t>
            </w:r>
          </w:p>
        </w:tc>
        <w:tc>
          <w:tcPr/>
          <w:p>
            <w:pPr>
              <w:pStyle w:val="Compact"/>
              <w:spacing w:line="240" w:lineRule="auto" w:after="0"/>
              <w:ind w:firstLine="0"/>
              <w:jc w:val="left"/>
            </w:pPr>
            <w:r>
              <w:rPr>
                <w:rFonts w:ascii="Times New Roman" w:hAnsi="Times New Roman"/>
                <w:sz w:val="18"/>
              </w:rPr>
              <w:t xml:space="preserve">autoría/ajuste revista y revisión externa</w:t>
            </w:r>
          </w:p>
        </w:tc>
      </w:tr>
      <w:tr>
        <w:tc>
          <w:tcPr/>
          <w:p>
            <w:pPr>
              <w:pStyle w:val="Compact"/>
              <w:spacing w:line="240" w:lineRule="auto" w:after="0"/>
              <w:ind w:firstLine="0"/>
              <w:jc w:val="left"/>
            </w:pPr>
            <w:r>
              <w:rPr>
                <w:rFonts w:ascii="Times New Roman" w:hAnsi="Times New Roman"/>
                <w:sz w:val="18"/>
              </w:rPr>
              <w:t xml:space="preserve">Operación</w:t>
            </w:r>
          </w:p>
        </w:tc>
        <w:tc>
          <w:tcPr/>
          <w:p>
            <w:pPr>
              <w:pStyle w:val="Compact"/>
              <w:spacing w:line="240" w:lineRule="auto" w:after="0"/>
              <w:ind w:firstLine="0"/>
              <w:jc w:val="left"/>
            </w:pPr>
            <w:r>
              <w:rPr>
                <w:rFonts w:ascii="Times New Roman" w:hAnsi="Times New Roman"/>
                <w:sz w:val="18"/>
              </w:rPr>
              <w:t xml:space="preserve">controles y plan de mejora</w:t>
            </w:r>
          </w:p>
        </w:tc>
        <w:tc>
          <w:tcPr/>
          <w:p>
            <w:pPr>
              <w:pStyle w:val="Compact"/>
              <w:spacing w:line="240" w:lineRule="auto" w:after="0"/>
              <w:ind w:firstLine="0"/>
              <w:jc w:val="left"/>
            </w:pPr>
            <w:r>
              <w:rPr>
                <w:rFonts w:ascii="Times New Roman" w:hAnsi="Times New Roman"/>
                <w:sz w:val="18"/>
              </w:rPr>
              <w:t xml:space="preserve">simulacro incidente y copias</w:t>
            </w:r>
          </w:p>
        </w:tc>
      </w:tr>
    </w:tbl>
    <w:bookmarkEnd w:id="25"/>
    <w:bookmarkStart w:id="26" w:name="Xafc665202206d17767aee0465766fa20c68a40d"/>
    <w:p>
      <w:pPr>
        <w:pStyle w:val="Heading2"/>
        <w:keepNext/>
        <w:ind w:firstLine="0"/>
      </w:pPr>
      <w:r>
        <w:rPr>
          <w:color w:val="000000"/>
        </w:rPr>
        <w:t xml:space="preserve">8. Resultados observados vs. resultados pendientes</w:t>
      </w:r>
    </w:p>
    <w:p>
      <w:pPr>
        <w:pStyle w:val="FirstParagraph"/>
        <w:spacing w:line="480" w:lineRule="auto" w:after="0"/>
        <w:ind w:firstLine="720"/>
      </w:pPr>
      <w:r>
        <w:rPr>
          <w:b/>
          <w:bCs/>
        </w:rPr>
        <w:t xml:space="preserve">Observado en repositorio:</w:t>
      </w:r>
      <w:r>
        <w:t xml:space="preserve"> </w:t>
      </w:r>
      <w:r>
        <w:t xml:space="preserve">stack .NET 8 con EF Core y SignalR, clientes Next.js y Expo, rutas para pedidos, productos, pagos y entregas, DbSets de múltiples dominios y existencia de lógica Wompi.</w:t>
      </w:r>
      <w:r>
        <w:t xml:space="preserve"> </w:t>
      </w:r>
      <w:r>
        <w:rPr>
          <w:b/>
          <w:bCs/>
        </w:rPr>
        <w:t xml:space="preserve">No observado experimentalmente:</w:t>
      </w:r>
      <w:r>
        <w:t xml:space="preserve"> </w:t>
      </w:r>
      <w:r>
        <w:t xml:space="preserve">tasa de transacciones exitosas, disponibilidad real, carga máxima, beneficio comercial, satisfacción de usuarios, precisión de geolocalización y seguridad demostrada.</w:t>
      </w:r>
    </w:p>
    <w:p>
      <w:pPr>
        <w:pStyle w:val="BodyText"/>
        <w:spacing w:line="480" w:lineRule="auto" w:after="0"/>
        <w:ind w:firstLine="720"/>
      </w:pPr>
      <w:r>
        <w:t xml:space="preserve">Los diagramas documentan la arquitectura inferida; un diagrama no sustituye trazas o configuración desplegada. El informe se clasifica como cierre</w:t>
      </w:r>
      <w:r>
        <w:t xml:space="preserve"> </w:t>
      </w:r>
      <w:r>
        <w:rPr>
          <w:b/>
          <w:bCs/>
        </w:rPr>
        <w:t xml:space="preserve">documental preliminar</w:t>
      </w:r>
      <w:r>
        <w:t xml:space="preserve">, no acta de puesta en producción.</w:t>
      </w:r>
    </w:p>
    <w:bookmarkEnd w:id="26"/>
    <w:bookmarkStart w:id="27" w:name="Xf03d36cae7a98f66b20dc100899efd059468604"/>
    <w:p>
      <w:pPr>
        <w:pStyle w:val="Heading2"/>
        <w:keepNext/>
        <w:ind w:firstLine="0"/>
      </w:pPr>
      <w:r>
        <w:rPr>
          <w:color w:val="000000"/>
        </w:rPr>
        <w:t xml:space="preserve">9. Conclusiones, amenazas a validez y recomendaciones</w:t>
      </w:r>
    </w:p>
    <w:p>
      <w:pPr>
        <w:pStyle w:val="FirstParagraph"/>
        <w:spacing w:line="480" w:lineRule="auto" w:after="0"/>
        <w:ind w:firstLine="720"/>
      </w:pPr>
      <w:r>
        <w:t xml:space="preserve">La separación de clientes y una API centralizada constituyen una base verificable para centralizar flujos gastronómicos. El dominio integra relaciones críticas pedido–pago–entrega y permisos por sede. Sin embargo, la robustez operativa requiere resolver idempotencia de Wompi, aislamiento de objetos, estrategia de migración y evidencia de pruebas.</w:t>
      </w:r>
    </w:p>
    <w:p>
      <w:pPr>
        <w:pStyle w:val="BodyText"/>
        <w:spacing w:line="480" w:lineRule="auto" w:after="0"/>
        <w:ind w:firstLine="720"/>
      </w:pPr>
      <w:r>
        <w:rPr>
          <w:b/>
          <w:bCs/>
        </w:rPr>
        <w:t xml:space="preserve">Limitaciones:</w:t>
      </w:r>
      <w:r>
        <w:t xml:space="preserve"> </w:t>
      </w:r>
      <w:r>
        <w:t xml:space="preserve">acceso a código fuente, no a ambiente de despliegue; fuentes bibliográficas dirigidas, no revisión sistemática completa; no se dispone de registros de usuarios ni instrumentación; no hay aprobación del instructor ni métricas de producción.</w:t>
      </w:r>
    </w:p>
    <w:p>
      <w:pPr>
        <w:pStyle w:val="BodyText"/>
        <w:spacing w:line="480" w:lineRule="auto" w:after="0"/>
        <w:ind w:firstLine="720"/>
      </w:pPr>
      <w:r>
        <w:rPr>
          <w:b/>
          <w:bCs/>
        </w:rPr>
        <w:t xml:space="preserve">Siguientes hitos:</w:t>
      </w:r>
      <w:r>
        <w:t xml:space="preserve"> </w:t>
      </w:r>
      <w:r>
        <w:t xml:space="preserve">congelar SHAs, reproducir build, extraer OpenAPI y esquema físico, ejecutar los casos críticos, formalizar manuales de pantalla con capturas y actualizar este informe con resultados observados, hallazgos y bibliografía completa.</w:t>
      </w:r>
    </w:p>
    <w:bookmarkEnd w:id="27"/>
    <w:bookmarkStart w:id="28" w:name="X120da2bbeb95d23dc2593955d53be984af803d6"/>
    <w:p>
      <w:pPr>
        <w:pStyle w:val="Heading2"/>
        <w:keepNext/>
        <w:ind w:firstLine="0"/>
      </w:pPr>
      <w:r>
        <w:rPr>
          <w:color w:val="000000"/>
        </w:rPr>
        <w:t xml:space="preserve">10. Análisis del cumplimiento de los objetivos documentales</w:t>
      </w:r>
    </w:p>
    <w:p>
      <w:pPr>
        <w:pStyle w:val="FirstParagraph"/>
        <w:spacing w:line="480" w:lineRule="auto" w:after="0"/>
        <w:ind w:firstLine="720"/>
      </w:pPr>
      <w:r>
        <w:t xml:space="preserve">La inspección de código permitió reconocer el conjunto de clientes y componentes, mapear dominios de negocio y construir una línea base de documentación. Se cumplieron objetivos exclusivamente documentales: especificación de necesidades, caracterización de arquitectura, inventario parcial de contratos y modelos, preparación de escenarios de prueba y fundamentación bibliográfica. No se confirma el cumplimiento de objetivos que exigen ejecución, producción, satisfacción de usuarios o métricas de rendimiento.</w:t>
      </w:r>
    </w:p>
    <w:p>
      <w:pPr>
        <w:pStyle w:val="BodyText"/>
        <w:spacing w:line="480" w:lineRule="auto" w:after="0"/>
        <w:ind w:firstLine="720"/>
      </w:pPr>
      <w:r>
        <w:t xml:space="preserve">El valor del expediente reside en aportar trazabilidad del trabajo y facilitar que un revisor pueda comprender qué existe, dónde está implementado y cómo habría que comprobarlo. También identifica diferencias entre la descripción inicial del README y las dependencias actuales del proyecto, especialmente en la caracterización del backend. La denominación correcta es una API ASP.NET Core modular, no un sistema de microservicios verificados.</w:t>
      </w:r>
    </w:p>
    <w:bookmarkEnd w:id="28"/>
    <w:bookmarkStart w:id="29" w:name="valoración-por-dimensiones-de-calidad"/>
    <w:p>
      <w:pPr>
        <w:pStyle w:val="Heading2"/>
        <w:keepNext/>
        <w:ind w:firstLine="0"/>
      </w:pPr>
      <w:r>
        <w:rPr>
          <w:color w:val="000000"/>
        </w:rPr>
        <w:t xml:space="preserve">11. Valoración por dimensiones de calidad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blHeader w:val="true"/>
        </w:trPr>
        <w:tc>
          <w:tcPr/>
          <w:p>
            <w:pPr>
              <w:pStyle w:val="Compact"/>
              <w:spacing w:line="240" w:lineRule="auto" w:after="0"/>
              <w:ind w:firstLine="0"/>
              <w:jc w:val="left"/>
            </w:pPr>
            <w:r>
              <w:rPr>
                <w:rFonts w:ascii="Times New Roman" w:hAnsi="Times New Roman"/>
                <w:sz w:val="18"/>
              </w:rPr>
              <w:t xml:space="preserve">Dimensión</w:t>
            </w:r>
          </w:p>
        </w:tc>
        <w:tc>
          <w:tcPr/>
          <w:p>
            <w:pPr>
              <w:pStyle w:val="Compact"/>
              <w:spacing w:line="240" w:lineRule="auto" w:after="0"/>
              <w:ind w:firstLine="0"/>
              <w:jc w:val="left"/>
            </w:pPr>
            <w:r>
              <w:rPr>
                <w:rFonts w:ascii="Times New Roman" w:hAnsi="Times New Roman"/>
                <w:sz w:val="18"/>
              </w:rPr>
              <w:t xml:space="preserve">Hallazgo documentado</w:t>
            </w:r>
          </w:p>
        </w:tc>
        <w:tc>
          <w:tcPr/>
          <w:p>
            <w:pPr>
              <w:pStyle w:val="Compact"/>
              <w:spacing w:line="240" w:lineRule="auto" w:after="0"/>
              <w:ind w:firstLine="0"/>
              <w:jc w:val="left"/>
            </w:pPr>
            <w:r>
              <w:rPr>
                <w:rFonts w:ascii="Times New Roman" w:hAnsi="Times New Roman"/>
                <w:sz w:val="18"/>
              </w:rPr>
              <w:t xml:space="preserve">Prueba requerida</w:t>
            </w:r>
          </w:p>
        </w:tc>
      </w:tr>
      <w:tr>
        <w:tc>
          <w:tcPr/>
          <w:p>
            <w:pPr>
              <w:pStyle w:val="Compact"/>
              <w:spacing w:line="240" w:lineRule="auto" w:after="0"/>
              <w:ind w:firstLine="0"/>
              <w:jc w:val="left"/>
            </w:pPr>
            <w:r>
              <w:rPr>
                <w:rFonts w:ascii="Times New Roman" w:hAnsi="Times New Roman"/>
                <w:sz w:val="18"/>
              </w:rPr>
              <w:t xml:space="preserve">Adecuación funcional</w:t>
            </w:r>
          </w:p>
        </w:tc>
        <w:tc>
          <w:tcPr/>
          <w:p>
            <w:pPr>
              <w:pStyle w:val="Compact"/>
              <w:spacing w:line="240" w:lineRule="auto" w:after="0"/>
              <w:ind w:firstLine="0"/>
              <w:jc w:val="left"/>
            </w:pPr>
            <w:r>
              <w:rPr>
                <w:rFonts w:ascii="Times New Roman" w:hAnsi="Times New Roman"/>
                <w:sz w:val="18"/>
              </w:rPr>
              <w:t xml:space="preserve">Rutas y modelos de negocio identificados</w:t>
            </w:r>
          </w:p>
        </w:tc>
        <w:tc>
          <w:tcPr/>
          <w:p>
            <w:pPr>
              <w:pStyle w:val="Compact"/>
              <w:spacing w:line="240" w:lineRule="auto" w:after="0"/>
              <w:ind w:firstLine="0"/>
              <w:jc w:val="left"/>
            </w:pPr>
            <w:r>
              <w:rPr>
                <w:rFonts w:ascii="Times New Roman" w:hAnsi="Times New Roman"/>
                <w:sz w:val="18"/>
              </w:rPr>
              <w:t xml:space="preserve">Casos de aceptación usuario/operación</w:t>
            </w:r>
          </w:p>
        </w:tc>
      </w:tr>
      <w:tr>
        <w:tc>
          <w:tcPr/>
          <w:p>
            <w:pPr>
              <w:pStyle w:val="Compact"/>
              <w:spacing w:line="240" w:lineRule="auto" w:after="0"/>
              <w:ind w:firstLine="0"/>
              <w:jc w:val="left"/>
            </w:pPr>
            <w:r>
              <w:rPr>
                <w:rFonts w:ascii="Times New Roman" w:hAnsi="Times New Roman"/>
                <w:sz w:val="18"/>
              </w:rPr>
              <w:t xml:space="preserve">Seguridad</w:t>
            </w:r>
          </w:p>
        </w:tc>
        <w:tc>
          <w:tcPr/>
          <w:p>
            <w:pPr>
              <w:pStyle w:val="Compact"/>
              <w:spacing w:line="240" w:lineRule="auto" w:after="0"/>
              <w:ind w:firstLine="0"/>
              <w:jc w:val="left"/>
            </w:pPr>
            <w:r>
              <w:rPr>
                <w:rFonts w:ascii="Times New Roman" w:hAnsi="Times New Roman"/>
                <w:sz w:val="18"/>
              </w:rPr>
              <w:t xml:space="preserve">JWT, roles y políticas presentes</w:t>
            </w:r>
          </w:p>
        </w:tc>
        <w:tc>
          <w:tcPr/>
          <w:p>
            <w:pPr>
              <w:pStyle w:val="Compact"/>
              <w:spacing w:line="240" w:lineRule="auto" w:after="0"/>
              <w:ind w:firstLine="0"/>
              <w:jc w:val="left"/>
            </w:pPr>
            <w:r>
              <w:rPr>
                <w:rFonts w:ascii="Times New Roman" w:hAnsi="Times New Roman"/>
                <w:sz w:val="18"/>
              </w:rPr>
              <w:t xml:space="preserve">Prueba negativa BOLA y Wompi</w:t>
            </w:r>
          </w:p>
        </w:tc>
      </w:tr>
      <w:tr>
        <w:tc>
          <w:tcPr/>
          <w:p>
            <w:pPr>
              <w:pStyle w:val="Compact"/>
              <w:spacing w:line="240" w:lineRule="auto" w:after="0"/>
              <w:ind w:firstLine="0"/>
              <w:jc w:val="left"/>
            </w:pPr>
            <w:r>
              <w:rPr>
                <w:rFonts w:ascii="Times New Roman" w:hAnsi="Times New Roman"/>
                <w:sz w:val="18"/>
              </w:rPr>
              <w:t xml:space="preserve">Fiabilidad</w:t>
            </w:r>
          </w:p>
        </w:tc>
        <w:tc>
          <w:tcPr/>
          <w:p>
            <w:pPr>
              <w:pStyle w:val="Compact"/>
              <w:spacing w:line="240" w:lineRule="auto" w:after="0"/>
              <w:ind w:firstLine="0"/>
              <w:jc w:val="left"/>
            </w:pPr>
            <w:r>
              <w:rPr>
                <w:rFonts w:ascii="Times New Roman" w:hAnsi="Times New Roman"/>
                <w:sz w:val="18"/>
              </w:rPr>
              <w:t xml:space="preserve">Persistencia relacional y transiciones</w:t>
            </w:r>
          </w:p>
        </w:tc>
        <w:tc>
          <w:tcPr/>
          <w:p>
            <w:pPr>
              <w:pStyle w:val="Compact"/>
              <w:spacing w:line="240" w:lineRule="auto" w:after="0"/>
              <w:ind w:firstLine="0"/>
              <w:jc w:val="left"/>
            </w:pPr>
            <w:r>
              <w:rPr>
                <w:rFonts w:ascii="Times New Roman" w:hAnsi="Times New Roman"/>
                <w:sz w:val="18"/>
              </w:rPr>
              <w:t xml:space="preserve">Fallo/reintento y recuperación</w:t>
            </w:r>
          </w:p>
        </w:tc>
      </w:tr>
      <w:tr>
        <w:tc>
          <w:tcPr/>
          <w:p>
            <w:pPr>
              <w:pStyle w:val="Compact"/>
              <w:spacing w:line="240" w:lineRule="auto" w:after="0"/>
              <w:ind w:firstLine="0"/>
              <w:jc w:val="left"/>
            </w:pPr>
            <w:r>
              <w:rPr>
                <w:rFonts w:ascii="Times New Roman" w:hAnsi="Times New Roman"/>
                <w:sz w:val="18"/>
              </w:rPr>
              <w:t xml:space="preserve">Mantenibilidad</w:t>
            </w:r>
          </w:p>
        </w:tc>
        <w:tc>
          <w:tcPr/>
          <w:p>
            <w:pPr>
              <w:pStyle w:val="Compact"/>
              <w:spacing w:line="240" w:lineRule="auto" w:after="0"/>
              <w:ind w:firstLine="0"/>
              <w:jc w:val="left"/>
            </w:pPr>
            <w:r>
              <w:rPr>
                <w:rFonts w:ascii="Times New Roman" w:hAnsi="Times New Roman"/>
                <w:sz w:val="18"/>
              </w:rPr>
              <w:t xml:space="preserve">Módulos backend y features clientes</w:t>
            </w:r>
          </w:p>
        </w:tc>
        <w:tc>
          <w:tcPr/>
          <w:p>
            <w:pPr>
              <w:pStyle w:val="Compact"/>
              <w:spacing w:line="240" w:lineRule="auto" w:after="0"/>
              <w:ind w:firstLine="0"/>
              <w:jc w:val="left"/>
            </w:pPr>
            <w:r>
              <w:rPr>
                <w:rFonts w:ascii="Times New Roman" w:hAnsi="Times New Roman"/>
                <w:sz w:val="18"/>
              </w:rPr>
              <w:t xml:space="preserve">Cobertura de pruebas, complejidad</w:t>
            </w:r>
          </w:p>
        </w:tc>
      </w:tr>
      <w:tr>
        <w:tc>
          <w:tcPr/>
          <w:p>
            <w:pPr>
              <w:pStyle w:val="Compact"/>
              <w:spacing w:line="240" w:lineRule="auto" w:after="0"/>
              <w:ind w:firstLine="0"/>
              <w:jc w:val="left"/>
            </w:pPr>
            <w:r>
              <w:rPr>
                <w:rFonts w:ascii="Times New Roman" w:hAnsi="Times New Roman"/>
                <w:sz w:val="18"/>
              </w:rPr>
              <w:t xml:space="preserve">Portabilidad</w:t>
            </w:r>
          </w:p>
        </w:tc>
        <w:tc>
          <w:tcPr/>
          <w:p>
            <w:pPr>
              <w:pStyle w:val="Compact"/>
              <w:spacing w:line="240" w:lineRule="auto" w:after="0"/>
              <w:ind w:firstLine="0"/>
              <w:jc w:val="left"/>
            </w:pPr>
            <w:r>
              <w:rPr>
                <w:rFonts w:ascii="Times New Roman" w:hAnsi="Times New Roman"/>
                <w:sz w:val="18"/>
              </w:rPr>
              <w:t xml:space="preserve">Dockerfile API y clientes multiplataforma</w:t>
            </w:r>
          </w:p>
        </w:tc>
        <w:tc>
          <w:tcPr/>
          <w:p>
            <w:pPr>
              <w:pStyle w:val="Compact"/>
              <w:spacing w:line="240" w:lineRule="auto" w:after="0"/>
              <w:ind w:firstLine="0"/>
              <w:jc w:val="left"/>
            </w:pPr>
            <w:r>
              <w:rPr>
                <w:rFonts w:ascii="Times New Roman" w:hAnsi="Times New Roman"/>
                <w:sz w:val="18"/>
              </w:rPr>
              <w:t xml:space="preserve">Construcción en ambiente fresco</w:t>
            </w:r>
          </w:p>
        </w:tc>
      </w:tr>
      <w:tr>
        <w:tc>
          <w:tcPr/>
          <w:p>
            <w:pPr>
              <w:pStyle w:val="Compact"/>
              <w:spacing w:line="240" w:lineRule="auto" w:after="0"/>
              <w:ind w:firstLine="0"/>
              <w:jc w:val="left"/>
            </w:pPr>
            <w:r>
              <w:rPr>
                <w:rFonts w:ascii="Times New Roman" w:hAnsi="Times New Roman"/>
                <w:sz w:val="18"/>
              </w:rPr>
              <w:t xml:space="preserve">Rendimiento</w:t>
            </w:r>
          </w:p>
        </w:tc>
        <w:tc>
          <w:tcPr/>
          <w:p>
            <w:pPr>
              <w:pStyle w:val="Compact"/>
              <w:spacing w:line="240" w:lineRule="auto" w:after="0"/>
              <w:ind w:firstLine="0"/>
              <w:jc w:val="left"/>
            </w:pPr>
            <w:r>
              <w:rPr>
                <w:rFonts w:ascii="Times New Roman" w:hAnsi="Times New Roman"/>
                <w:sz w:val="18"/>
              </w:rPr>
              <w:t xml:space="preserve">No se obtuvo instrumentación real</w:t>
            </w:r>
          </w:p>
        </w:tc>
        <w:tc>
          <w:tcPr/>
          <w:p>
            <w:pPr>
              <w:pStyle w:val="Compact"/>
              <w:spacing w:line="240" w:lineRule="auto" w:after="0"/>
              <w:ind w:firstLine="0"/>
              <w:jc w:val="left"/>
            </w:pPr>
            <w:r>
              <w:rPr>
                <w:rFonts w:ascii="Times New Roman" w:hAnsi="Times New Roman"/>
                <w:sz w:val="18"/>
              </w:rPr>
              <w:t xml:space="preserve">Carga p50/p95 con configuración descrita</w:t>
            </w:r>
          </w:p>
        </w:tc>
      </w:tr>
      <w:tr>
        <w:tc>
          <w:tcPr/>
          <w:p>
            <w:pPr>
              <w:pStyle w:val="Compact"/>
              <w:spacing w:line="240" w:lineRule="auto" w:after="0"/>
              <w:ind w:firstLine="0"/>
              <w:jc w:val="left"/>
            </w:pPr>
            <w:r>
              <w:rPr>
                <w:rFonts w:ascii="Times New Roman" w:hAnsi="Times New Roman"/>
                <w:sz w:val="18"/>
              </w:rPr>
              <w:t xml:space="preserve">Usabilidad</w:t>
            </w:r>
          </w:p>
        </w:tc>
        <w:tc>
          <w:tcPr/>
          <w:p>
            <w:pPr>
              <w:pStyle w:val="Compact"/>
              <w:spacing w:line="240" w:lineRule="auto" w:after="0"/>
              <w:ind w:firstLine="0"/>
              <w:jc w:val="left"/>
            </w:pPr>
            <w:r>
              <w:rPr>
                <w:rFonts w:ascii="Times New Roman" w:hAnsi="Times New Roman"/>
                <w:sz w:val="18"/>
              </w:rPr>
              <w:t xml:space="preserve">Pantallas y componentes disponibles</w:t>
            </w:r>
          </w:p>
        </w:tc>
        <w:tc>
          <w:tcPr/>
          <w:p>
            <w:pPr>
              <w:pStyle w:val="Compact"/>
              <w:spacing w:line="240" w:lineRule="auto" w:after="0"/>
              <w:ind w:firstLine="0"/>
              <w:jc w:val="left"/>
            </w:pPr>
            <w:r>
              <w:rPr>
                <w:rFonts w:ascii="Times New Roman" w:hAnsi="Times New Roman"/>
                <w:sz w:val="18"/>
              </w:rPr>
              <w:t xml:space="preserve">Prueba de tareas con usuarios</w:t>
            </w:r>
          </w:p>
        </w:tc>
      </w:tr>
      <w:tr>
        <w:tc>
          <w:tcPr/>
          <w:p>
            <w:pPr>
              <w:pStyle w:val="Compact"/>
              <w:spacing w:line="240" w:lineRule="auto" w:after="0"/>
              <w:ind w:firstLine="0"/>
              <w:jc w:val="left"/>
            </w:pPr>
            <w:r>
              <w:rPr>
                <w:rFonts w:ascii="Times New Roman" w:hAnsi="Times New Roman"/>
                <w:sz w:val="18"/>
              </w:rPr>
              <w:t xml:space="preserve">Compatibilidad</w:t>
            </w:r>
          </w:p>
        </w:tc>
        <w:tc>
          <w:tcPr/>
          <w:p>
            <w:pPr>
              <w:pStyle w:val="Compact"/>
              <w:spacing w:line="240" w:lineRule="auto" w:after="0"/>
              <w:ind w:firstLine="0"/>
              <w:jc w:val="left"/>
            </w:pPr>
            <w:r>
              <w:rPr>
                <w:rFonts w:ascii="Times New Roman" w:hAnsi="Times New Roman"/>
                <w:sz w:val="18"/>
              </w:rPr>
              <w:t xml:space="preserve">Versiones múltiples de clientes y API</w:t>
            </w:r>
          </w:p>
        </w:tc>
        <w:tc>
          <w:tcPr/>
          <w:p>
            <w:pPr>
              <w:pStyle w:val="Compact"/>
              <w:spacing w:line="240" w:lineRule="auto" w:after="0"/>
              <w:ind w:firstLine="0"/>
              <w:jc w:val="left"/>
            </w:pPr>
            <w:r>
              <w:rPr>
                <w:rFonts w:ascii="Times New Roman" w:hAnsi="Times New Roman"/>
                <w:sz w:val="18"/>
              </w:rPr>
              <w:t xml:space="preserve">Pruebas de contratos compatibles</w:t>
            </w:r>
          </w:p>
        </w:tc>
      </w:tr>
    </w:tbl>
    <w:bookmarkEnd w:id="29"/>
    <w:bookmarkStart w:id="30" w:name="discusión-de-resultados-y-limitaciones"/>
    <w:p>
      <w:pPr>
        <w:pStyle w:val="Heading2"/>
        <w:keepNext/>
        <w:ind w:firstLine="0"/>
      </w:pPr>
      <w:r>
        <w:rPr>
          <w:color w:val="000000"/>
        </w:rPr>
        <w:t xml:space="preserve">12. Discusión de resultados y limitaciones</w:t>
      </w:r>
    </w:p>
    <w:p>
      <w:pPr>
        <w:pStyle w:val="FirstParagraph"/>
        <w:spacing w:line="480" w:lineRule="auto" w:after="0"/>
        <w:ind w:firstLine="720"/>
      </w:pPr>
      <w:r>
        <w:t xml:space="preserve">El sistema presenta una separación técnica de preocupaciones suficiente para desarrollar una documentación profesional por componentes. No obstante, el repositorio de documentos contenía originalmente archivos binarios de tamaño cero y afirmaciones tecnológicas desactualizadas. Esas brechas dificultan revisión, reproducción y sustentación de decisiones, por lo que fueron un objetivo de esta intervención documental.</w:t>
      </w:r>
    </w:p>
    <w:p>
      <w:pPr>
        <w:pStyle w:val="BodyText"/>
        <w:spacing w:line="480" w:lineRule="auto" w:after="0"/>
        <w:ind w:firstLine="720"/>
      </w:pPr>
      <w:r>
        <w:t xml:space="preserve">La inspección es una modalidad de evidencia limitada: la existencia de una acción API demuestra intención e implementación estructural, pero no funcionamiento correcto en ambiente real. Del mismo modo, la presencia de políticas de autorización no permite deducir aislamiento total entre sedes sin casos negativos. La literatura científica sirve para establecer variables de calidad y confianza, no para atribuir a SaborExpress resultados estadísticos obtenidos en otros países.</w:t>
      </w:r>
    </w:p>
    <w:bookmarkEnd w:id="30"/>
    <w:bookmarkStart w:id="31" w:name="recomendaciones-de-cierre-y-hoja-de-ruta"/>
    <w:p>
      <w:pPr>
        <w:pStyle w:val="Heading2"/>
        <w:keepNext/>
        <w:ind w:firstLine="0"/>
      </w:pPr>
      <w:r>
        <w:rPr>
          <w:color w:val="000000"/>
        </w:rPr>
        <w:t xml:space="preserve">13. Recomendaciones de cierre y hoja de ruta</w:t>
      </w:r>
    </w:p>
    <w:p>
      <w:pPr>
        <w:pStyle w:val="FirstParagraph"/>
        <w:spacing w:line="480" w:lineRule="auto" w:after="0"/>
        <w:ind w:firstLine="720"/>
      </w:pPr>
      <w:r>
        <w:t xml:space="preserve">Se propone ejecutar primero pruebas de integridad de pedido–detalle–pago, seguido de aislamiento de clientes y sedes, webhook auténtico e idempotente, recuperación de red, control de turnos, restauración de la base de datos y compatibilidad de versiones de móvil. Después podrán instrumentarse tiempos y errores en servidor, realizar pruebas de accesibilidad y recoger percepción de usuarios con consentimiento.</w:t>
      </w:r>
    </w:p>
    <w:p>
      <w:pPr>
        <w:pStyle w:val="BodyText"/>
        <w:spacing w:line="480" w:lineRule="auto" w:after="0"/>
        <w:ind w:firstLine="720"/>
      </w:pPr>
      <w:r>
        <w:t xml:space="preserve">La entrega de artículos científicos debe pasar por una revisión final de autoría, filiación, bibliografía alfabética, coincidencia entre referencias y citas, licencia de figuras y declaraciones éticas. Antes de una sustentación deben reemplazarse capturas esquemáticas por evidencia de los módulos operativos y documentar resultados reales sin alterarlos.</w:t>
      </w:r>
    </w:p>
    <w:bookmarkEnd w:id="31"/>
    <w:bookmarkStart w:id="32" w:name="X62a1df4418594797f594ddd6d713e6021bb3610"/>
    <w:p>
      <w:pPr>
        <w:pStyle w:val="Heading2"/>
        <w:keepNext/>
        <w:ind w:firstLine="0"/>
      </w:pPr>
      <w:r>
        <w:rPr>
          <w:color w:val="000000"/>
        </w:rPr>
        <w:t xml:space="preserve">14. Registro final de pendientes no simulables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blHeader w:val="true"/>
        </w:trPr>
        <w:tc>
          <w:tcPr/>
          <w:p>
            <w:pPr>
              <w:pStyle w:val="Compact"/>
              <w:spacing w:line="240" w:lineRule="auto" w:after="0"/>
              <w:ind w:firstLine="0"/>
              <w:jc w:val="left"/>
            </w:pPr>
            <w:r>
              <w:rPr>
                <w:rFonts w:ascii="Times New Roman" w:hAnsi="Times New Roman"/>
                <w:sz w:val="18"/>
              </w:rPr>
              <w:t xml:space="preserve">Pendiente</w:t>
            </w:r>
          </w:p>
        </w:tc>
        <w:tc>
          <w:tcPr/>
          <w:p>
            <w:pPr>
              <w:pStyle w:val="Compact"/>
              <w:spacing w:line="240" w:lineRule="auto" w:after="0"/>
              <w:ind w:firstLine="0"/>
              <w:jc w:val="left"/>
            </w:pPr>
            <w:r>
              <w:rPr>
                <w:rFonts w:ascii="Times New Roman" w:hAnsi="Times New Roman"/>
                <w:sz w:val="18"/>
              </w:rPr>
              <w:t xml:space="preserve">Por qué no se puede afirmar terminado</w:t>
            </w:r>
          </w:p>
        </w:tc>
        <w:tc>
          <w:tcPr/>
          <w:p>
            <w:pPr>
              <w:pStyle w:val="Compact"/>
              <w:spacing w:line="240" w:lineRule="auto" w:after="0"/>
              <w:ind w:firstLine="0"/>
              <w:jc w:val="left"/>
            </w:pPr>
            <w:r>
              <w:rPr>
                <w:rFonts w:ascii="Times New Roman" w:hAnsi="Times New Roman"/>
                <w:sz w:val="18"/>
              </w:rPr>
              <w:t xml:space="preserve">Prueba material requerida</w:t>
            </w:r>
          </w:p>
        </w:tc>
      </w:tr>
      <w:tr>
        <w:tc>
          <w:tcPr/>
          <w:p>
            <w:pPr>
              <w:pStyle w:val="Compact"/>
              <w:spacing w:line="240" w:lineRule="auto" w:after="0"/>
              <w:ind w:firstLine="0"/>
              <w:jc w:val="left"/>
            </w:pPr>
            <w:r>
              <w:rPr>
                <w:rFonts w:ascii="Times New Roman" w:hAnsi="Times New Roman"/>
                <w:sz w:val="18"/>
              </w:rPr>
              <w:t xml:space="preserve">Aceptación funcional</w:t>
            </w:r>
          </w:p>
        </w:tc>
        <w:tc>
          <w:tcPr/>
          <w:p>
            <w:pPr>
              <w:pStyle w:val="Compact"/>
              <w:spacing w:line="240" w:lineRule="auto" w:after="0"/>
              <w:ind w:firstLine="0"/>
              <w:jc w:val="left"/>
            </w:pPr>
            <w:r>
              <w:rPr>
                <w:rFonts w:ascii="Times New Roman" w:hAnsi="Times New Roman"/>
                <w:sz w:val="18"/>
              </w:rPr>
              <w:t xml:space="preserve">Sin acta de usuario/QA</w:t>
            </w:r>
          </w:p>
        </w:tc>
        <w:tc>
          <w:tcPr/>
          <w:p>
            <w:pPr>
              <w:pStyle w:val="Compact"/>
              <w:spacing w:line="240" w:lineRule="auto" w:after="0"/>
              <w:ind w:firstLine="0"/>
              <w:jc w:val="left"/>
            </w:pPr>
            <w:r>
              <w:rPr>
                <w:rFonts w:ascii="Times New Roman" w:hAnsi="Times New Roman"/>
                <w:sz w:val="18"/>
              </w:rPr>
              <w:t xml:space="preserve">Firmas y ejecución de casos</w:t>
            </w:r>
          </w:p>
        </w:tc>
      </w:tr>
      <w:tr>
        <w:tc>
          <w:tcPr/>
          <w:p>
            <w:pPr>
              <w:pStyle w:val="Compact"/>
              <w:spacing w:line="240" w:lineRule="auto" w:after="0"/>
              <w:ind w:firstLine="0"/>
              <w:jc w:val="left"/>
            </w:pPr>
            <w:r>
              <w:rPr>
                <w:rFonts w:ascii="Times New Roman" w:hAnsi="Times New Roman"/>
                <w:sz w:val="18"/>
              </w:rPr>
              <w:t xml:space="preserve">Esquema físico SQL</w:t>
            </w:r>
          </w:p>
        </w:tc>
        <w:tc>
          <w:tcPr/>
          <w:p>
            <w:pPr>
              <w:pStyle w:val="Compact"/>
              <w:spacing w:line="240" w:lineRule="auto" w:after="0"/>
              <w:ind w:firstLine="0"/>
              <w:jc w:val="left"/>
            </w:pPr>
            <w:r>
              <w:rPr>
                <w:rFonts w:ascii="Times New Roman" w:hAnsi="Times New Roman"/>
                <w:sz w:val="18"/>
              </w:rPr>
              <w:t xml:space="preserve">Modelo con proveedor configurable</w:t>
            </w:r>
          </w:p>
        </w:tc>
        <w:tc>
          <w:tcPr/>
          <w:p>
            <w:pPr>
              <w:pStyle w:val="Compact"/>
              <w:spacing w:line="240" w:lineRule="auto" w:after="0"/>
              <w:ind w:firstLine="0"/>
              <w:jc w:val="left"/>
            </w:pPr>
            <w:r>
              <w:rPr>
                <w:rFonts w:ascii="Times New Roman" w:hAnsi="Times New Roman"/>
                <w:sz w:val="18"/>
              </w:rPr>
              <w:t xml:space="preserve">DDL exportado por motor</w:t>
            </w:r>
          </w:p>
        </w:tc>
      </w:tr>
      <w:tr>
        <w:tc>
          <w:tcPr/>
          <w:p>
            <w:pPr>
              <w:pStyle w:val="Compact"/>
              <w:spacing w:line="240" w:lineRule="auto" w:after="0"/>
              <w:ind w:firstLine="0"/>
              <w:jc w:val="left"/>
            </w:pPr>
            <w:r>
              <w:rPr>
                <w:rFonts w:ascii="Times New Roman" w:hAnsi="Times New Roman"/>
                <w:sz w:val="18"/>
              </w:rPr>
              <w:t xml:space="preserve">Despliegue estable</w:t>
            </w:r>
          </w:p>
        </w:tc>
        <w:tc>
          <w:tcPr/>
          <w:p>
            <w:pPr>
              <w:pStyle w:val="Compact"/>
              <w:spacing w:line="240" w:lineRule="auto" w:after="0"/>
              <w:ind w:firstLine="0"/>
              <w:jc w:val="left"/>
            </w:pPr>
            <w:r>
              <w:rPr>
                <w:rFonts w:ascii="Times New Roman" w:hAnsi="Times New Roman"/>
                <w:sz w:val="18"/>
              </w:rPr>
              <w:t xml:space="preserve">Sin acceso a infraestructura objetivo</w:t>
            </w:r>
          </w:p>
        </w:tc>
        <w:tc>
          <w:tcPr/>
          <w:p>
            <w:pPr>
              <w:pStyle w:val="Compact"/>
              <w:spacing w:line="240" w:lineRule="auto" w:after="0"/>
              <w:ind w:firstLine="0"/>
              <w:jc w:val="left"/>
            </w:pPr>
            <w:r>
              <w:rPr>
                <w:rFonts w:ascii="Times New Roman" w:hAnsi="Times New Roman"/>
                <w:sz w:val="18"/>
              </w:rPr>
              <w:t xml:space="preserve">Health, logs, trazas y respaldo</w:t>
            </w:r>
          </w:p>
        </w:tc>
      </w:tr>
      <w:tr>
        <w:tc>
          <w:tcPr/>
          <w:p>
            <w:pPr>
              <w:pStyle w:val="Compact"/>
              <w:spacing w:line="240" w:lineRule="auto" w:after="0"/>
              <w:ind w:firstLine="0"/>
              <w:jc w:val="left"/>
            </w:pPr>
            <w:r>
              <w:rPr>
                <w:rFonts w:ascii="Times New Roman" w:hAnsi="Times New Roman"/>
                <w:sz w:val="18"/>
              </w:rPr>
              <w:t xml:space="preserve">Rendimiento</w:t>
            </w:r>
          </w:p>
        </w:tc>
        <w:tc>
          <w:tcPr/>
          <w:p>
            <w:pPr>
              <w:pStyle w:val="Compact"/>
              <w:spacing w:line="240" w:lineRule="auto" w:after="0"/>
              <w:ind w:firstLine="0"/>
              <w:jc w:val="left"/>
            </w:pPr>
            <w:r>
              <w:rPr>
                <w:rFonts w:ascii="Times New Roman" w:hAnsi="Times New Roman"/>
                <w:sz w:val="18"/>
              </w:rPr>
              <w:t xml:space="preserve">Sin carga medida</w:t>
            </w:r>
          </w:p>
        </w:tc>
        <w:tc>
          <w:tcPr/>
          <w:p>
            <w:pPr>
              <w:pStyle w:val="Compact"/>
              <w:spacing w:line="240" w:lineRule="auto" w:after="0"/>
              <w:ind w:firstLine="0"/>
              <w:jc w:val="left"/>
            </w:pPr>
            <w:r>
              <w:rPr>
                <w:rFonts w:ascii="Times New Roman" w:hAnsi="Times New Roman"/>
                <w:sz w:val="18"/>
              </w:rPr>
              <w:t xml:space="preserve">Reporte JMeter/k6/otro</w:t>
            </w:r>
          </w:p>
        </w:tc>
      </w:tr>
      <w:tr>
        <w:tc>
          <w:tcPr/>
          <w:p>
            <w:pPr>
              <w:pStyle w:val="Compact"/>
              <w:spacing w:line="240" w:lineRule="auto" w:after="0"/>
              <w:ind w:firstLine="0"/>
              <w:jc w:val="left"/>
            </w:pPr>
            <w:r>
              <w:rPr>
                <w:rFonts w:ascii="Times New Roman" w:hAnsi="Times New Roman"/>
                <w:sz w:val="18"/>
              </w:rPr>
              <w:t xml:space="preserve">Usabilidad</w:t>
            </w:r>
          </w:p>
        </w:tc>
        <w:tc>
          <w:tcPr/>
          <w:p>
            <w:pPr>
              <w:pStyle w:val="Compact"/>
              <w:spacing w:line="240" w:lineRule="auto" w:after="0"/>
              <w:ind w:firstLine="0"/>
              <w:jc w:val="left"/>
            </w:pPr>
            <w:r>
              <w:rPr>
                <w:rFonts w:ascii="Times New Roman" w:hAnsi="Times New Roman"/>
                <w:sz w:val="18"/>
              </w:rPr>
              <w:t xml:space="preserve">Sin estudio de tareas</w:t>
            </w:r>
          </w:p>
        </w:tc>
        <w:tc>
          <w:tcPr/>
          <w:p>
            <w:pPr>
              <w:pStyle w:val="Compact"/>
              <w:spacing w:line="240" w:lineRule="auto" w:after="0"/>
              <w:ind w:firstLine="0"/>
              <w:jc w:val="left"/>
            </w:pPr>
            <w:r>
              <w:rPr>
                <w:rFonts w:ascii="Times New Roman" w:hAnsi="Times New Roman"/>
                <w:sz w:val="18"/>
              </w:rPr>
              <w:t xml:space="preserve">Consentimiento, protocolos, resultados</w:t>
            </w:r>
          </w:p>
        </w:tc>
      </w:tr>
      <w:tr>
        <w:tc>
          <w:tcPr/>
          <w:p>
            <w:pPr>
              <w:pStyle w:val="Compact"/>
              <w:spacing w:line="240" w:lineRule="auto" w:after="0"/>
              <w:ind w:firstLine="0"/>
              <w:jc w:val="left"/>
            </w:pPr>
            <w:r>
              <w:rPr>
                <w:rFonts w:ascii="Times New Roman" w:hAnsi="Times New Roman"/>
                <w:sz w:val="18"/>
              </w:rPr>
              <w:t xml:space="preserve">Conformidad editorial</w:t>
            </w:r>
          </w:p>
        </w:tc>
        <w:tc>
          <w:tcPr/>
          <w:p>
            <w:pPr>
              <w:pStyle w:val="Compact"/>
              <w:spacing w:line="240" w:lineRule="auto" w:after="0"/>
              <w:ind w:firstLine="0"/>
              <w:jc w:val="left"/>
            </w:pPr>
            <w:r>
              <w:rPr>
                <w:rFonts w:ascii="Times New Roman" w:hAnsi="Times New Roman"/>
                <w:sz w:val="18"/>
              </w:rPr>
              <w:t xml:space="preserve">Sin aprobación del instructor o revista</w:t>
            </w:r>
          </w:p>
        </w:tc>
        <w:tc>
          <w:tcPr/>
          <w:p>
            <w:pPr>
              <w:pStyle w:val="Compact"/>
              <w:spacing w:line="240" w:lineRule="auto" w:after="0"/>
              <w:ind w:firstLine="0"/>
              <w:jc w:val="left"/>
            </w:pPr>
            <w:r>
              <w:rPr>
                <w:rFonts w:ascii="Times New Roman" w:hAnsi="Times New Roman"/>
                <w:sz w:val="18"/>
              </w:rPr>
              <w:t xml:space="preserve">Plantilla, firmas y revisión</w:t>
            </w:r>
          </w:p>
        </w:tc>
      </w:tr>
    </w:tbl>
    <w:bookmarkEnd w:id="32"/>
    <w:bookmarkStart w:id="33" w:name="cierre-del-expediente"/>
    <w:p>
      <w:pPr>
        <w:pStyle w:val="Heading2"/>
        <w:keepNext/>
        <w:ind w:firstLine="0"/>
      </w:pPr>
      <w:r>
        <w:rPr>
          <w:color w:val="000000"/>
        </w:rPr>
        <w:t xml:space="preserve">15. Cierre del expediente</w:t>
      </w:r>
    </w:p>
    <w:p>
      <w:pPr>
        <w:pStyle w:val="FirstParagraph"/>
        <w:spacing w:line="480" w:lineRule="auto" w:after="0"/>
        <w:ind w:firstLine="720"/>
      </w:pPr>
      <w:r>
        <w:t xml:space="preserve">Este documento constituye un</w:t>
      </w:r>
      <w:r>
        <w:t xml:space="preserve"> </w:t>
      </w:r>
      <w:r>
        <w:rPr>
          <w:b/>
          <w:bCs/>
        </w:rPr>
        <w:t xml:space="preserve">informe final de caracterización documental y preparación de validación</w:t>
      </w:r>
      <w:r>
        <w:t xml:space="preserve">, no una certificación final del producto software. La versión pasa a estado</w:t>
      </w:r>
      <w:r>
        <w:t xml:space="preserve"> </w:t>
      </w:r>
      <w:r>
        <w:t xml:space="preserve">“</w:t>
      </w:r>
      <w:r>
        <w:t xml:space="preserve">lista para revisión técnica y académica</w:t>
      </w:r>
      <w:r>
        <w:t xml:space="preserve">”</w:t>
      </w:r>
      <w:r>
        <w:t xml:space="preserve"> </w:t>
      </w:r>
      <w:r>
        <w:t xml:space="preserve">una vez se cotejen los documentos con el commit objetivo, se eliminen secretos de los artefactos y el equipo apruebe el contenido. El cierre de pruebas, explotación y publicación exige evidencia adicional de los responsables correspondientes.</w:t>
      </w:r>
    </w:p>
    <w:bookmarkEnd w:id="33"/>
    <w:bookmarkStart w:id="34" w:name="fuentes-primarias-de-implementación"/>
    <w:p>
      <w:pPr>
        <w:pStyle w:val="Heading2"/>
        <w:keepNext/>
        <w:ind w:firstLine="0"/>
      </w:pPr>
      <w:r>
        <w:rPr>
          <w:color w:val="000000"/>
        </w:rPr>
        <w:t xml:space="preserve">Fuentes primarias de implementación</w:t>
      </w:r>
    </w:p>
    <w:p>
      <w:pPr>
        <w:pStyle w:val="Compact"/>
        <w:numPr>
          <w:ilvl w:val="0"/>
          <w:numId w:val="1001"/>
        </w:numPr>
      </w:pPr>
      <w:r>
        <w:t xml:space="preserve">API: https://github.com/yersonct/SaborExpressBack/tree/main</w:t>
      </w:r>
    </w:p>
    <w:p>
      <w:pPr>
        <w:pStyle w:val="Compact"/>
        <w:numPr>
          <w:ilvl w:val="0"/>
          <w:numId w:val="1001"/>
        </w:numPr>
      </w:pPr>
      <w:r>
        <w:t xml:space="preserve">Web: https://github.com/yersonct/SaborExpressWeb/tree/main</w:t>
      </w:r>
    </w:p>
    <w:p>
      <w:pPr>
        <w:pStyle w:val="Compact"/>
        <w:numPr>
          <w:ilvl w:val="0"/>
          <w:numId w:val="1001"/>
        </w:numPr>
      </w:pPr>
      <w:r>
        <w:t xml:space="preserve">Móvil: https://github.com/yersonct/SaborExpressMovil/tree/main</w:t>
      </w:r>
    </w:p>
    <w:p>
      <w:pPr>
        <w:pStyle w:val="Compact"/>
        <w:numPr>
          <w:ilvl w:val="0"/>
          <w:numId w:val="1001"/>
        </w:numPr>
      </w:pPr>
      <w:r>
        <w:t xml:space="preserve">Referencia de presentación: https://github.com/jsgh1/SRD-v1/tree/dev/docs/docs-SRD</w:t>
      </w:r>
    </w:p>
    <w:p>
      <w:pPr>
        <w:pStyle w:val="FirstParagraph"/>
        <w:spacing w:line="480" w:lineRule="auto" w:after="0"/>
        <w:ind w:firstLine="720"/>
      </w:pPr>
      <w:r>
        <w:rPr>
          <w:b/>
          <w:bCs/>
        </w:rPr>
        <w:t xml:space="preserve">Control documental:</w:t>
      </w:r>
      <w:r>
        <w:t xml:space="preserve"> </w:t>
      </w:r>
      <w:r>
        <w:t xml:space="preserve">documento elaborado a partir del estado observado en octubre de 2026. Antes de entregar, verificar el commit exacto, responsable, revisión del instructor y cualquier cambio posterior del código.</w:t>
      </w:r>
    </w:p>
    <w:bookmarkEnd w:id="34"/>
    <w:bookmarkEnd w:id="35"/>
    <w:sectPr>
      <w:head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ind w:firstLine="7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36" w:line="240" w:lineRule="auto"/>
      <w:ind w:firstLine="0"/>
    </w:pPr>
    <w:rPr>
      <w:rFonts w:ascii="Times New Roman" w:hAnsi="Times New Roman"/>
      <w:sz w:val="20"/>
    </w:rPr>
  </w:style>
  <w:style w:styleId="Title" w:type="paragraph">
    <w:name w:val="Title"/>
    <w:basedOn w:val="Normal"/>
    <w:next w:val="BodyText"/>
    <w:qFormat/>
    <w:pPr>
      <w:keepNext/>
      <w:keepLines/>
      <w:spacing w:after="40" w:before="120" w:line="480" w:lineRule="auto"/>
      <w:ind w:firstLine="0"/>
      <w:jc w:val="center"/>
    </w:pPr>
    <w:rPr>
      <w:rFonts w:ascii="Times New Roman" w:asciiTheme="majorHAnsi" w:cstheme="majorBidi"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18"/>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2026-10-15T00:54:01Z</dcterms:created>
  <dcterms:modified xsi:type="dcterms:W3CDTF">2026-10-15T00:54:01Z</dcterms:modified>
</cp:coreProperties>
</file>

<file path=docProps/custom.xml><?xml version="1.0" encoding="utf-8"?>
<Properties xmlns="http://schemas.openxmlformats.org/officeDocument/2006/custom-properties" xmlns:vt="http://schemas.openxmlformats.org/officeDocument/2006/docPropsVTypes"/>
</file>