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100" w:line="480" w:lineRule="auto"/>
        <w:jc w:val="center"/>
      </w:pPr>
      <w:r>
        <w:rPr>
          <w:rFonts w:ascii="Times New Roman" w:hAnsi="Times New Roman"/>
          <w:b/>
          <w:sz w:val="28"/>
        </w:rPr>
        <w:t>11 Referencias bibliograficas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Equipo de desarrollo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Filiación institucional y autores individuales: por confirmar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Estudio académico de ingeniería de software y documentación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r>
        <w:br w:type="page"/>
      </w:r>
    </w:p>
    <w:bookmarkStart w:id="21" w:name="Xb705c346323d9b55e643596f4ce529172e34199"/>
    <w:p>
      <w:pPr>
        <w:pStyle w:val="Heading1"/>
        <w:keepNext/>
        <w:ind w:firstLine="0"/>
      </w:pPr>
      <w:r>
        <w:rPr>
          <w:color w:val="000000"/>
        </w:rPr>
        <w:t xml:space="preserve">Referencias bibliográficas verificadas — SaborExpress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Sistema de citación:</w:t>
      </w:r>
      <w:r>
        <w:t xml:space="preserve"> </w:t>
      </w:r>
      <w:r>
        <w:t xml:space="preserve">APA 7. Las referencias se ordenan alfabéticamente; los DOI y URL se vinculan a fuentes originales. Fecha de corte: 14 de octubre de 2026.</w:t>
      </w:r>
    </w:p>
    <w:p>
      <w:pPr>
        <w:pStyle w:val="BodyText"/>
        <w:spacing w:line="480" w:lineRule="auto" w:after="0"/>
        <w:ind w:firstLine="720"/>
      </w:pPr>
      <w:r>
        <w:t xml:space="preserve">Davis, F. D. (1989). Perceived usefulness, perceived ease of use, and user acceptance of information technology.</w:t>
      </w:r>
      <w:r>
        <w:t xml:space="preserve"> </w:t>
      </w:r>
      <w:r>
        <w:rPr>
          <w:i/>
          <w:iCs/>
        </w:rPr>
        <w:t xml:space="preserve">MIS Quarterly, 13</w:t>
      </w:r>
      <w:r>
        <w:t xml:space="preserve">(3), 319–340. https://doi.org/10.2307/249008</w:t>
      </w:r>
    </w:p>
    <w:p>
      <w:pPr>
        <w:pStyle w:val="BodyText"/>
        <w:spacing w:line="480" w:lineRule="auto" w:after="0"/>
        <w:ind w:firstLine="720"/>
      </w:pPr>
      <w:r>
        <w:t xml:space="preserve">Expo. (s. f.).</w:t>
      </w:r>
      <w:r>
        <w:t xml:space="preserve"> </w:t>
      </w:r>
      <w:r>
        <w:rPr>
          <w:i/>
          <w:iCs/>
        </w:rPr>
        <w:t xml:space="preserve">Expo documentation</w:t>
      </w:r>
      <w:r>
        <w:t xml:space="preserve">. https://docs.expo.dev/</w:t>
      </w:r>
    </w:p>
    <w:p>
      <w:pPr>
        <w:pStyle w:val="BodyText"/>
        <w:spacing w:line="480" w:lineRule="auto" w:after="0"/>
        <w:ind w:firstLine="720"/>
      </w:pPr>
      <w:r>
        <w:t xml:space="preserve">Fakfare, P. (2021). Influence of service attributes of food delivery application on customers’ satisfaction and their behavioural responses: The IPMA approach.</w:t>
      </w:r>
      <w:r>
        <w:t xml:space="preserve"> </w:t>
      </w:r>
      <w:r>
        <w:rPr>
          <w:i/>
          <w:iCs/>
        </w:rPr>
        <w:t xml:space="preserve">International Journal of Gastronomy and Food Science, 25</w:t>
      </w:r>
      <w:r>
        <w:t xml:space="preserve">, 100392. https://doi.org/10.1016/j.ijgfs.2021.100392</w:t>
      </w:r>
    </w:p>
    <w:p>
      <w:pPr>
        <w:pStyle w:val="BodyText"/>
        <w:spacing w:line="480" w:lineRule="auto" w:after="0"/>
        <w:ind w:firstLine="720"/>
      </w:pPr>
      <w:r>
        <w:t xml:space="preserve">Fielding, R., Nottingham, M., &amp; Reschke, J. (2022).</w:t>
      </w:r>
      <w:r>
        <w:t xml:space="preserve"> </w:t>
      </w:r>
      <w:r>
        <w:rPr>
          <w:i/>
          <w:iCs/>
        </w:rPr>
        <w:t xml:space="preserve">HTTP semantics</w:t>
      </w:r>
      <w:r>
        <w:t xml:space="preserve"> </w:t>
      </w:r>
      <w:r>
        <w:t xml:space="preserve">(RFC 9110). Internet Engineering Task Force. https://www.rfc-editor.org/rfc/rfc9110</w:t>
      </w:r>
    </w:p>
    <w:p>
      <w:pPr>
        <w:pStyle w:val="BodyText"/>
        <w:spacing w:line="480" w:lineRule="auto" w:after="0"/>
        <w:ind w:firstLine="720"/>
      </w:pPr>
      <w:r>
        <w:t xml:space="preserve">García-Umaña, A., Bernal-Peralta, J., Cevallos Uve, G. E., Alcívar Chávez, A. C., Córdoba, É. F., &amp; Beserra, V. (2026). Continuance intention in online food delivery platforms in Colombia: Extending UTAUT2 with delivery trust and food quality perception.</w:t>
      </w:r>
      <w:r>
        <w:t xml:space="preserve"> </w:t>
      </w:r>
      <w:r>
        <w:rPr>
          <w:i/>
          <w:iCs/>
        </w:rPr>
        <w:t xml:space="preserve">Foods, 15</w:t>
      </w:r>
      <w:r>
        <w:t xml:space="preserve">(14), 2430. https://doi.org/10.3390/foods15142430</w:t>
      </w:r>
    </w:p>
    <w:p>
      <w:pPr>
        <w:pStyle w:val="BodyText"/>
        <w:spacing w:line="480" w:lineRule="auto" w:after="0"/>
        <w:ind w:firstLine="720"/>
      </w:pPr>
      <w:r>
        <w:t xml:space="preserve">GitHub. (s. f.).</w:t>
      </w:r>
      <w:r>
        <w:t xml:space="preserve"> </w:t>
      </w:r>
      <w:r>
        <w:rPr>
          <w:i/>
          <w:iCs/>
        </w:rPr>
        <w:t xml:space="preserve">GitHub Actions documentation</w:t>
      </w:r>
      <w:r>
        <w:t xml:space="preserve">. https://docs.github.com/en/actions</w:t>
      </w:r>
    </w:p>
    <w:p>
      <w:pPr>
        <w:pStyle w:val="BodyText"/>
        <w:spacing w:line="480" w:lineRule="auto" w:after="0"/>
        <w:ind w:firstLine="720"/>
      </w:pPr>
      <w:r>
        <w:t xml:space="preserve">ISO/IEC. (2023).</w:t>
      </w:r>
      <w:r>
        <w:t xml:space="preserve"> </w:t>
      </w:r>
      <w:r>
        <w:rPr>
          <w:i/>
          <w:iCs/>
        </w:rPr>
        <w:t xml:space="preserve">ISO/IEC 25010:2023: Systems and software engineering — Systems and software Quality Requirements and Evaluation (SQuaRE) — Product quality model</w:t>
      </w:r>
      <w:r>
        <w:t xml:space="preserve">. https://www.iso.org/standard/78176.html</w:t>
      </w:r>
    </w:p>
    <w:p>
      <w:pPr>
        <w:pStyle w:val="BodyText"/>
        <w:spacing w:line="480" w:lineRule="auto" w:after="0"/>
        <w:ind w:firstLine="720"/>
      </w:pPr>
      <w:r>
        <w:t xml:space="preserve">ISO/IEC/IEEE. (2018).</w:t>
      </w:r>
      <w:r>
        <w:t xml:space="preserve"> </w:t>
      </w:r>
      <w:r>
        <w:rPr>
          <w:i/>
          <w:iCs/>
        </w:rPr>
        <w:t xml:space="preserve">ISO/IEC/IEEE 29148:2018: Systems and software engineering — Life cycle processes — Requirements engineering</w:t>
      </w:r>
      <w:r>
        <w:t xml:space="preserve">. https://www.iso.org/standard/72089.html</w:t>
      </w:r>
    </w:p>
    <w:p>
      <w:pPr>
        <w:pStyle w:val="BodyText"/>
        <w:spacing w:line="480" w:lineRule="auto" w:after="0"/>
        <w:ind w:firstLine="720"/>
      </w:pPr>
      <w:r>
        <w:t xml:space="preserve">Jones, M., Bradley, J., &amp; Sakimura, N. (2015).</w:t>
      </w:r>
      <w:r>
        <w:t xml:space="preserve"> </w:t>
      </w:r>
      <w:r>
        <w:rPr>
          <w:i/>
          <w:iCs/>
        </w:rPr>
        <w:t xml:space="preserve">JSON Web Token (JWT)</w:t>
      </w:r>
      <w:r>
        <w:t xml:space="preserve"> </w:t>
      </w:r>
      <w:r>
        <w:t xml:space="preserve">(RFC 7519). Internet Engineering Task Force. https://www.rfc-editor.org/rfc/rfc7519</w:t>
      </w:r>
    </w:p>
    <w:p>
      <w:pPr>
        <w:pStyle w:val="BodyText"/>
        <w:spacing w:line="480" w:lineRule="auto" w:after="0"/>
        <w:ind w:firstLine="720"/>
      </w:pPr>
      <w:r>
        <w:t xml:space="preserve">Kitchenham, B., &amp; Charters, S. (2007).</w:t>
      </w:r>
      <w:r>
        <w:t xml:space="preserve"> </w:t>
      </w:r>
      <w:r>
        <w:rPr>
          <w:i/>
          <w:iCs/>
        </w:rPr>
        <w:t xml:space="preserve">Guidelines for performing systematic literature reviews in software engineering</w:t>
      </w:r>
      <w:r>
        <w:t xml:space="preserve"> </w:t>
      </w:r>
      <w:r>
        <w:t xml:space="preserve">(EBSE-2007-01). https://homepages.dcc.ufmg.br/~figueiredo/disciplinas/papers/guidelines-kitchenham.pdf</w:t>
      </w:r>
    </w:p>
    <w:p>
      <w:pPr>
        <w:pStyle w:val="BodyText"/>
        <w:spacing w:line="480" w:lineRule="auto" w:after="0"/>
        <w:ind w:firstLine="720"/>
      </w:pPr>
      <w:r>
        <w:t xml:space="preserve">Koay, K. Y., Cheah, C. W., &amp; Chang, Y. X. (2022). A model of online food delivery service quality, customer satisfaction and customer loyalty: A combination of PLS-SEM and NCA approaches.</w:t>
      </w:r>
      <w:r>
        <w:t xml:space="preserve"> </w:t>
      </w:r>
      <w:r>
        <w:rPr>
          <w:i/>
          <w:iCs/>
        </w:rPr>
        <w:t xml:space="preserve">British Food Journal, 124</w:t>
      </w:r>
      <w:r>
        <w:t xml:space="preserve">(12), 4516–4532. https://doi.org/10.1108/BFJ-10-2021-1169</w:t>
      </w:r>
    </w:p>
    <w:p>
      <w:pPr>
        <w:pStyle w:val="BodyText"/>
        <w:spacing w:line="480" w:lineRule="auto" w:after="0"/>
        <w:ind w:firstLine="720"/>
      </w:pPr>
      <w:r>
        <w:t xml:space="preserve">Kruchten, P. (1995). The 4+1 view model of architecture.</w:t>
      </w:r>
      <w:r>
        <w:t xml:space="preserve"> </w:t>
      </w:r>
      <w:r>
        <w:rPr>
          <w:i/>
          <w:iCs/>
        </w:rPr>
        <w:t xml:space="preserve">IEEE Software, 12</w:t>
      </w:r>
      <w:r>
        <w:t xml:space="preserve">(6), 42–50. https://doi.org/10.1109/52.469759</w:t>
      </w:r>
    </w:p>
    <w:p>
      <w:pPr>
        <w:pStyle w:val="BodyText"/>
        <w:spacing w:line="480" w:lineRule="auto" w:after="0"/>
        <w:ind w:firstLine="720"/>
      </w:pPr>
      <w:r>
        <w:t xml:space="preserve">Microsoft. (s. f.).</w:t>
      </w:r>
      <w:r>
        <w:t xml:space="preserve"> </w:t>
      </w:r>
      <w:r>
        <w:rPr>
          <w:i/>
          <w:iCs/>
        </w:rPr>
        <w:t xml:space="preserve">ASP.NET Core documentation</w:t>
      </w:r>
      <w:r>
        <w:t xml:space="preserve">. https://learn.microsoft.com/en-us/aspnet/core/</w:t>
      </w:r>
    </w:p>
    <w:p>
      <w:pPr>
        <w:pStyle w:val="BodyText"/>
        <w:spacing w:line="480" w:lineRule="auto" w:after="0"/>
        <w:ind w:firstLine="720"/>
      </w:pPr>
      <w:r>
        <w:t xml:space="preserve">Microsoft. (s. f.).</w:t>
      </w:r>
      <w:r>
        <w:t xml:space="preserve"> </w:t>
      </w:r>
      <w:r>
        <w:rPr>
          <w:i/>
          <w:iCs/>
        </w:rPr>
        <w:t xml:space="preserve">Entity Framework Core documentation</w:t>
      </w:r>
      <w:r>
        <w:t xml:space="preserve">. https://learn.microsoft.com/en-us/ef/core/</w:t>
      </w:r>
    </w:p>
    <w:p>
      <w:pPr>
        <w:pStyle w:val="BodyText"/>
        <w:spacing w:line="480" w:lineRule="auto" w:after="0"/>
        <w:ind w:firstLine="720"/>
      </w:pPr>
      <w:r>
        <w:t xml:space="preserve">Microsoft. (s. f.).</w:t>
      </w:r>
      <w:r>
        <w:t xml:space="preserve"> </w:t>
      </w:r>
      <w:r>
        <w:rPr>
          <w:i/>
          <w:iCs/>
        </w:rPr>
        <w:t xml:space="preserve">SignalR documentation</w:t>
      </w:r>
      <w:r>
        <w:t xml:space="preserve">. https://learn.microsoft.com/en-us/aspnet/core/signalr/introduction</w:t>
      </w:r>
    </w:p>
    <w:p>
      <w:pPr>
        <w:pStyle w:val="BodyText"/>
        <w:spacing w:line="480" w:lineRule="auto" w:after="0"/>
        <w:ind w:firstLine="720"/>
      </w:pPr>
      <w:r>
        <w:t xml:space="preserve">Next.js. (s. f.).</w:t>
      </w:r>
      <w:r>
        <w:t xml:space="preserve"> </w:t>
      </w:r>
      <w:r>
        <w:rPr>
          <w:i/>
          <w:iCs/>
        </w:rPr>
        <w:t xml:space="preserve">Next.js documentation</w:t>
      </w:r>
      <w:r>
        <w:t xml:space="preserve">. https://nextjs.org/docs</w:t>
      </w:r>
    </w:p>
    <w:p>
      <w:pPr>
        <w:pStyle w:val="BodyText"/>
        <w:spacing w:line="480" w:lineRule="auto" w:after="0"/>
        <w:ind w:firstLine="720"/>
      </w:pPr>
      <w:r>
        <w:t xml:space="preserve">Nielsen, J. (2024).</w:t>
      </w:r>
      <w:r>
        <w:t xml:space="preserve"> </w:t>
      </w:r>
      <w:r>
        <w:rPr>
          <w:i/>
          <w:iCs/>
        </w:rPr>
        <w:t xml:space="preserve">10 usability heuristics for user interface design</w:t>
      </w:r>
      <w:r>
        <w:t xml:space="preserve">. Nielsen Norman Group. https://www.nngroup.com/articles/ten-usability-heuristics/</w:t>
      </w:r>
    </w:p>
    <w:p>
      <w:pPr>
        <w:pStyle w:val="BodyText"/>
        <w:spacing w:line="480" w:lineRule="auto" w:after="0"/>
        <w:ind w:firstLine="720"/>
      </w:pPr>
      <w:r>
        <w:t xml:space="preserve">OWASP Foundation. (2023).</w:t>
      </w:r>
      <w:r>
        <w:t xml:space="preserve"> </w:t>
      </w:r>
      <w:r>
        <w:rPr>
          <w:i/>
          <w:iCs/>
        </w:rPr>
        <w:t xml:space="preserve">OWASP API Security Top 10 — 2023</w:t>
      </w:r>
      <w:r>
        <w:t xml:space="preserve">. https://owasp.org/API-Security/</w:t>
      </w:r>
    </w:p>
    <w:p>
      <w:pPr>
        <w:pStyle w:val="BodyText"/>
        <w:spacing w:line="480" w:lineRule="auto" w:after="0"/>
        <w:ind w:firstLine="720"/>
      </w:pPr>
      <w:r>
        <w:t xml:space="preserve">Postman. (s. f.).</w:t>
      </w:r>
      <w:r>
        <w:t xml:space="preserve"> </w:t>
      </w:r>
      <w:r>
        <w:rPr>
          <w:i/>
          <w:iCs/>
        </w:rPr>
        <w:t xml:space="preserve">Collections overview</w:t>
      </w:r>
      <w:r>
        <w:t xml:space="preserve">. https://learning.postman.com/docs/collections/collections-overview/</w:t>
      </w:r>
    </w:p>
    <w:p>
      <w:pPr>
        <w:pStyle w:val="BodyText"/>
        <w:spacing w:line="480" w:lineRule="auto" w:after="0"/>
        <w:ind w:firstLine="720"/>
      </w:pPr>
      <w:r>
        <w:t xml:space="preserve">Prasetyo, Y. T., Tanto, H., Mariyanto, M., Hanjaya, C., Young, M. N., Persada, S. F., Miraja, B. A., &amp; Redi, A. A. N. P. (2021). Factors affecting customer satisfaction and loyalty in online food delivery service during the COVID-19 pandemic: Its relation with open innovation.</w:t>
      </w:r>
      <w:r>
        <w:t xml:space="preserve"> </w:t>
      </w:r>
      <w:r>
        <w:rPr>
          <w:i/>
          <w:iCs/>
        </w:rPr>
        <w:t xml:space="preserve">Journal of Open Innovation: Technology, Market, and Complexity, 7</w:t>
      </w:r>
      <w:r>
        <w:t xml:space="preserve">(1), 76. https://doi.org/10.3390/joitmc7010076</w:t>
      </w:r>
    </w:p>
    <w:p>
      <w:pPr>
        <w:pStyle w:val="BodyText"/>
        <w:spacing w:line="480" w:lineRule="auto" w:after="0"/>
        <w:ind w:firstLine="720"/>
      </w:pPr>
      <w:r>
        <w:t xml:space="preserve">Project Management Institute. (2021).</w:t>
      </w:r>
      <w:r>
        <w:t xml:space="preserve"> </w:t>
      </w:r>
      <w:r>
        <w:rPr>
          <w:i/>
          <w:iCs/>
        </w:rPr>
        <w:t xml:space="preserve">A guide to the project management body of knowledge (PMBOK® Guide)</w:t>
      </w:r>
      <w:r>
        <w:t xml:space="preserve"> </w:t>
      </w:r>
      <w:r>
        <w:t xml:space="preserve">(7th ed.). https://www.pmi.org/pmbok-guide-standards/foundational/pmbok</w:t>
      </w:r>
    </w:p>
    <w:p>
      <w:pPr>
        <w:pStyle w:val="BodyText"/>
        <w:spacing w:line="480" w:lineRule="auto" w:after="0"/>
        <w:ind w:firstLine="720"/>
      </w:pPr>
      <w:r>
        <w:t xml:space="preserve">Shankar, A., Jebarajakirthy, C., Nayal, P., Maseeh, H. I., Kumar, A., &amp; Sivapalan, A. (2022). Online food delivery: A systematic synthesis of literature and a framework development.</w:t>
      </w:r>
      <w:r>
        <w:t xml:space="preserve"> </w:t>
      </w:r>
      <w:r>
        <w:rPr>
          <w:i/>
          <w:iCs/>
        </w:rPr>
        <w:t xml:space="preserve">International Journal of Hospitality Management, 104</w:t>
      </w:r>
      <w:r>
        <w:t xml:space="preserve">, 103240. https://doi.org/10.1016/j.ijhm.2022.103240</w:t>
      </w:r>
    </w:p>
    <w:p>
      <w:pPr>
        <w:pStyle w:val="BodyText"/>
        <w:spacing w:line="480" w:lineRule="auto" w:after="0"/>
        <w:ind w:firstLine="720"/>
      </w:pPr>
      <w:r>
        <w:t xml:space="preserve">Shroff, A., Shah, B. J., &amp; Gajjar, H. (2022). Online food delivery research: A systematic literature review.</w:t>
      </w:r>
      <w:r>
        <w:t xml:space="preserve"> </w:t>
      </w:r>
      <w:r>
        <w:rPr>
          <w:i/>
          <w:iCs/>
        </w:rPr>
        <w:t xml:space="preserve">International Journal of Contemporary Hospitality Management, 34</w:t>
      </w:r>
      <w:r>
        <w:t xml:space="preserve">(8), 2852–2883. https://doi.org/10.1108/IJCHM-10-2021-1273</w:t>
      </w:r>
    </w:p>
    <w:p>
      <w:pPr>
        <w:pStyle w:val="BodyText"/>
        <w:spacing w:line="480" w:lineRule="auto" w:after="0"/>
        <w:ind w:firstLine="720"/>
      </w:pPr>
      <w:r>
        <w:t xml:space="preserve">Taibi, D., Lenarduzzi, V., &amp; Pahl, C. (2018). Architectural patterns for microservices: A systematic mapping study. In</w:t>
      </w:r>
      <w:r>
        <w:t xml:space="preserve"> </w:t>
      </w:r>
      <w:r>
        <w:rPr>
          <w:i/>
          <w:iCs/>
        </w:rPr>
        <w:t xml:space="preserve">Proceedings of the 8th International Conference on Cloud Computing and Services Science</w:t>
      </w:r>
      <w:r>
        <w:t xml:space="preserve"> </w:t>
      </w:r>
      <w:r>
        <w:t xml:space="preserve">(pp. 221–232). https://doi.org/10.5220/0006798302210232</w:t>
      </w:r>
    </w:p>
    <w:p>
      <w:pPr>
        <w:pStyle w:val="BodyText"/>
        <w:spacing w:line="480" w:lineRule="auto" w:after="0"/>
        <w:ind w:firstLine="720"/>
      </w:pPr>
      <w:r>
        <w:t xml:space="preserve">Temoshok, D., Choong, Y.-Y., Regenscheid, A., Galluzzo, R., Fenton, J., Richer, J., &amp; Lefkovitz, N. (2025).</w:t>
      </w:r>
      <w:r>
        <w:t xml:space="preserve"> </w:t>
      </w:r>
      <w:r>
        <w:rPr>
          <w:i/>
          <w:iCs/>
        </w:rPr>
        <w:t xml:space="preserve">Digital identity guidelines: Authentication and authenticator management</w:t>
      </w:r>
      <w:r>
        <w:t xml:space="preserve"> </w:t>
      </w:r>
      <w:r>
        <w:t xml:space="preserve">(NIST SP 800-63B-4). National Institute of Standards and Technology. https://doi.org/10.6028/NIST.SP.800-63B-4</w:t>
      </w:r>
    </w:p>
    <w:p>
      <w:pPr>
        <w:pStyle w:val="BodyText"/>
        <w:spacing w:line="480" w:lineRule="auto" w:after="0"/>
        <w:ind w:firstLine="720"/>
      </w:pPr>
      <w:r>
        <w:t xml:space="preserve">Venkatesh, V., Morris, M. G., Davis, G. B., &amp; Davis, F. D. (2003). User acceptance of information technology: Toward a unified view.</w:t>
      </w:r>
      <w:r>
        <w:t xml:space="preserve"> </w:t>
      </w:r>
      <w:r>
        <w:rPr>
          <w:i/>
          <w:iCs/>
        </w:rPr>
        <w:t xml:space="preserve">MIS Quarterly, 27</w:t>
      </w:r>
      <w:r>
        <w:t xml:space="preserve">(3), 425–478. https://doi.org/10.2307/30036540</w:t>
      </w:r>
    </w:p>
    <w:p>
      <w:pPr>
        <w:pStyle w:val="BodyText"/>
        <w:spacing w:line="480" w:lineRule="auto" w:after="0"/>
        <w:ind w:firstLine="720"/>
      </w:pPr>
      <w:r>
        <w:t xml:space="preserve">Wompi. (s. f.).</w:t>
      </w:r>
      <w:r>
        <w:t xml:space="preserve"> </w:t>
      </w:r>
      <w:r>
        <w:rPr>
          <w:i/>
          <w:iCs/>
        </w:rPr>
        <w:t xml:space="preserve">Documentación para desarrolladores</w:t>
      </w:r>
      <w:r>
        <w:t xml:space="preserve">. https://docs.wompi.co/</w:t>
      </w:r>
    </w:p>
    <w:p>
      <w:pPr>
        <w:pStyle w:val="BodyText"/>
        <w:spacing w:line="480" w:lineRule="auto" w:after="0"/>
        <w:ind w:firstLine="720"/>
      </w:pPr>
      <w:r>
        <w:t xml:space="preserve">Yin, R. K. (2018).</w:t>
      </w:r>
      <w:r>
        <w:t xml:space="preserve"> </w:t>
      </w:r>
      <w:r>
        <w:rPr>
          <w:i/>
          <w:iCs/>
        </w:rPr>
        <w:t xml:space="preserve">Case study research and applications: Design and methods</w:t>
      </w:r>
      <w:r>
        <w:t xml:space="preserve"> </w:t>
      </w:r>
      <w:r>
        <w:t xml:space="preserve">(6th ed.). SAGE Publications. https://study.sagepub.com/yin6e</w:t>
      </w:r>
    </w:p>
    <w:bookmarkStart w:id="20" w:name="nota-sobre-alcance"/>
    <w:p>
      <w:pPr>
        <w:pStyle w:val="Heading2"/>
        <w:keepNext/>
        <w:ind w:firstLine="0"/>
      </w:pPr>
      <w:r>
        <w:rPr>
          <w:color w:val="000000"/>
        </w:rPr>
        <w:t xml:space="preserve">Nota sobre alcance</w:t>
      </w:r>
    </w:p>
    <w:p>
      <w:pPr>
        <w:pStyle w:val="FirstParagraph"/>
        <w:spacing w:line="480" w:lineRule="auto" w:after="0"/>
        <w:ind w:firstLine="720"/>
      </w:pPr>
      <w:r>
        <w:t xml:space="preserve">Las referencias proporcionan sustento teórico/metodológico y normativo; sus hallazgos no son métricas generadas por SaborExpress. La revisión bibliográfica es dirigida, no una revisión sistemática PRISMA.</w:t>
      </w:r>
    </w:p>
    <w:bookmarkEnd w:id="20"/>
    <w:bookmarkEnd w:id="21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  <w:ind w:firstLine="7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120" w:line="480" w:lineRule="auto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2026-10-15T00:54:01Z</dcterms:created>
  <dcterms:modified xsi:type="dcterms:W3CDTF">2026-10-15T00:54:01Z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