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43a65a380df63760d2aa8db0e0ee5f6d1cffe2"/>
    <w:p>
      <w:pPr>
        <w:pStyle w:val="Heading1"/>
      </w:pPr>
      <w:r>
        <w:t xml:space="preserve">Acta de constitución y alcance del proyecto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identificación"/>
    <w:p>
      <w:pPr>
        <w:pStyle w:val="Heading2"/>
      </w:pPr>
      <w:r>
        <w:t xml:space="preserve">1. Identificación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SaborExpress.</w:t>
      </w:r>
      <w:r>
        <w:t xml:space="preserve"> </w:t>
      </w:r>
      <w:r>
        <w:rPr>
          <w:b/>
          <w:bCs/>
        </w:rPr>
        <w:t xml:space="preserve">Naturaleza:</w:t>
      </w:r>
      <w:r>
        <w:t xml:space="preserve"> </w:t>
      </w:r>
      <w:r>
        <w:t xml:space="preserve">desarrollo de plataforma para operación y pedidos gastronómicos, con clientes web y móvil y backend central.</w:t>
      </w:r>
      <w:r>
        <w:t xml:space="preserve"> </w:t>
      </w:r>
      <w:r>
        <w:rPr>
          <w:b/>
          <w:bCs/>
        </w:rPr>
        <w:t xml:space="preserve">Equipo / ficha SENA / instructor / entidad patrocinadora:</w:t>
      </w:r>
      <w:r>
        <w:t xml:space="preserve"> </w:t>
      </w:r>
      <w:r>
        <w:t xml:space="preserve">pendientes de datos confirmados por sus responsables.</w:t>
      </w:r>
    </w:p>
    <w:bookmarkEnd w:id="20"/>
    <w:bookmarkStart w:id="21" w:name="justificación"/>
    <w:p>
      <w:pPr>
        <w:pStyle w:val="Heading2"/>
      </w:pPr>
      <w:r>
        <w:t xml:space="preserve">2. Justificación</w:t>
      </w:r>
    </w:p>
    <w:p>
      <w:pPr>
        <w:pStyle w:val="FirstParagraph"/>
      </w:pPr>
      <w:r>
        <w:t xml:space="preserve">La coordinación digital de catálogo, atención de mesa, preparación, pagos y domicilios puede mejorar trazabilidad operativa. El beneficio medible aún debe comprobarse en un piloto; aquí se registra una solución de ingeniería y su alcance técnico verificable.</w:t>
      </w:r>
    </w:p>
    <w:bookmarkEnd w:id="21"/>
    <w:bookmarkStart w:id="22" w:name="objetivo-general"/>
    <w:p>
      <w:pPr>
        <w:pStyle w:val="Heading2"/>
      </w:pPr>
      <w:r>
        <w:t xml:space="preserve">3. Objetivo general</w:t>
      </w:r>
    </w:p>
    <w:p>
      <w:pPr>
        <w:pStyle w:val="FirstParagraph"/>
      </w:pPr>
      <w:r>
        <w:t xml:space="preserve">Analizar, documentar y validar una plataforma digital integrada para gestionar operaciones de restaurantes mediante API REST modular, portal web y aplicación móvil.</w:t>
      </w:r>
    </w:p>
    <w:bookmarkEnd w:id="22"/>
    <w:bookmarkStart w:id="23" w:name="alcance-incluido-y-excluido"/>
    <w:p>
      <w:pPr>
        <w:pStyle w:val="Heading2"/>
      </w:pPr>
      <w:r>
        <w:t xml:space="preserve">4. Alcance incluido y excluido</w:t>
      </w:r>
    </w:p>
    <w:p>
      <w:pPr>
        <w:pStyle w:val="FirstParagraph"/>
      </w:pPr>
      <w:r>
        <w:t xml:space="preserve">Incluye gestión de usuarios/roles, sedes, personal, catálogo, pedidos, pagos, reparto, notificaciones y configuraciones observadas en código. Excluye: prueba de operación real a escala, seguridad certificada, condiciones contractuales de Wompi, costos finalizados, mercadeo y flota física.</w:t>
      </w:r>
    </w:p>
    <w:bookmarkEnd w:id="23"/>
    <w:bookmarkStart w:id="24" w:name="entregables"/>
    <w:p>
      <w:pPr>
        <w:pStyle w:val="Heading2"/>
      </w:pPr>
      <w:r>
        <w:t xml:space="preserve">5. Entregables</w:t>
      </w:r>
    </w:p>
    <w:p>
      <w:pPr>
        <w:pStyle w:val="FirstParagraph"/>
      </w:pPr>
      <w:r>
        <w:t xml:space="preserve">SRS, análisis, propuesta, diseño, datos, catálogo API/Postman, instalación, manuales, plan de pruebas, matriz de trazabilidad, correctivos, informe de cierre y artículos académicos.</w:t>
      </w:r>
    </w:p>
    <w:bookmarkEnd w:id="24"/>
    <w:bookmarkStart w:id="25" w:name="interesados-cronograma-y-riesgos"/>
    <w:p>
      <w:pPr>
        <w:pStyle w:val="Heading2"/>
      </w:pPr>
      <w:r>
        <w:t xml:space="preserve">6. Interesados, cronograma y riesgos</w:t>
      </w:r>
    </w:p>
    <w:p>
      <w:pPr>
        <w:pStyle w:val="FirstParagraph"/>
      </w:pPr>
      <w:r>
        <w:t xml:space="preserve">Los roles de responsabilidad se definirán en acta aprobada. Cronograma relativo P1–P6 según propuesta técnica, sin fechas comprometidas. Riesgos principales: autorización intersede, cobros, migraciones, disponibilidad, datos personales, ausencia de pruebas reproducibles.</w:t>
      </w:r>
    </w:p>
    <w:bookmarkEnd w:id="25"/>
    <w:bookmarkStart w:id="26" w:name="criterios-de-aprobación"/>
    <w:p>
      <w:pPr>
        <w:pStyle w:val="Heading2"/>
      </w:pPr>
      <w:r>
        <w:t xml:space="preserve">7. Criterios de aprobación</w:t>
      </w:r>
    </w:p>
    <w:p>
      <w:pPr>
        <w:pStyle w:val="FirstParagraph"/>
      </w:pPr>
      <w:r>
        <w:t xml:space="preserve">La documentación se considera entregable para</w:t>
      </w:r>
      <w:r>
        <w:t xml:space="preserve"> </w:t>
      </w:r>
      <w:r>
        <w:rPr>
          <w:b/>
          <w:bCs/>
        </w:rPr>
        <w:t xml:space="preserve">revisión</w:t>
      </w:r>
      <w:r>
        <w:t xml:space="preserve">, no aceptada, cuando cada formato abre, los requisitos tienen pruebas trazables, el artículo identifica límites y los manuales corresponden a SHA documentados. La aprobación académica requiere revisión del instructor y evidencias operativas.</w:t>
      </w:r>
    </w:p>
    <w:bookmarkEnd w:id="26"/>
    <w:bookmarkStart w:id="27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1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27"/>
    <w:bookmarkEnd w:id="28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2026-10-15T00:06:26Z</dcterms:created>
  <dcterms:modified xsi:type="dcterms:W3CDTF">2026-10-15T00:06:26Z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