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manual-técnico-y-operación-del-sistema"/>
    <w:p>
      <w:pPr>
        <w:pStyle w:val="Heading1"/>
      </w:pPr>
      <w:r>
        <w:t xml:space="preserve">Manual técnico y operación del sistema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Documento técnico y académico</w:t>
      </w:r>
    </w:p>
    <w:p>
      <w:pPr>
        <w:pStyle w:val="BodyText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visión-operativa"/>
    <w:p>
      <w:pPr>
        <w:pStyle w:val="Heading2"/>
      </w:pPr>
      <w:r>
        <w:t xml:space="preserve">1. Visión operativa</w:t>
      </w:r>
    </w:p>
    <w:p>
      <w:pPr>
        <w:pStyle w:val="FirstParagraph"/>
      </w:pPr>
      <w:r>
        <w:t xml:space="preserve">La solución consta de repositorios independientes para API, web, móvil y documentación. Las fronteras entre interfaz, lógica y persistencia siguen una orientación feature-first: controladores delegan a servicios y repositorios; EF Core mantiene las entidades; Next y Expo presentan flujos por rol.</w:t>
      </w:r>
    </w:p>
    <w:bookmarkEnd w:id="20"/>
    <w:bookmarkStart w:id="21" w:name="referencia-de-carpetas-y-módulos"/>
    <w:p>
      <w:pPr>
        <w:pStyle w:val="Heading2"/>
      </w:pPr>
      <w:r>
        <w:t xml:space="preserve">2. Referencia de carpetas y módulos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Program.cs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HTTP, auth, SignalR, servicios hospedados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Dependencias, CORS, JWT, DB y Swagger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Modules/*/Services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Reglas de 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Modules/*/Repositories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de dominio 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Data/Configurations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 Fluent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Evolución relacional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src/app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Next.js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src/features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Servicios/hooks por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src/features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Vistas/servicios/hooks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app.json y eas.json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Expo y builds</w:t>
            </w:r>
          </w:p>
        </w:tc>
      </w:tr>
    </w:tbl>
    <w:bookmarkEnd w:id="21"/>
    <w:bookmarkStart w:id="22" w:name="modelo-de-autenticación-y-autorización"/>
    <w:p>
      <w:pPr>
        <w:pStyle w:val="Heading2"/>
      </w:pPr>
      <w:r>
        <w:t xml:space="preserve">3. Modelo de autenticación y autorización</w:t>
      </w:r>
    </w:p>
    <w:p>
      <w:pPr>
        <w:pStyle w:val="FirstParagraph"/>
      </w:pPr>
      <w:r>
        <w:t xml:space="preserve">El backend registra JWT Bearer, políticas de autorización y usuarios/roles. El rol debe comprobarse en servidor y complementarse con acceso a recurso concreto.</w:t>
      </w:r>
      <w:r>
        <w:t xml:space="preserve"> </w:t>
      </w:r>
      <w:r>
        <w:rPr>
          <w:rStyle w:val="VerbatimChar"/>
        </w:rPr>
        <w:t xml:space="preserve">ActiveShiftHandler</w:t>
      </w:r>
      <w:r>
        <w:t xml:space="preserve"> </w:t>
      </w:r>
      <w:r>
        <w:t xml:space="preserve">introduce comprobaciones de turno en acciones designadas. Para login se identifican casos de bloqueo por intentos fallidos, correo sin confirmar y activación inicial. Asegurar expiración/revocación de sesiones.</w:t>
      </w:r>
    </w:p>
    <w:bookmarkEnd w:id="22"/>
    <w:bookmarkStart w:id="23" w:name="integraciones-de-datos"/>
    <w:p>
      <w:pPr>
        <w:pStyle w:val="Heading2"/>
      </w:pPr>
      <w:r>
        <w:t xml:space="preserve">4. Integraciones de datos</w:t>
      </w:r>
    </w:p>
    <w:p>
      <w:pPr>
        <w:pStyle w:val="FirstParagraph"/>
      </w:pPr>
      <w:r>
        <w:rPr>
          <w:rStyle w:val="VerbatimChar"/>
        </w:rPr>
        <w:t xml:space="preserve">AppDbContext</w:t>
      </w:r>
      <w:r>
        <w:t xml:space="preserve"> </w:t>
      </w:r>
      <w:r>
        <w:t xml:space="preserve">define DbSets por módulo y ejecuta configuraciones EF desde el ensamblado.</w:t>
      </w:r>
      <w:r>
        <w:t xml:space="preserve"> </w:t>
      </w:r>
      <w:r>
        <w:rPr>
          <w:rStyle w:val="VerbatimChar"/>
        </w:rPr>
        <w:t xml:space="preserve">DatabaseConfiguration.cs</w:t>
      </w:r>
      <w:r>
        <w:t xml:space="preserve"> </w:t>
      </w:r>
      <w:r>
        <w:t xml:space="preserve">elige proveedor por valor literal; SQL Server, MySQL y PostgreSQL tienen diferencias semánticas, por lo que las migraciones requieren validación propia en el proveedor activo. Seeders iniciales: permisos, rol cliente y gerente inicial. Antes de usarlos en producción, revisar cuentas por defecto, reejecución y seguridad de secretos.</w:t>
      </w:r>
    </w:p>
    <w:bookmarkEnd w:id="23"/>
    <w:bookmarkStart w:id="24" w:name="integración-de-cobros"/>
    <w:p>
      <w:pPr>
        <w:pStyle w:val="Heading2"/>
      </w:pPr>
      <w:r>
        <w:t xml:space="preserve">5. Integración de cobros</w:t>
      </w:r>
    </w:p>
    <w:p>
      <w:pPr>
        <w:pStyle w:val="FirstParagraph"/>
      </w:pPr>
      <w:r>
        <w:rPr>
          <w:rStyle w:val="VerbatimChar"/>
        </w:rPr>
        <w:t xml:space="preserve">PaymentsController</w:t>
      </w:r>
      <w:r>
        <w:t xml:space="preserve"> </w:t>
      </w:r>
      <w:r>
        <w:t xml:space="preserve">distingue pago manual, inicio Wompi para cliente, inicio QR de cajero, consulta por orden, sincronización y webhook externo.</w:t>
      </w:r>
      <w:r>
        <w:t xml:space="preserve"> </w:t>
      </w:r>
      <w:r>
        <w:rPr>
          <w:rStyle w:val="VerbatimChar"/>
        </w:rPr>
        <w:t xml:space="preserve">WompiPendingPaymentsSyncService</w:t>
      </w:r>
      <w:r>
        <w:t xml:space="preserve"> </w:t>
      </w:r>
      <w:r>
        <w:t xml:space="preserve">aparece registrado en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. Operacionalmente, las referencias y transacciones deben reconciliarse sin duplicaciones. El body del webhook aparece registrado por el controlador; antes de operación real, evaluar si el log podría contener información sensible y aplicar filtrado apropiado.</w:t>
      </w:r>
    </w:p>
    <w:bookmarkEnd w:id="24"/>
    <w:bookmarkStart w:id="25" w:name="notificaciones-y-tiempo-real"/>
    <w:p>
      <w:pPr>
        <w:pStyle w:val="Heading2"/>
      </w:pPr>
      <w:r>
        <w:t xml:space="preserve">6. Notificaciones y tiempo real</w:t>
      </w:r>
    </w:p>
    <w:p>
      <w:pPr>
        <w:pStyle w:val="FirstParagraph"/>
      </w:pPr>
      <w:r>
        <w:t xml:space="preserve">El Hub</w:t>
      </w:r>
      <w:r>
        <w:t xml:space="preserve"> </w:t>
      </w:r>
      <w:r>
        <w:rPr>
          <w:rStyle w:val="VerbatimChar"/>
        </w:rPr>
        <w:t xml:space="preserve">/hubs/notifications</w:t>
      </w:r>
      <w:r>
        <w:t xml:space="preserve"> </w:t>
      </w:r>
      <w:r>
        <w:t xml:space="preserve">es parte de la API, no un microservicio aislado. Clientes web y móvil declaran</w:t>
      </w:r>
      <w:r>
        <w:t xml:space="preserve"> </w:t>
      </w:r>
      <w:r>
        <w:rPr>
          <w:rStyle w:val="VerbatimChar"/>
        </w:rPr>
        <w:t xml:space="preserve">@microsoft/signalr</w:t>
      </w:r>
      <w:r>
        <w:t xml:space="preserve">; se requiere probar negociación, reconexión, permisos de grupos/canales y coherencia con consulta REST. No se afirma una garantía de mensajes exactamente una vez.</w:t>
      </w:r>
    </w:p>
    <w:bookmarkEnd w:id="25"/>
    <w:bookmarkStart w:id="26" w:name="variables-sensibles-y-despliegue"/>
    <w:p>
      <w:pPr>
        <w:pStyle w:val="Heading2"/>
      </w:pPr>
      <w:r>
        <w:t xml:space="preserve">7. Variables sensibles y despliegue</w:t>
      </w:r>
    </w:p>
    <w:p>
      <w:pPr>
        <w:pStyle w:val="FirstParagraph"/>
      </w:pPr>
      <w:r>
        <w:t xml:space="preserve">No guardar valores de</w:t>
      </w:r>
      <w:r>
        <w:t xml:space="preserve"> </w:t>
      </w:r>
      <w:r>
        <w:rPr>
          <w:rStyle w:val="VerbatimChar"/>
        </w:rPr>
        <w:t xml:space="preserve">ConnectionStrings</w:t>
      </w:r>
      <w:r>
        <w:t xml:space="preserve">, claves JWT, tokens Wompi, conexiones SMTP ni credenciales de servicio en el repositorio. Recomendación: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 </w:t>
      </w:r>
      <w:r>
        <w:t xml:space="preserve">sin secretos,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redactado, pipeline con secret store, HTTPS, rotación de claves y administración de dominios permitidos.</w:t>
      </w:r>
    </w:p>
    <w:bookmarkEnd w:id="26"/>
    <w:bookmarkStart w:id="27" w:name="logs-monitoreo-y-soporte"/>
    <w:p>
      <w:pPr>
        <w:pStyle w:val="Heading2"/>
      </w:pPr>
      <w:r>
        <w:t xml:space="preserve">8. Logs, monitoreo y soporte</w:t>
      </w:r>
    </w:p>
    <w:p>
      <w:pPr>
        <w:pStyle w:val="FirstParagraph"/>
      </w:pPr>
      <w:r>
        <w:t xml:space="preserve">Registrar ID de correlación, ruta, estado HTTP, duración y evento de pago sin datos financieros; separar logs de auditoría. Métricas a implementar: error rate, latencia p95, fallas de transacción, colas de pago pendiente, SignalR reconnections, fallos de migración, recuperación tras backup. Registrar incidentes con versión/commit.</w:t>
      </w:r>
    </w:p>
    <w:bookmarkEnd w:id="27"/>
    <w:bookmarkStart w:id="28" w:name="seguridad-y-mantenimiento"/>
    <w:p>
      <w:pPr>
        <w:pStyle w:val="Heading2"/>
      </w:pPr>
      <w:r>
        <w:t xml:space="preserve">9. Seguridad y mantenimiento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recomendado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a entregar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401/403, acceso por 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negativa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firma, replay, duplicados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con IDs censurados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Backup/restore y migración idempotente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de restauración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Escaneo secrets/deps y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de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A11y, validación y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por 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en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HTTPS, CORS restringido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redactada revisada</w:t>
            </w:r>
          </w:p>
        </w:tc>
      </w:tr>
    </w:tbl>
    <w:bookmarkEnd w:id="28"/>
    <w:bookmarkStart w:id="29" w:name="procedimiento-de-liberación-sugerido"/>
    <w:p>
      <w:pPr>
        <w:pStyle w:val="Heading2"/>
      </w:pPr>
      <w:r>
        <w:t xml:space="preserve">10. Procedimiento de liberación sugerido</w:t>
      </w:r>
    </w:p>
    <w:p>
      <w:pPr>
        <w:pStyle w:val="FirstParagraph"/>
      </w:pPr>
      <w:r>
        <w:t xml:space="preserve">Crear rama → revisión por pares → compilar API/web/móvil → ejecutar pruebas unitarias/integración → verificar migrations dry run y sandbox de pagos → respaldar → desplegar en ventana acordada → smoke tests → monitorear → cerrar acta. Rollback debe restaurar binarios y estado coherente, no solo ejecutar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.</w:t>
      </w:r>
    </w:p>
    <w:bookmarkEnd w:id="29"/>
    <w:bookmarkStart w:id="30" w:name="fuentes-primarias-de-implementación"/>
    <w:p>
      <w:pPr>
        <w:pStyle w:val="Heading2"/>
      </w:pPr>
      <w:r>
        <w:t xml:space="preserve">Fuentes primarias de implementación</w:t>
      </w:r>
    </w:p>
    <w:p>
      <w:pPr>
        <w:pStyle w:val="Compact"/>
        <w:numPr>
          <w:ilvl w:val="0"/>
          <w:numId w:val="1001"/>
        </w:numPr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1"/>
        </w:numPr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1"/>
        </w:numPr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1"/>
        </w:numPr>
      </w:pPr>
      <w:r>
        <w:t xml:space="preserve">Referencia de presentación: https://github.com/jsgh1/SRD-v1/tree/dev/docs/docs-SRD</w:t>
      </w:r>
    </w:p>
    <w:p>
      <w:pPr>
        <w:pStyle w:val="FirstParagraph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30"/>
    <w:bookmarkEnd w:id="31"/>
    <w:sectPr w:rsidR="00FC693F" w:rsidRPr="0006063C" w:rsidSect="00034616">
      <w:footerReference r:id="rId9" w:type="default"/>
      <w:pgSz w:h="15840" w:w="12240"/>
      <w:pgMar w:bottom="1123" w:footer="720" w:gutter="0" w:header="720" w:left="1267" w:right="1267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SaborExpress  |  Expediente académico de revisión  |  14 de octubre de 2026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/>
    </w:pPr>
    <w:rPr>
      <w:rFonts w:ascii="Aptos" w:hAnsi="Aptos"/>
      <w:color w:val="23303C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4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154566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4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45678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4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2D5A73"/>
      <w:sz w:val="21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rPr>
      <w:rFonts w:ascii="Aptos" w:hAnsi="Apto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00" w:before="240" w:line="240" w:lineRule="auto"/>
      <w:contextualSpacing/>
    </w:pPr>
    <w:rPr>
      <w:rFonts w:ascii="Aptos Display" w:asciiTheme="majorHAnsi" w:cstheme="majorBidi" w:eastAsiaTheme="majorEastAsia" w:hAnsi="Aptos Display" w:hAnsiTheme="majorHAnsi"/>
      <w:b/>
      <w:color w:val="163A5A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Aptos" w:hAnsi="Aptos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2026-10-15T00:06:35Z</dcterms:created>
  <dcterms:modified xsi:type="dcterms:W3CDTF">2026-10-15T00:06:35Z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