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nual-de-usuario-final-por-rol"/>
    <w:p>
      <w:pPr>
        <w:pStyle w:val="Heading1"/>
      </w:pPr>
      <w:r>
        <w:t xml:space="preserve">Manual de usuario final por rol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introducción-y-condiciones"/>
    <w:p>
      <w:pPr>
        <w:pStyle w:val="Heading2"/>
      </w:pPr>
      <w:r>
        <w:t xml:space="preserve">1. Introducción y condiciones</w:t>
      </w:r>
    </w:p>
    <w:p>
      <w:pPr>
        <w:pStyle w:val="FirstParagraph"/>
      </w:pPr>
      <w:r>
        <w:t xml:space="preserve">Este manual describe recorridos funcionales inferidos de pantallas identificadas y endpoints. Nombres y ubicación exacta de botones pueden variar y necesitan capturas de la versión final. Para ingresar se requieren credenciales personales autorizadas; no se proporcionan usuarios compartidos ni contraseñas por defecto.</w:t>
      </w:r>
    </w:p>
    <w:bookmarkEnd w:id="20"/>
    <w:bookmarkStart w:id="21" w:name="cliente-móvil"/>
    <w:p>
      <w:pPr>
        <w:pStyle w:val="Heading2"/>
      </w:pPr>
      <w:r>
        <w:t xml:space="preserve">2. Cliente (móvil)</w:t>
      </w:r>
    </w:p>
    <w:p>
      <w:pPr>
        <w:pStyle w:val="FirstParagraph"/>
      </w:pPr>
      <w:r>
        <w:rPr>
          <w:b/>
          <w:bCs/>
        </w:rPr>
        <w:t xml:space="preserve">Ingresar:</w:t>
      </w:r>
      <w:r>
        <w:t xml:space="preserve"> </w:t>
      </w:r>
      <w:r>
        <w:t xml:space="preserve">abrir la aplicación, seleccionar iniciar sesión, indicar correo y contraseña, completar confirmación/activación si procede.</w:t>
      </w:r>
      <w:r>
        <w:t xml:space="preserve"> </w:t>
      </w:r>
      <w:r>
        <w:rPr>
          <w:b/>
          <w:bCs/>
        </w:rPr>
        <w:t xml:space="preserve">Consultar productos:</w:t>
      </w:r>
      <w:r>
        <w:t xml:space="preserve"> </w:t>
      </w:r>
      <w:r>
        <w:t xml:space="preserve">elegir sede o ubicación, revisar categorías, descripción y precio.</w:t>
      </w:r>
      <w:r>
        <w:t xml:space="preserve"> </w:t>
      </w:r>
      <w:r>
        <w:rPr>
          <w:b/>
          <w:bCs/>
        </w:rPr>
        <w:t xml:space="preserve">Realizar pedido:</w:t>
      </w:r>
      <w:r>
        <w:t xml:space="preserve"> </w:t>
      </w:r>
      <w:r>
        <w:t xml:space="preserve">añadir productos, confirmar cantidades, domicilio/mesa/retiro según pantalla; revisar resumen e importe antes de confirmar.</w:t>
      </w:r>
      <w:r>
        <w:t xml:space="preserve"> </w:t>
      </w:r>
      <w:r>
        <w:rPr>
          <w:b/>
          <w:bCs/>
        </w:rPr>
        <w:t xml:space="preserve">Pagar:</w:t>
      </w:r>
      <w:r>
        <w:t xml:space="preserve"> </w:t>
      </w:r>
      <w:r>
        <w:t xml:space="preserve">elegir medio de pago disponible. Para Wompi, seguir el flujo seguro del proveedor y esperar confirmación de estado; no cerrar proceso suponiendo que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aprobado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Consultar estado:</w:t>
      </w:r>
      <w:r>
        <w:t xml:space="preserve"> </w:t>
      </w:r>
      <w:r>
        <w:t xml:space="preserve">abrir pedidos y revisar cambios.</w:t>
      </w:r>
      <w:r>
        <w:t xml:space="preserve"> </w:t>
      </w:r>
      <w:r>
        <w:rPr>
          <w:b/>
          <w:bCs/>
        </w:rPr>
        <w:t xml:space="preserve">Calificar reparto:</w:t>
      </w:r>
      <w:r>
        <w:t xml:space="preserve"> </w:t>
      </w:r>
      <w:r>
        <w:t xml:space="preserve">tras entrega completada, utilizar la opción disponible.</w:t>
      </w:r>
    </w:p>
    <w:bookmarkEnd w:id="21"/>
    <w:bookmarkStart w:id="22" w:name="cajero-y-mesero"/>
    <w:p>
      <w:pPr>
        <w:pStyle w:val="Heading2"/>
      </w:pPr>
      <w:r>
        <w:t xml:space="preserve">3. Cajero y mesero</w:t>
      </w:r>
    </w:p>
    <w:p>
      <w:pPr>
        <w:pStyle w:val="FirstParagraph"/>
      </w:pPr>
      <w:r>
        <w:t xml:space="preserve">Iniciar sesión con rol correspondiente y turno válido; acceder a pedidos/mesas; verificar sede y mesa; registrar pedido y sus productos; confirmar observaciones de cocina; cuando corresponda, registrar pago o presentar QR; al cerrar turno, revisar operaciones propias. Si un pago Wompi está pendiente, no marcar arbitrariamente el pedido como pagado.</w:t>
      </w:r>
    </w:p>
    <w:bookmarkEnd w:id="22"/>
    <w:bookmarkStart w:id="23" w:name="cocina"/>
    <w:p>
      <w:pPr>
        <w:pStyle w:val="Heading2"/>
      </w:pPr>
      <w:r>
        <w:t xml:space="preserve">4. Cocina</w:t>
      </w:r>
    </w:p>
    <w:p>
      <w:pPr>
        <w:pStyle w:val="FirstParagraph"/>
      </w:pPr>
      <w:r>
        <w:t xml:space="preserve">Visualizar órdenes entrantes en tablero, identificar mesa, modalidad y detalle; iniciar preparación según reglas de operación; marcar ítems terminados; comunicar novedades evitando editar pagos. Si existe enlace de cocina público, controlar su caducidad y no compartirlo indiscriminadamente.</w:t>
      </w:r>
    </w:p>
    <w:bookmarkEnd w:id="23"/>
    <w:bookmarkStart w:id="24" w:name="repartidor"/>
    <w:p>
      <w:pPr>
        <w:pStyle w:val="Heading2"/>
      </w:pPr>
      <w:r>
        <w:t xml:space="preserve">5. Repartidor</w:t>
      </w:r>
    </w:p>
    <w:p>
      <w:pPr>
        <w:pStyle w:val="FirstParagraph"/>
      </w:pPr>
      <w:r>
        <w:t xml:space="preserve">Acceder al panel de entregas asignadas; revisar dirección y contacto solo en el alcance necesario; aceptar o marcar estado conforme al flujo; entregar sin compartir datos personales; reportar incidente mediante canal organizacional. No manipular órdenes de otros repartidores.</w:t>
      </w:r>
    </w:p>
    <w:bookmarkEnd w:id="24"/>
    <w:bookmarkStart w:id="25" w:name="administrador-de-sede"/>
    <w:p>
      <w:pPr>
        <w:pStyle w:val="Heading2"/>
      </w:pPr>
      <w:r>
        <w:t xml:space="preserve">6. Administrador de sede</w:t>
      </w:r>
    </w:p>
    <w:p>
      <w:pPr>
        <w:pStyle w:val="FirstParagraph"/>
      </w:pPr>
      <w:r>
        <w:t xml:space="preserve">Acceder al panel Next.js; administrar personal, horarios, catálogo, productos, mesas, pedidos y repartos según sus permisos. Verificar siempre la sede activa antes de hacer cambios. Consultar reportes disponibles sin inferir ingresos adicionales que no estén registrados.</w:t>
      </w:r>
    </w:p>
    <w:bookmarkEnd w:id="25"/>
    <w:bookmarkStart w:id="26" w:name="gerente"/>
    <w:p>
      <w:pPr>
        <w:pStyle w:val="Heading2"/>
      </w:pPr>
      <w:r>
        <w:t xml:space="preserve">7. Gerente</w:t>
      </w:r>
    </w:p>
    <w:p>
      <w:pPr>
        <w:pStyle w:val="FirstParagraph"/>
      </w:pPr>
      <w:r>
        <w:t xml:space="preserve">Gestionar sedes y supervisar la operación permitida. Revisar acceso a reportes, pagos, empleados y entregas. Antes de eliminar un elemento, comprobar implicaciones en historial y auditoría.</w:t>
      </w:r>
    </w:p>
    <w:bookmarkEnd w:id="26"/>
    <w:bookmarkStart w:id="27" w:name="problemas-frecuentes"/>
    <w:p>
      <w:pPr>
        <w:pStyle w:val="Heading2"/>
      </w:pPr>
      <w:r>
        <w:t xml:space="preserve">8. Problemas frecuentes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entra a su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correo/clave, recuperación y activación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con hora y mensaje de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no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sede y sincronizar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Caja/soporte con ID de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repetir cobro automáticamente; esperar 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Caja/soporte, sin compartir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llegan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permisos, red y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con versión del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 repartidor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asignación de la 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agotado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confirmar sustituciones sin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Cocina y caja</w:t>
            </w:r>
          </w:p>
        </w:tc>
      </w:tr>
    </w:tbl>
    <w:bookmarkEnd w:id="27"/>
    <w:bookmarkStart w:id="28" w:name="privacidad-y-uso-responsable"/>
    <w:p>
      <w:pPr>
        <w:pStyle w:val="Heading2"/>
      </w:pPr>
      <w:r>
        <w:t xml:space="preserve">9. Privacidad y uso responsable</w:t>
      </w:r>
    </w:p>
    <w:p>
      <w:pPr>
        <w:pStyle w:val="FirstParagraph"/>
      </w:pPr>
      <w:r>
        <w:t xml:space="preserve">No compartir claves, documentos de clientes ni capturas con información privada en grupos externos. Cerrar sesión en equipos compartidos. Reportar cambios no reconocidos en pedidos y pagos. No usar información ficticia como si fuera evidencia de ventas reales.</w:t>
      </w:r>
    </w:p>
    <w:bookmarkEnd w:id="28"/>
    <w:bookmarkStart w:id="29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2026-10-15T00:06:38Z</dcterms:created>
  <dcterms:modified xsi:type="dcterms:W3CDTF">2026-10-15T00:06:38Z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