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propuesta-técnica-y-plan-de-solución"/>
    <w:p>
      <w:pPr>
        <w:pStyle w:val="Heading1"/>
      </w:pPr>
      <w:r>
        <w:t xml:space="preserve">Propuesta técnica y plan de solución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SaborExpress |</w:t>
      </w:r>
      <w:r>
        <w:t xml:space="preserve"> </w:t>
      </w:r>
      <w:r>
        <w:rPr>
          <w:b/>
          <w:bCs/>
        </w:rPr>
        <w:t xml:space="preserve">Fecha de corte:</w:t>
      </w:r>
      <w:r>
        <w:t xml:space="preserve"> </w:t>
      </w:r>
      <w:r>
        <w:t xml:space="preserve">14 de octubre de 2026 |</w:t>
      </w:r>
      <w:r>
        <w:t xml:space="preserve"> </w:t>
      </w:r>
      <w:r>
        <w:rPr>
          <w:b/>
          <w:bCs/>
        </w:rPr>
        <w:t xml:space="preserve">Versión:</w:t>
      </w:r>
      <w:r>
        <w:t xml:space="preserve"> </w:t>
      </w:r>
      <w:r>
        <w:t xml:space="preserve">2.0 |</w:t>
      </w:r>
      <w:r>
        <w:t xml:space="preserve"> </w:t>
      </w:r>
      <w:r>
        <w:rPr>
          <w:b/>
          <w:bCs/>
        </w:rPr>
        <w:t xml:space="preserve">Tipo:</w:t>
      </w:r>
      <w:r>
        <w:t xml:space="preserve"> </w:t>
      </w:r>
      <w:r>
        <w:t xml:space="preserve">Documento técnico y académico</w:t>
      </w:r>
    </w:p>
    <w:p>
      <w:pPr>
        <w:pStyle w:val="BodyText"/>
      </w:pPr>
      <w:r>
        <w:rPr>
          <w:b/>
          <w:bCs/>
        </w:rPr>
        <w:t xml:space="preserve">Estado de la evidencia:</w:t>
      </w:r>
      <w:r>
        <w:t xml:space="preserve"> </w:t>
      </w:r>
      <w:r>
        <w:t xml:space="preserve">inspección documental y estática del código. Las pruebas de ejecución y los datos institucionales no aportados no se presumen realizados.</w:t>
      </w:r>
    </w:p>
    <w:bookmarkStart w:id="20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Se propone mantener y estabilizar una plataforma modular compuesta por una API .NET, un portal de administración Next.js y una aplicación Expo para usuarios/roles de operación. La decisión prioritaria no es añadir microservicios, sino asegurar integridad de transacciones, autorización por sede, pruebas de pagos y despliegue reproducible.</w:t>
      </w:r>
    </w:p>
    <w:bookmarkEnd w:id="20"/>
    <w:bookmarkStart w:id="21" w:name="objetivo-alcance-y-entregables"/>
    <w:p>
      <w:pPr>
        <w:pStyle w:val="Heading2"/>
      </w:pPr>
      <w:r>
        <w:t xml:space="preserve">2. Objetivo, alcance y entregables</w:t>
      </w:r>
    </w:p>
    <w:p>
      <w:pPr>
        <w:pStyle w:val="FirstParagraph"/>
      </w:pPr>
      <w:r>
        <w:t xml:space="preserve">El objetivo es documentar y validar los componentes ya presentes, integrarlos mediante un contrato OpenAPI verificable y asegurar una puesta en marcha comprobable. Entregables: SRS trazable, diagramas, manual técnico, manual de instalación, manual de usuario, catálogo de rutas, diccionario EF, matriz de pruebas, plan de mejora y artículo científico.</w:t>
      </w:r>
    </w:p>
    <w:bookmarkEnd w:id="21"/>
    <w:bookmarkStart w:id="22" w:name="alternativas-de-arquitectura"/>
    <w:p>
      <w:pPr>
        <w:pStyle w:val="Heading2"/>
      </w:pPr>
      <w:r>
        <w:t xml:space="preserve">3. Alternativas de arquitectura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Riesgo/condición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Monolito modular .NET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Menor complejidad de despliegue;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 límites de dominio claros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Microservicios por 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Escalado y autonomía independientes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operativo y consistencia distribuidos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afirmar ni migrar sin evidencia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como backend único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Servicios integrados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coincide con código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Descartada como descripción 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 frontends API compartida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Reuso de contratos de negocio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Versionado y permisos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Mantener y probar</w:t>
            </w:r>
          </w:p>
        </w:tc>
      </w:tr>
    </w:tbl>
    <w:bookmarkEnd w:id="22"/>
    <w:bookmarkStart w:id="23" w:name="plan-de-implementación-y-responsables"/>
    <w:p>
      <w:pPr>
        <w:pStyle w:val="Heading2"/>
      </w:pPr>
      <w:r>
        <w:t xml:space="preserve">4. Plan de implementación y responsables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cierre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– saneamiento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Congelar commit, corregir README, inventariar secretos y dependencias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y .env.example publicados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– integridad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Migraciones reproducibles, pruebas CRUD por proveedor 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y restauración pasan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– autorizaciones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rol/recurso/sede; pruebas negativas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accesos indebidos en matriz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 – pagos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Wompi, validación de firmas y duplicados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Conciliación sin doble cargo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 –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Ensayos E2E y monitoreo; backup/restore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Evidencias firmadas por 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 –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 usuario, capacitación, revisión académica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aceptación</w:t>
            </w:r>
          </w:p>
        </w:tc>
      </w:tr>
    </w:tbl>
    <w:bookmarkEnd w:id="23"/>
    <w:bookmarkStart w:id="24" w:name="recursos-y-condiciones"/>
    <w:p>
      <w:pPr>
        <w:pStyle w:val="Heading2"/>
      </w:pPr>
      <w:r>
        <w:t xml:space="preserve">5. Recursos y condiciones</w:t>
      </w:r>
    </w:p>
    <w:p>
      <w:pPr>
        <w:pStyle w:val="FirstParagraph"/>
      </w:pPr>
      <w:r>
        <w:t xml:space="preserve">Ambiente de desarrollo: .NET SDK 8, Node/npm, repositorios, motor DB compatible, conexión a sandbox Wompi, entorno Expo (SDK y dispositivo/emulador), herramientas de pruebas API y un lugar seguro para secretos. Host, proveedor, precio y SLA de producción quedan sujetos a decisión del equipo; no se asignan precios sin cotización actual.</w:t>
      </w:r>
    </w:p>
    <w:bookmarkEnd w:id="24"/>
    <w:bookmarkStart w:id="25" w:name="riesgos-priorizados"/>
    <w:p>
      <w:pPr>
        <w:pStyle w:val="Heading2"/>
      </w:pPr>
      <w:r>
        <w:t xml:space="preserve">6. Riesgos priorizados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Duplicado de 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Idempotencia/firmas/eventos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o privilegios insuficientes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OWASP API1/API5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Claves subidas a 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Escaneo y rotación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Migración automática al iniciar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Medio/alto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estrategia en producción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CORS permisivo de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estricta de orígenes reales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Caída de SignalR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Reconexión + reconciliación por 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de pruebas desconocida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Construir pipeline CI</w:t>
            </w:r>
          </w:p>
        </w:tc>
      </w:tr>
    </w:tbl>
    <w:bookmarkEnd w:id="25"/>
    <w:bookmarkStart w:id="26" w:name="criterios-de-éxito-a-medir"/>
    <w:p>
      <w:pPr>
        <w:pStyle w:val="Heading2"/>
      </w:pPr>
      <w:r>
        <w:t xml:space="preserve">7. Criterios de éxito (a medir)</w:t>
      </w:r>
    </w:p>
    <w:p>
      <w:pPr>
        <w:pStyle w:val="FirstParagraph"/>
      </w:pPr>
      <w:r>
        <w:t xml:space="preserve">Operaciones funcionales críticas aprobadas, porcentaje de requisitos cubiertos por pruebas, incidencias bloqueantes resueltas, p95 de operaciones según carga acordada, trazabilidad de pagos y accesibilidad básica. Este plan no registra resultados cumplidos antes de ejecutar pruebas.</w:t>
      </w:r>
    </w:p>
    <w:bookmarkEnd w:id="26"/>
    <w:bookmarkStart w:id="27" w:name="fuentes-primarias-de-implementación"/>
    <w:p>
      <w:pPr>
        <w:pStyle w:val="Heading2"/>
      </w:pPr>
      <w:r>
        <w:t xml:space="preserve">Fuentes primarias de implementación</w:t>
      </w:r>
    </w:p>
    <w:p>
      <w:pPr>
        <w:pStyle w:val="Compact"/>
        <w:numPr>
          <w:ilvl w:val="0"/>
          <w:numId w:val="1001"/>
        </w:numPr>
      </w:pPr>
      <w:r>
        <w:t xml:space="preserve">API: https://github.com/yersonct/SaborExpressBack/tree/main</w:t>
      </w:r>
    </w:p>
    <w:p>
      <w:pPr>
        <w:pStyle w:val="Compact"/>
        <w:numPr>
          <w:ilvl w:val="0"/>
          <w:numId w:val="1001"/>
        </w:numPr>
      </w:pPr>
      <w:r>
        <w:t xml:space="preserve">Web: https://github.com/yersonct/SaborExpressWeb/tree/main</w:t>
      </w:r>
    </w:p>
    <w:p>
      <w:pPr>
        <w:pStyle w:val="Compact"/>
        <w:numPr>
          <w:ilvl w:val="0"/>
          <w:numId w:val="1001"/>
        </w:numPr>
      </w:pPr>
      <w:r>
        <w:t xml:space="preserve">Móvil: https://github.com/yersonct/SaborExpressMovil/tree/main</w:t>
      </w:r>
    </w:p>
    <w:p>
      <w:pPr>
        <w:pStyle w:val="Compact"/>
        <w:numPr>
          <w:ilvl w:val="0"/>
          <w:numId w:val="1001"/>
        </w:numPr>
      </w:pPr>
      <w:r>
        <w:t xml:space="preserve">Referencia de presentación: https://github.com/jsgh1/SRD-v1/tree/dev/docs/docs-SRD</w:t>
      </w:r>
    </w:p>
    <w:p>
      <w:pPr>
        <w:pStyle w:val="FirstParagraph"/>
      </w:pPr>
      <w:r>
        <w:rPr>
          <w:b/>
          <w:bCs/>
        </w:rPr>
        <w:t xml:space="preserve">Control documental:</w:t>
      </w:r>
      <w:r>
        <w:t xml:space="preserve"> </w:t>
      </w:r>
      <w:r>
        <w:t xml:space="preserve">documento elaborado a partir del estado observado en octubre de 2026. Antes de entregar, verificar el commit exacto, responsable, revisión del instructor y cualquier cambio posterior del código.</w:t>
      </w:r>
    </w:p>
    <w:bookmarkEnd w:id="27"/>
    <w:bookmarkEnd w:id="28"/>
    <w:sectPr w:rsidR="00FC693F" w:rsidRPr="0006063C" w:rsidSect="00034616">
      <w:footerReference r:id="rId9" w:type="default"/>
      <w:pgSz w:h="15840" w:w="12240"/>
      <w:pgMar w:bottom="1123" w:footer="720" w:gutter="0" w:header="720" w:left="1267" w:right="1267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SaborExpress  |  Expediente académico de revisión  |  14 de octubre de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Aptos" w:hAnsi="Aptos"/>
      <w:color w:val="23303C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4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54566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4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245678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40"/>
      <w:outlineLvl w:val="2"/>
    </w:pPr>
    <w:rPr>
      <w:rFonts w:ascii="Aptos Display" w:asciiTheme="majorHAnsi" w:cstheme="majorBidi" w:eastAsiaTheme="majorEastAsia" w:hAnsi="Aptos Display" w:hAnsiTheme="majorHAnsi"/>
      <w:b/>
      <w:bCs/>
      <w:color w:val="2D5A73"/>
      <w:sz w:val="2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rPr>
      <w:rFonts w:ascii="Aptos" w:hAnsi="Aptos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00" w:before="24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63A5A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Aptos" w:hAnsi="Aptos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2026-10-15T00:06:34Z</dcterms:created>
  <dcterms:modified xsi:type="dcterms:W3CDTF">2026-10-15T00:06:34Z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