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2" w:name="X16130c365d616cd761feb2fa09df53fa3368084"/>
    <w:p>
      <w:pPr>
        <w:pStyle w:val="Heading1"/>
      </w:pPr>
      <w:r>
        <w:t xml:space="preserve">Referencias bibliográficas y bases de la investigación</w:t>
      </w:r>
    </w:p>
    <w:p>
      <w:pPr>
        <w:pStyle w:val="FirstParagraph"/>
      </w:pPr>
      <w:r>
        <w:rPr>
          <w:b/>
          <w:bCs/>
        </w:rPr>
        <w:t xml:space="preserve">Proyecto:</w:t>
      </w:r>
      <w:r>
        <w:t xml:space="preserve"> </w:t>
      </w:r>
      <w:r>
        <w:t xml:space="preserve">SaborExpress |</w:t>
      </w:r>
      <w:r>
        <w:t xml:space="preserve"> </w:t>
      </w:r>
      <w:r>
        <w:rPr>
          <w:b/>
          <w:bCs/>
        </w:rPr>
        <w:t xml:space="preserve">Fecha de corte:</w:t>
      </w:r>
      <w:r>
        <w:t xml:space="preserve"> </w:t>
      </w:r>
      <w:r>
        <w:t xml:space="preserve">14 de octubre de 2026 |</w:t>
      </w:r>
      <w:r>
        <w:t xml:space="preserve"> </w:t>
      </w:r>
      <w:r>
        <w:rPr>
          <w:b/>
          <w:bCs/>
        </w:rPr>
        <w:t xml:space="preserve">Versión:</w:t>
      </w:r>
      <w:r>
        <w:t xml:space="preserve"> </w:t>
      </w:r>
      <w:r>
        <w:t xml:space="preserve">2.0 |</w:t>
      </w:r>
      <w:r>
        <w:t xml:space="preserve"> </w:t>
      </w:r>
      <w:r>
        <w:rPr>
          <w:b/>
          <w:bCs/>
        </w:rPr>
        <w:t xml:space="preserve">Tipo:</w:t>
      </w:r>
      <w:r>
        <w:t xml:space="preserve"> </w:t>
      </w:r>
      <w:r>
        <w:t xml:space="preserve">Revisión dirigida bibliográfica</w:t>
      </w:r>
    </w:p>
    <w:p>
      <w:pPr>
        <w:pStyle w:val="BodyText"/>
      </w:pPr>
      <w:r>
        <w:rPr>
          <w:b/>
          <w:bCs/>
        </w:rPr>
        <w:t xml:space="preserve">Estado de la evidencia:</w:t>
      </w:r>
      <w:r>
        <w:t xml:space="preserve"> </w:t>
      </w:r>
      <w:r>
        <w:t xml:space="preserve">inspección documental y estática del código. Las pruebas de ejecución y los datos institucionales no aportados no se presumen realizados.</w:t>
      </w:r>
    </w:p>
    <w:bookmarkStart w:id="20" w:name="criterios-de-inclusión"/>
    <w:p>
      <w:pPr>
        <w:pStyle w:val="Heading2"/>
      </w:pPr>
      <w:r>
        <w:t xml:space="preserve">Criterios de inclusión</w:t>
      </w:r>
    </w:p>
    <w:p>
      <w:pPr>
        <w:pStyle w:val="FirstParagraph"/>
      </w:pPr>
      <w:r>
        <w:t xml:space="preserve">Se priorizaron fuentes originales verificables con DOI, documentos de estándares ISO, IETF/NIST/OWASP, literatura metodológica y documentación oficial de las tecnologías efectivamente identificadas. Se excluyen blogs genéricos sin relación técnica y se separan resultados de terceros de las mediciones propias inexistentes. La revisión es dirigida y</w:t>
      </w:r>
      <w:r>
        <w:t xml:space="preserve"> </w:t>
      </w:r>
      <w:r>
        <w:rPr>
          <w:b/>
          <w:bCs/>
        </w:rPr>
        <w:t xml:space="preserve">no se presenta como revisión sistemática PRISMA</w:t>
      </w:r>
      <w:r>
        <w:t xml:space="preserve">; las fechas de consulta no equivalen a fechas de publicación.</w:t>
      </w:r>
    </w:p>
    <w:bookmarkEnd w:id="20"/>
    <w:bookmarkStart w:id="49" w:name="listado-de-referencias"/>
    <w:p>
      <w:pPr>
        <w:pStyle w:val="Heading2"/>
      </w:pPr>
      <w:r>
        <w:t xml:space="preserve">Listado de referencias</w:t>
      </w:r>
    </w:p>
    <w:p>
      <w:pPr>
        <w:numPr>
          <w:ilvl w:val="0"/>
          <w:numId w:val="1001"/>
        </w:numPr>
      </w:pPr>
      <w:r>
        <w:t xml:space="preserve">Shroff, A., Shah, B. J., &amp; Gajjar, H. (2022). Online food delivery research: A systematic literature review. International Journal of Contemporary Hospitality Management, 34(8), 2852–2883.</w:t>
      </w:r>
      <w:r>
        <w:t xml:space="preserve"> </w:t>
      </w:r>
      <w:hyperlink r:id="rId21">
        <w:r>
          <w:rPr>
            <w:rStyle w:val="Hyperlink"/>
          </w:rPr>
          <w:t xml:space="preserve">https://doi.org/10.1108/IJCHM-10-2021-1273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Tipo: artículo científico.</w:t>
      </w:r>
    </w:p>
    <w:p>
      <w:pPr>
        <w:numPr>
          <w:ilvl w:val="0"/>
          <w:numId w:val="1001"/>
        </w:numPr>
      </w:pPr>
      <w:r>
        <w:t xml:space="preserve">Online food delivery: A systematic synthesis of literature and a framework development. (2022). International Journal of Hospitality Management, 104, 103240.</w:t>
      </w:r>
      <w:r>
        <w:t xml:space="preserve"> </w:t>
      </w:r>
      <w:hyperlink r:id="rId22">
        <w:r>
          <w:rPr>
            <w:rStyle w:val="Hyperlink"/>
          </w:rPr>
          <w:t xml:space="preserve">https://doi.org/10.1016/j.ijhm.2022.103240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Tipo: artículo científico; autoría pendiente de completar.</w:t>
      </w:r>
    </w:p>
    <w:p>
      <w:pPr>
        <w:numPr>
          <w:ilvl w:val="0"/>
          <w:numId w:val="1001"/>
        </w:numPr>
      </w:pPr>
      <w:r>
        <w:t xml:space="preserve">Influence of service attributes of food delivery application on customers’ satisfaction and their behavioural responses: The IPMA approach. (2021). International Journal of Gastronomy and Food Science, 25, 100392.</w:t>
      </w:r>
      <w:r>
        <w:t xml:space="preserve"> </w:t>
      </w:r>
      <w:hyperlink r:id="rId23">
        <w:r>
          <w:rPr>
            <w:rStyle w:val="Hyperlink"/>
          </w:rPr>
          <w:t xml:space="preserve">https://doi.org/10.1016/j.ijgfs.2021.100392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Tipo: artículo científico; autoría pendiente de completar.</w:t>
      </w:r>
    </w:p>
    <w:p>
      <w:pPr>
        <w:numPr>
          <w:ilvl w:val="0"/>
          <w:numId w:val="1001"/>
        </w:numPr>
      </w:pPr>
      <w:r>
        <w:t xml:space="preserve">A model of online food delivery service quality, customer satisfaction and customer loyalty: A combination of PLS-SEM and NCA approaches. (2022). British Food Journal, 124(12), 4516–4532.</w:t>
      </w:r>
      <w:r>
        <w:t xml:space="preserve"> </w:t>
      </w:r>
      <w:hyperlink r:id="rId24">
        <w:r>
          <w:rPr>
            <w:rStyle w:val="Hyperlink"/>
          </w:rPr>
          <w:t xml:space="preserve">https://doi.org/10.1108/BFJ-10-2021-1169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Tipo: artículo científico; autoría pendiente de completar.</w:t>
      </w:r>
    </w:p>
    <w:p>
      <w:pPr>
        <w:numPr>
          <w:ilvl w:val="0"/>
          <w:numId w:val="1001"/>
        </w:numPr>
      </w:pPr>
      <w:r>
        <w:t xml:space="preserve">Prasetyo, Y. T., et al. (2021). Factors affecting customer satisfaction and loyalty in online food delivery service during the COVID-19 pandemic: Its relation with open innovation. Journal of Open Innovation: Technology, Market, and Complexity, 7(1), 76.</w:t>
      </w:r>
      <w:r>
        <w:t xml:space="preserve"> </w:t>
      </w:r>
      <w:hyperlink r:id="rId25">
        <w:r>
          <w:rPr>
            <w:rStyle w:val="Hyperlink"/>
          </w:rPr>
          <w:t xml:space="preserve">https://doi.org/10.3390/joitmc7010076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Tipo: artículo científico.</w:t>
      </w:r>
    </w:p>
    <w:p>
      <w:pPr>
        <w:numPr>
          <w:ilvl w:val="0"/>
          <w:numId w:val="1001"/>
        </w:numPr>
      </w:pPr>
      <w:r>
        <w:t xml:space="preserve">García-Umaña, A., et al. (2026). Continuance intention in online food delivery platforms in Colombia: Extending UTAUT2 with delivery trust and food quality perception. Foods, 15(14), 2430.</w:t>
      </w:r>
      <w:r>
        <w:t xml:space="preserve"> </w:t>
      </w:r>
      <w:hyperlink r:id="rId26">
        <w:r>
          <w:rPr>
            <w:rStyle w:val="Hyperlink"/>
          </w:rPr>
          <w:t xml:space="preserve">https://doi.org/10.3390/foods15142430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Tipo: artículo científico (contexto colombiano).</w:t>
      </w:r>
    </w:p>
    <w:p>
      <w:pPr>
        <w:numPr>
          <w:ilvl w:val="0"/>
          <w:numId w:val="1001"/>
        </w:numPr>
      </w:pPr>
      <w:r>
        <w:t xml:space="preserve">Davis, F. D. (1989). Perceived usefulness, perceived ease of use, and user acceptance of information technology. MIS Quarterly, 13(3), 319–340.</w:t>
      </w:r>
      <w:r>
        <w:t xml:space="preserve"> </w:t>
      </w:r>
      <w:hyperlink r:id="rId27">
        <w:r>
          <w:rPr>
            <w:rStyle w:val="Hyperlink"/>
          </w:rPr>
          <w:t xml:space="preserve">https://doi.org/10.2307/249008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Tipo: fundamento teórico.</w:t>
      </w:r>
    </w:p>
    <w:p>
      <w:pPr>
        <w:numPr>
          <w:ilvl w:val="0"/>
          <w:numId w:val="1001"/>
        </w:numPr>
      </w:pPr>
      <w:r>
        <w:t xml:space="preserve">Venkatesh, V., Morris, M. G., Davis, G. B., &amp; Davis, F. D. (2003). User acceptance of information technology: Toward a unified view. MIS Quarterly, 27(3), 425–478.</w:t>
      </w:r>
      <w:r>
        <w:t xml:space="preserve"> </w:t>
      </w:r>
      <w:hyperlink r:id="rId28">
        <w:r>
          <w:rPr>
            <w:rStyle w:val="Hyperlink"/>
          </w:rPr>
          <w:t xml:space="preserve">https://doi.org/10.2307/30036540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Tipo: fundamento teórico.</w:t>
      </w:r>
    </w:p>
    <w:p>
      <w:pPr>
        <w:numPr>
          <w:ilvl w:val="0"/>
          <w:numId w:val="1001"/>
        </w:numPr>
      </w:pPr>
      <w:r>
        <w:t xml:space="preserve">Kruchten, P. (1995). The 4+1 view model of architecture. IEEE Software, 12(6), 42–50.</w:t>
      </w:r>
      <w:r>
        <w:t xml:space="preserve"> </w:t>
      </w:r>
      <w:hyperlink r:id="rId29">
        <w:r>
          <w:rPr>
            <w:rStyle w:val="Hyperlink"/>
          </w:rPr>
          <w:t xml:space="preserve">https://doi.org/10.1109/52.469759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Tipo: arquitectura.</w:t>
      </w:r>
    </w:p>
    <w:p>
      <w:pPr>
        <w:numPr>
          <w:ilvl w:val="0"/>
          <w:numId w:val="1001"/>
        </w:numPr>
      </w:pPr>
      <w:r>
        <w:t xml:space="preserve">Taibi, D., Lenarduzzi, V., &amp; Pahl, C. (2018). Architectural patterns for microservices: A systematic mapping study. Proceedings of CLOSER, 221–232.</w:t>
      </w:r>
      <w:r>
        <w:t xml:space="preserve"> </w:t>
      </w:r>
      <w:hyperlink r:id="rId30">
        <w:r>
          <w:rPr>
            <w:rStyle w:val="Hyperlink"/>
          </w:rPr>
          <w:t xml:space="preserve">https://doi.org/10.5220/0006798302210232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Tipo: arquitectura comparada.</w:t>
      </w:r>
    </w:p>
    <w:p>
      <w:pPr>
        <w:numPr>
          <w:ilvl w:val="0"/>
          <w:numId w:val="1001"/>
        </w:numPr>
      </w:pPr>
      <w:r>
        <w:t xml:space="preserve">Yin, R. K. (2018). Case Study Research and Applications: Design and Methods (6th ed.). SAGE.</w:t>
      </w:r>
      <w:r>
        <w:t xml:space="preserve"> </w:t>
      </w:r>
      <w:hyperlink r:id="rId31">
        <w:r>
          <w:rPr>
            <w:rStyle w:val="Hyperlink"/>
          </w:rPr>
          <w:t xml:space="preserve">https://study.sagepub.com/yin6e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Tipo: metodología.</w:t>
      </w:r>
    </w:p>
    <w:p>
      <w:pPr>
        <w:numPr>
          <w:ilvl w:val="0"/>
          <w:numId w:val="1001"/>
        </w:numPr>
      </w:pPr>
      <w:r>
        <w:t xml:space="preserve">Kitchenham, B., &amp; Charters, S. (2007). Guidelines for performing systematic literature reviews in software engineering. EBSE-2007-01.</w:t>
      </w:r>
      <w:r>
        <w:t xml:space="preserve"> </w:t>
      </w:r>
      <w:hyperlink r:id="rId32">
        <w:r>
          <w:rPr>
            <w:rStyle w:val="Hyperlink"/>
          </w:rPr>
          <w:t xml:space="preserve">https://homepages.dcc.ufmg.br/~figueiredo/disciplinas/papers/guidelines-kitchenham.pdf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Tipo: método de revisión; no implica revisión sistemática.</w:t>
      </w:r>
    </w:p>
    <w:p>
      <w:pPr>
        <w:numPr>
          <w:ilvl w:val="0"/>
          <w:numId w:val="1001"/>
        </w:numPr>
      </w:pPr>
      <w:r>
        <w:t xml:space="preserve">ISO/IEC/IEEE. (2018). ISO/IEC/IEEE 29148:2018. Systems and software engineering: Requirements engineering.</w:t>
      </w:r>
      <w:r>
        <w:t xml:space="preserve"> </w:t>
      </w:r>
      <w:hyperlink r:id="rId33">
        <w:r>
          <w:rPr>
            <w:rStyle w:val="Hyperlink"/>
          </w:rPr>
          <w:t xml:space="preserve">https://www.iso.org/standard/72089.html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Tipo: estándar.</w:t>
      </w:r>
    </w:p>
    <w:p>
      <w:pPr>
        <w:numPr>
          <w:ilvl w:val="0"/>
          <w:numId w:val="1001"/>
        </w:numPr>
      </w:pPr>
      <w:r>
        <w:t xml:space="preserve">ISO/IEC. (2023). ISO/IEC 25010:2023. Systems and software engineering: Product quality model.</w:t>
      </w:r>
      <w:r>
        <w:t xml:space="preserve"> </w:t>
      </w:r>
      <w:hyperlink r:id="rId34">
        <w:r>
          <w:rPr>
            <w:rStyle w:val="Hyperlink"/>
          </w:rPr>
          <w:t xml:space="preserve">https://www.iso.org/standard/78176.html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Tipo: estándar.</w:t>
      </w:r>
    </w:p>
    <w:p>
      <w:pPr>
        <w:numPr>
          <w:ilvl w:val="0"/>
          <w:numId w:val="1001"/>
        </w:numPr>
      </w:pPr>
      <w:r>
        <w:t xml:space="preserve">OWASP Foundation. (2023). API Security Top 10.</w:t>
      </w:r>
      <w:r>
        <w:t xml:space="preserve"> </w:t>
      </w:r>
      <w:hyperlink r:id="rId35">
        <w:r>
          <w:rPr>
            <w:rStyle w:val="Hyperlink"/>
          </w:rPr>
          <w:t xml:space="preserve">https://api-security.owasp.org/editions/2023/en/0x00-header/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Tipo: referente de seguridad.</w:t>
      </w:r>
    </w:p>
    <w:p>
      <w:pPr>
        <w:numPr>
          <w:ilvl w:val="0"/>
          <w:numId w:val="1001"/>
        </w:numPr>
      </w:pPr>
      <w:r>
        <w:t xml:space="preserve">Temoshok, D., et al. (2025). Digital Identity Guidelines: Authentication and Authenticator Management (NIST SP 800-63B-4).</w:t>
      </w:r>
      <w:r>
        <w:t xml:space="preserve"> </w:t>
      </w:r>
      <w:hyperlink r:id="rId36">
        <w:r>
          <w:rPr>
            <w:rStyle w:val="Hyperlink"/>
          </w:rPr>
          <w:t xml:space="preserve">https://doi.org/10.6028/NIST.SP.800-63b-4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Tipo: referente de autenticación.</w:t>
      </w:r>
    </w:p>
    <w:p>
      <w:pPr>
        <w:numPr>
          <w:ilvl w:val="0"/>
          <w:numId w:val="1001"/>
        </w:numPr>
      </w:pPr>
      <w:r>
        <w:t xml:space="preserve">Jones, M., Bradley, J., &amp; Sakimura, N. (2015). JSON Web Token (JWT) (RFC 7519). IETF.</w:t>
      </w:r>
      <w:r>
        <w:t xml:space="preserve"> </w:t>
      </w:r>
      <w:hyperlink r:id="rId37">
        <w:r>
          <w:rPr>
            <w:rStyle w:val="Hyperlink"/>
          </w:rPr>
          <w:t xml:space="preserve">https://www.rfc-editor.org/rfc/rfc7519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Tipo: estándar técnico.</w:t>
      </w:r>
    </w:p>
    <w:p>
      <w:pPr>
        <w:numPr>
          <w:ilvl w:val="0"/>
          <w:numId w:val="1001"/>
        </w:numPr>
      </w:pPr>
      <w:r>
        <w:t xml:space="preserve">Fielding, R., Nottingham, M., &amp; Reschke, J. (2022). HTTP Semantics (RFC 9110). IETF.</w:t>
      </w:r>
      <w:r>
        <w:t xml:space="preserve"> </w:t>
      </w:r>
      <w:hyperlink r:id="rId38">
        <w:r>
          <w:rPr>
            <w:rStyle w:val="Hyperlink"/>
          </w:rPr>
          <w:t xml:space="preserve">https://www.rfc-editor.org/rfc/rfc9110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Tipo: estándar técnico.</w:t>
      </w:r>
    </w:p>
    <w:p>
      <w:pPr>
        <w:numPr>
          <w:ilvl w:val="0"/>
          <w:numId w:val="1001"/>
        </w:numPr>
      </w:pPr>
      <w:r>
        <w:t xml:space="preserve">Nielsen, J. (1994; revisión 2024). 10 usability heuristics for user interface design. Nielsen Norman Group.</w:t>
      </w:r>
      <w:r>
        <w:t xml:space="preserve"> </w:t>
      </w:r>
      <w:hyperlink r:id="rId39">
        <w:r>
          <w:rPr>
            <w:rStyle w:val="Hyperlink"/>
          </w:rPr>
          <w:t xml:space="preserve">https://www.nngroup.com/articles/ten-usability-heuristics/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Tipo: referente de usabilidad.</w:t>
      </w:r>
    </w:p>
    <w:p>
      <w:pPr>
        <w:numPr>
          <w:ilvl w:val="0"/>
          <w:numId w:val="1001"/>
        </w:numPr>
      </w:pPr>
      <w:r>
        <w:t xml:space="preserve">Microsoft. (s. f.). ASP.NET Core documentation.</w:t>
      </w:r>
      <w:r>
        <w:t xml:space="preserve"> </w:t>
      </w:r>
      <w:hyperlink r:id="rId40">
        <w:r>
          <w:rPr>
            <w:rStyle w:val="Hyperlink"/>
          </w:rPr>
          <w:t xml:space="preserve">https://learn.microsoft.com/en-us/aspnet/core/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Tipo: documentación técnica.</w:t>
      </w:r>
    </w:p>
    <w:p>
      <w:pPr>
        <w:numPr>
          <w:ilvl w:val="0"/>
          <w:numId w:val="1001"/>
        </w:numPr>
      </w:pPr>
      <w:r>
        <w:t xml:space="preserve">Microsoft. (s. f.). Entity Framework Core documentation.</w:t>
      </w:r>
      <w:r>
        <w:t xml:space="preserve"> </w:t>
      </w:r>
      <w:hyperlink r:id="rId41">
        <w:r>
          <w:rPr>
            <w:rStyle w:val="Hyperlink"/>
          </w:rPr>
          <w:t xml:space="preserve">https://learn.microsoft.com/en-us/ef/core/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Tipo: documentación técnica.</w:t>
      </w:r>
    </w:p>
    <w:p>
      <w:pPr>
        <w:numPr>
          <w:ilvl w:val="0"/>
          <w:numId w:val="1001"/>
        </w:numPr>
      </w:pPr>
      <w:r>
        <w:t xml:space="preserve">Microsoft. (s. f.). ASP.NET Core SignalR documentation.</w:t>
      </w:r>
      <w:r>
        <w:t xml:space="preserve"> </w:t>
      </w:r>
      <w:hyperlink r:id="rId42">
        <w:r>
          <w:rPr>
            <w:rStyle w:val="Hyperlink"/>
          </w:rPr>
          <w:t xml:space="preserve">https://learn.microsoft.com/en-us/aspnet/core/signalr/introduction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Tipo: documentación técnica.</w:t>
      </w:r>
    </w:p>
    <w:p>
      <w:pPr>
        <w:numPr>
          <w:ilvl w:val="0"/>
          <w:numId w:val="1001"/>
        </w:numPr>
      </w:pPr>
      <w:r>
        <w:t xml:space="preserve">Next.js. (s. f.). Next.js documentation.</w:t>
      </w:r>
      <w:r>
        <w:t xml:space="preserve"> </w:t>
      </w:r>
      <w:hyperlink r:id="rId43">
        <w:r>
          <w:rPr>
            <w:rStyle w:val="Hyperlink"/>
          </w:rPr>
          <w:t xml:space="preserve">https://nextjs.org/docs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Tipo: documentación técnica.</w:t>
      </w:r>
    </w:p>
    <w:p>
      <w:pPr>
        <w:numPr>
          <w:ilvl w:val="0"/>
          <w:numId w:val="1001"/>
        </w:numPr>
      </w:pPr>
      <w:r>
        <w:t xml:space="preserve">Expo. (s. f.). Expo documentation.</w:t>
      </w:r>
      <w:r>
        <w:t xml:space="preserve"> </w:t>
      </w:r>
      <w:hyperlink r:id="rId44">
        <w:r>
          <w:rPr>
            <w:rStyle w:val="Hyperlink"/>
          </w:rPr>
          <w:t xml:space="preserve">https://docs.expo.dev/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Tipo: documentación técnica.</w:t>
      </w:r>
    </w:p>
    <w:p>
      <w:pPr>
        <w:numPr>
          <w:ilvl w:val="0"/>
          <w:numId w:val="1001"/>
        </w:numPr>
      </w:pPr>
      <w:r>
        <w:t xml:space="preserve">Postman. (s. f.). Postman collection format.</w:t>
      </w:r>
      <w:r>
        <w:t xml:space="preserve"> </w:t>
      </w:r>
      <w:hyperlink r:id="rId45">
        <w:r>
          <w:rPr>
            <w:rStyle w:val="Hyperlink"/>
          </w:rPr>
          <w:t xml:space="preserve">https://learning.postman.com/docs/collections/collections-overview/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Tipo: documentación técnica.</w:t>
      </w:r>
    </w:p>
    <w:p>
      <w:pPr>
        <w:numPr>
          <w:ilvl w:val="0"/>
          <w:numId w:val="1001"/>
        </w:numPr>
      </w:pPr>
      <w:r>
        <w:t xml:space="preserve">Wompi. (s. f.). Documentación para desarrolladores.</w:t>
      </w:r>
      <w:r>
        <w:t xml:space="preserve"> </w:t>
      </w:r>
      <w:hyperlink r:id="rId46">
        <w:r>
          <w:rPr>
            <w:rStyle w:val="Hyperlink"/>
          </w:rPr>
          <w:t xml:space="preserve">https://docs.wompi.co/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Tipo: documentación técnica; contrastar API en sandbox.</w:t>
      </w:r>
    </w:p>
    <w:p>
      <w:pPr>
        <w:numPr>
          <w:ilvl w:val="0"/>
          <w:numId w:val="1001"/>
        </w:numPr>
      </w:pPr>
      <w:r>
        <w:t xml:space="preserve">GitHub. (s. f.). GitHub Actions documentation.</w:t>
      </w:r>
      <w:r>
        <w:t xml:space="preserve"> </w:t>
      </w:r>
      <w:hyperlink r:id="rId47">
        <w:r>
          <w:rPr>
            <w:rStyle w:val="Hyperlink"/>
          </w:rPr>
          <w:t xml:space="preserve">https://docs.github.com/en/actions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Tipo: automatización recomendada.</w:t>
      </w:r>
    </w:p>
    <w:p>
      <w:pPr>
        <w:numPr>
          <w:ilvl w:val="0"/>
          <w:numId w:val="1001"/>
        </w:numPr>
      </w:pPr>
      <w:r>
        <w:t xml:space="preserve">Project Management Institute. (2021). A Guide to the Project Management Body of Knowledge (PMBOK Guide), 7th edition.</w:t>
      </w:r>
      <w:r>
        <w:t xml:space="preserve"> </w:t>
      </w:r>
      <w:hyperlink r:id="rId48">
        <w:r>
          <w:rPr>
            <w:rStyle w:val="Hyperlink"/>
          </w:rPr>
          <w:t xml:space="preserve">https://www.pmi.org/pmbok-guide-standards/foundational/pmbok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Tipo: marco de gestión.</w:t>
      </w:r>
    </w:p>
    <w:bookmarkEnd w:id="49"/>
    <w:bookmarkStart w:id="50" w:name="notas-de-rigor-académico"/>
    <w:p>
      <w:pPr>
        <w:pStyle w:val="Heading2"/>
      </w:pPr>
      <w:r>
        <w:t xml:space="preserve">Notas de rigor académico</w:t>
      </w:r>
    </w:p>
    <w:p>
      <w:pPr>
        <w:pStyle w:val="FirstParagraph"/>
      </w:pPr>
      <w:r>
        <w:t xml:space="preserve">Algunas publicaciones se identificaron por DOI y título sin recuperar en esta revisión sus autores completos: se marca expresamente ese dato en lugar de inventarlo. Antes de envío a revista, completar metadatos desde Crossref/editorial, añadir ORCID, institución y declaración de autoría. Las normas ISO pueden requerir licencia para consultar texto integral: aquí se emplean su resumen y objetivo oficiales, sin reproducir el contenido de pago.</w:t>
      </w:r>
    </w:p>
    <w:bookmarkEnd w:id="50"/>
    <w:bookmarkStart w:id="51" w:name="fuentes-primarias-de-implementación"/>
    <w:p>
      <w:pPr>
        <w:pStyle w:val="Heading2"/>
      </w:pPr>
      <w:r>
        <w:t xml:space="preserve">Fuentes primarias de implementación</w:t>
      </w:r>
    </w:p>
    <w:p>
      <w:pPr>
        <w:pStyle w:val="Compact"/>
        <w:numPr>
          <w:ilvl w:val="0"/>
          <w:numId w:val="1002"/>
        </w:numPr>
      </w:pPr>
      <w:r>
        <w:t xml:space="preserve">API: https://github.com/yersonct/SaborExpressBack/tree/main</w:t>
      </w:r>
    </w:p>
    <w:p>
      <w:pPr>
        <w:pStyle w:val="Compact"/>
        <w:numPr>
          <w:ilvl w:val="0"/>
          <w:numId w:val="1002"/>
        </w:numPr>
      </w:pPr>
      <w:r>
        <w:t xml:space="preserve">Web: https://github.com/yersonct/SaborExpressWeb/tree/main</w:t>
      </w:r>
    </w:p>
    <w:p>
      <w:pPr>
        <w:pStyle w:val="Compact"/>
        <w:numPr>
          <w:ilvl w:val="0"/>
          <w:numId w:val="1002"/>
        </w:numPr>
      </w:pPr>
      <w:r>
        <w:t xml:space="preserve">Móvil: https://github.com/yersonct/SaborExpressMovil/tree/main</w:t>
      </w:r>
    </w:p>
    <w:p>
      <w:pPr>
        <w:pStyle w:val="Compact"/>
        <w:numPr>
          <w:ilvl w:val="0"/>
          <w:numId w:val="1002"/>
        </w:numPr>
      </w:pPr>
      <w:r>
        <w:t xml:space="preserve">Referencia de presentación: https://github.com/jsgh1/SRD-v1/tree/dev/docs/docs-SRD</w:t>
      </w:r>
    </w:p>
    <w:p>
      <w:pPr>
        <w:pStyle w:val="FirstParagraph"/>
      </w:pPr>
      <w:r>
        <w:rPr>
          <w:b/>
          <w:bCs/>
        </w:rPr>
        <w:t xml:space="preserve">Control documental:</w:t>
      </w:r>
      <w:r>
        <w:t xml:space="preserve"> </w:t>
      </w:r>
      <w:r>
        <w:t xml:space="preserve">documento elaborado a partir del estado observado en octubre de 2026. Antes de entregar, verificar el commit exacto, responsable, revisión del instructor y cualquier cambio posterior del código.</w:t>
      </w:r>
    </w:p>
    <w:bookmarkEnd w:id="51"/>
    <w:bookmarkEnd w:id="52"/>
    <w:sectPr w:rsidR="00FC693F" w:rsidRPr="0006063C" w:rsidSect="00034616">
      <w:footerReference r:id="rId9" w:type="default"/>
      <w:pgSz w:h="15840" w:w="12240"/>
      <w:pgMar w:bottom="1123" w:footer="720" w:gutter="0" w:header="720" w:left="1267" w:right="1267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SaborExpress  |  Expediente académico de revisión  |  14 de octubre de 2026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120"/>
    </w:pPr>
    <w:rPr>
      <w:rFonts w:ascii="Aptos" w:hAnsi="Aptos"/>
      <w:color w:val="23303C"/>
      <w:sz w:val="20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00" w:before="240"/>
      <w:outlineLvl w:val="0"/>
    </w:pPr>
    <w:rPr>
      <w:rFonts w:ascii="Aptos Display" w:asciiTheme="majorHAnsi" w:cstheme="majorBidi" w:eastAsiaTheme="majorEastAsia" w:hAnsi="Aptos Display" w:hAnsiTheme="majorHAnsi"/>
      <w:b/>
      <w:bCs/>
      <w:color w:val="154566"/>
      <w:sz w:val="3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00" w:before="240"/>
      <w:outlineLvl w:val="1"/>
    </w:pPr>
    <w:rPr>
      <w:rFonts w:ascii="Aptos Display" w:asciiTheme="majorHAnsi" w:cstheme="majorBidi" w:eastAsiaTheme="majorEastAsia" w:hAnsi="Aptos Display" w:hAnsiTheme="majorHAnsi"/>
      <w:b/>
      <w:bCs/>
      <w:color w:val="245678"/>
      <w:sz w:val="24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00" w:before="240"/>
      <w:outlineLvl w:val="2"/>
    </w:pPr>
    <w:rPr>
      <w:rFonts w:ascii="Aptos Display" w:asciiTheme="majorHAnsi" w:cstheme="majorBidi" w:eastAsiaTheme="majorEastAsia" w:hAnsi="Aptos Display" w:hAnsiTheme="majorHAnsi"/>
      <w:b/>
      <w:bCs/>
      <w:color w:val="2D5A73"/>
      <w:sz w:val="21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rPr>
      <w:rFonts w:ascii="Aptos" w:hAnsi="Aptos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100" w:before="240" w:line="240" w:lineRule="auto"/>
      <w:contextualSpacing/>
    </w:pPr>
    <w:rPr>
      <w:rFonts w:ascii="Aptos Display" w:asciiTheme="majorHAnsi" w:cstheme="majorBidi" w:eastAsiaTheme="majorEastAsia" w:hAnsi="Aptos Display" w:hAnsiTheme="majorHAnsi"/>
      <w:b/>
      <w:color w:val="163A5A"/>
      <w:spacing w:val="5"/>
      <w:kern w:val="28"/>
      <w:sz w:val="4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rPr>
      <w:rFonts w:ascii="Aptos" w:hAnsi="Aptos"/>
    </w:r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hyperlink" Id="rId35" Target="https://api-security.owasp.org/editions/2023/en/0x00-header/" TargetMode="External" /><Relationship Type="http://schemas.openxmlformats.org/officeDocument/2006/relationships/hyperlink" Id="rId44" Target="https://docs.expo.dev/" TargetMode="External" /><Relationship Type="http://schemas.openxmlformats.org/officeDocument/2006/relationships/hyperlink" Id="rId47" Target="https://docs.github.com/en/actions" TargetMode="External" /><Relationship Type="http://schemas.openxmlformats.org/officeDocument/2006/relationships/hyperlink" Id="rId46" Target="https://docs.wompi.co/" TargetMode="External" /><Relationship Type="http://schemas.openxmlformats.org/officeDocument/2006/relationships/hyperlink" Id="rId23" Target="https://doi.org/10.1016/j.ijgfs.2021.100392" TargetMode="External" /><Relationship Type="http://schemas.openxmlformats.org/officeDocument/2006/relationships/hyperlink" Id="rId22" Target="https://doi.org/10.1016/j.ijhm.2022.103240" TargetMode="External" /><Relationship Type="http://schemas.openxmlformats.org/officeDocument/2006/relationships/hyperlink" Id="rId24" Target="https://doi.org/10.1108/BFJ-10-2021-1169" TargetMode="External" /><Relationship Type="http://schemas.openxmlformats.org/officeDocument/2006/relationships/hyperlink" Id="rId21" Target="https://doi.org/10.1108/IJCHM-10-2021-1273" TargetMode="External" /><Relationship Type="http://schemas.openxmlformats.org/officeDocument/2006/relationships/hyperlink" Id="rId29" Target="https://doi.org/10.1109/52.469759" TargetMode="External" /><Relationship Type="http://schemas.openxmlformats.org/officeDocument/2006/relationships/hyperlink" Id="rId27" Target="https://doi.org/10.2307/249008" TargetMode="External" /><Relationship Type="http://schemas.openxmlformats.org/officeDocument/2006/relationships/hyperlink" Id="rId28" Target="https://doi.org/10.2307/30036540" TargetMode="External" /><Relationship Type="http://schemas.openxmlformats.org/officeDocument/2006/relationships/hyperlink" Id="rId26" Target="https://doi.org/10.3390/foods15142430" TargetMode="External" /><Relationship Type="http://schemas.openxmlformats.org/officeDocument/2006/relationships/hyperlink" Id="rId25" Target="https://doi.org/10.3390/joitmc7010076" TargetMode="External" /><Relationship Type="http://schemas.openxmlformats.org/officeDocument/2006/relationships/hyperlink" Id="rId30" Target="https://doi.org/10.5220/0006798302210232" TargetMode="External" /><Relationship Type="http://schemas.openxmlformats.org/officeDocument/2006/relationships/hyperlink" Id="rId36" Target="https://doi.org/10.6028/NIST.SP.800-63b-4" TargetMode="External" /><Relationship Type="http://schemas.openxmlformats.org/officeDocument/2006/relationships/hyperlink" Id="rId32" Target="https://homepages.dcc.ufmg.br/~figueiredo/disciplinas/papers/guidelines-kitchenham.pdf" TargetMode="External" /><Relationship Type="http://schemas.openxmlformats.org/officeDocument/2006/relationships/hyperlink" Id="rId40" Target="https://learn.microsoft.com/en-us/aspnet/core/" TargetMode="External" /><Relationship Type="http://schemas.openxmlformats.org/officeDocument/2006/relationships/hyperlink" Id="rId42" Target="https://learn.microsoft.com/en-us/aspnet/core/signalr/introduction" TargetMode="External" /><Relationship Type="http://schemas.openxmlformats.org/officeDocument/2006/relationships/hyperlink" Id="rId41" Target="https://learn.microsoft.com/en-us/ef/core/" TargetMode="External" /><Relationship Type="http://schemas.openxmlformats.org/officeDocument/2006/relationships/hyperlink" Id="rId45" Target="https://learning.postman.com/docs/collections/collections-overview/" TargetMode="External" /><Relationship Type="http://schemas.openxmlformats.org/officeDocument/2006/relationships/hyperlink" Id="rId43" Target="https://nextjs.org/docs" TargetMode="External" /><Relationship Type="http://schemas.openxmlformats.org/officeDocument/2006/relationships/hyperlink" Id="rId31" Target="https://study.sagepub.com/yin6e" TargetMode="External" /><Relationship Type="http://schemas.openxmlformats.org/officeDocument/2006/relationships/hyperlink" Id="rId33" Target="https://www.iso.org/standard/72089.html" TargetMode="External" /><Relationship Type="http://schemas.openxmlformats.org/officeDocument/2006/relationships/hyperlink" Id="rId34" Target="https://www.iso.org/standard/78176.html" TargetMode="External" /><Relationship Type="http://schemas.openxmlformats.org/officeDocument/2006/relationships/hyperlink" Id="rId39" Target="https://www.nngroup.com/articles/ten-usability-heuristics/" TargetMode="External" /><Relationship Type="http://schemas.openxmlformats.org/officeDocument/2006/relationships/hyperlink" Id="rId48" Target="https://www.pmi.org/pmbok-guide-standards/foundational/pmbok" TargetMode="External" /><Relationship Type="http://schemas.openxmlformats.org/officeDocument/2006/relationships/hyperlink" Id="rId37" Target="https://www.rfc-editor.org/rfc/rfc7519" TargetMode="External" /><Relationship Type="http://schemas.openxmlformats.org/officeDocument/2006/relationships/hyperlink" Id="rId38" Target="https://www.rfc-editor.org/rfc/rfc911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5" Target="https://api-security.owasp.org/editions/2023/en/0x00-header/" TargetMode="External" /><Relationship Type="http://schemas.openxmlformats.org/officeDocument/2006/relationships/hyperlink" Id="rId44" Target="https://docs.expo.dev/" TargetMode="External" /><Relationship Type="http://schemas.openxmlformats.org/officeDocument/2006/relationships/hyperlink" Id="rId47" Target="https://docs.github.com/en/actions" TargetMode="External" /><Relationship Type="http://schemas.openxmlformats.org/officeDocument/2006/relationships/hyperlink" Id="rId46" Target="https://docs.wompi.co/" TargetMode="External" /><Relationship Type="http://schemas.openxmlformats.org/officeDocument/2006/relationships/hyperlink" Id="rId23" Target="https://doi.org/10.1016/j.ijgfs.2021.100392" TargetMode="External" /><Relationship Type="http://schemas.openxmlformats.org/officeDocument/2006/relationships/hyperlink" Id="rId22" Target="https://doi.org/10.1016/j.ijhm.2022.103240" TargetMode="External" /><Relationship Type="http://schemas.openxmlformats.org/officeDocument/2006/relationships/hyperlink" Id="rId24" Target="https://doi.org/10.1108/BFJ-10-2021-1169" TargetMode="External" /><Relationship Type="http://schemas.openxmlformats.org/officeDocument/2006/relationships/hyperlink" Id="rId21" Target="https://doi.org/10.1108/IJCHM-10-2021-1273" TargetMode="External" /><Relationship Type="http://schemas.openxmlformats.org/officeDocument/2006/relationships/hyperlink" Id="rId29" Target="https://doi.org/10.1109/52.469759" TargetMode="External" /><Relationship Type="http://schemas.openxmlformats.org/officeDocument/2006/relationships/hyperlink" Id="rId27" Target="https://doi.org/10.2307/249008" TargetMode="External" /><Relationship Type="http://schemas.openxmlformats.org/officeDocument/2006/relationships/hyperlink" Id="rId28" Target="https://doi.org/10.2307/30036540" TargetMode="External" /><Relationship Type="http://schemas.openxmlformats.org/officeDocument/2006/relationships/hyperlink" Id="rId26" Target="https://doi.org/10.3390/foods15142430" TargetMode="External" /><Relationship Type="http://schemas.openxmlformats.org/officeDocument/2006/relationships/hyperlink" Id="rId25" Target="https://doi.org/10.3390/joitmc7010076" TargetMode="External" /><Relationship Type="http://schemas.openxmlformats.org/officeDocument/2006/relationships/hyperlink" Id="rId30" Target="https://doi.org/10.5220/0006798302210232" TargetMode="External" /><Relationship Type="http://schemas.openxmlformats.org/officeDocument/2006/relationships/hyperlink" Id="rId36" Target="https://doi.org/10.6028/NIST.SP.800-63b-4" TargetMode="External" /><Relationship Type="http://schemas.openxmlformats.org/officeDocument/2006/relationships/hyperlink" Id="rId32" Target="https://homepages.dcc.ufmg.br/~figueiredo/disciplinas/papers/guidelines-kitchenham.pdf" TargetMode="External" /><Relationship Type="http://schemas.openxmlformats.org/officeDocument/2006/relationships/hyperlink" Id="rId40" Target="https://learn.microsoft.com/en-us/aspnet/core/" TargetMode="External" /><Relationship Type="http://schemas.openxmlformats.org/officeDocument/2006/relationships/hyperlink" Id="rId42" Target="https://learn.microsoft.com/en-us/aspnet/core/signalr/introduction" TargetMode="External" /><Relationship Type="http://schemas.openxmlformats.org/officeDocument/2006/relationships/hyperlink" Id="rId41" Target="https://learn.microsoft.com/en-us/ef/core/" TargetMode="External" /><Relationship Type="http://schemas.openxmlformats.org/officeDocument/2006/relationships/hyperlink" Id="rId45" Target="https://learning.postman.com/docs/collections/collections-overview/" TargetMode="External" /><Relationship Type="http://schemas.openxmlformats.org/officeDocument/2006/relationships/hyperlink" Id="rId43" Target="https://nextjs.org/docs" TargetMode="External" /><Relationship Type="http://schemas.openxmlformats.org/officeDocument/2006/relationships/hyperlink" Id="rId31" Target="https://study.sagepub.com/yin6e" TargetMode="External" /><Relationship Type="http://schemas.openxmlformats.org/officeDocument/2006/relationships/hyperlink" Id="rId33" Target="https://www.iso.org/standard/72089.html" TargetMode="External" /><Relationship Type="http://schemas.openxmlformats.org/officeDocument/2006/relationships/hyperlink" Id="rId34" Target="https://www.iso.org/standard/78176.html" TargetMode="External" /><Relationship Type="http://schemas.openxmlformats.org/officeDocument/2006/relationships/hyperlink" Id="rId39" Target="https://www.nngroup.com/articles/ten-usability-heuristics/" TargetMode="External" /><Relationship Type="http://schemas.openxmlformats.org/officeDocument/2006/relationships/hyperlink" Id="rId48" Target="https://www.pmi.org/pmbok-guide-standards/foundational/pmbok" TargetMode="External" /><Relationship Type="http://schemas.openxmlformats.org/officeDocument/2006/relationships/hyperlink" Id="rId37" Target="https://www.rfc-editor.org/rfc/rfc7519" TargetMode="External" /><Relationship Type="http://schemas.openxmlformats.org/officeDocument/2006/relationships/hyperlink" Id="rId38" Target="https://www.rfc-editor.org/rfc/rfc911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2026-10-15T00:06:44Z</dcterms:created>
  <dcterms:modified xsi:type="dcterms:W3CDTF">2026-10-15T00:06:44Z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