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1100"/>
        <w:jc w:val="center"/>
      </w:pPr>
      <w:r>
        <w:drawing>
          <wp:inline>
            <wp:extent cx="4389120" cy="2501042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borExpress_logo_transparent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501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900" w:after="500"/>
        <w:jc w:val="center"/>
      </w:pPr>
      <w:r>
        <w:rPr>
          <w:rFonts w:ascii="Times New Roman" w:hAnsi="Times New Roman"/>
          <w:b/>
          <w:sz w:val="34"/>
        </w:rPr>
        <w:t>02 Procedimiento de implementacion SaborExpress</w:t>
      </w:r>
    </w:p>
    <w:p>
      <w:pPr>
        <w:spacing w:after="160"/>
        <w:jc w:val="center"/>
      </w:pPr>
      <w:r>
        <w:rPr>
          <w:rFonts w:ascii="Times New Roman" w:hAnsi="Times New Roman"/>
          <w:b/>
          <w:sz w:val="24"/>
        </w:rPr>
        <w:t>SABOREXPRESS — PROYECTO DE SOFTWARE</w:t>
      </w:r>
    </w:p>
    <w:p>
      <w:pPr>
        <w:spacing w:after="160"/>
        <w:jc w:val="center"/>
      </w:pPr>
      <w:r>
        <w:rPr>
          <w:rFonts w:ascii="Times New Roman" w:hAnsi="Times New Roman"/>
          <w:sz w:val="24"/>
        </w:rPr>
        <w:t>Yerson Stiven Cuellar Rubiano</w:t>
      </w:r>
    </w:p>
    <w:p>
      <w:pPr>
        <w:spacing w:after="160"/>
        <w:jc w:val="center"/>
      </w:pPr>
      <w:r>
        <w:rPr>
          <w:rFonts w:ascii="Times New Roman" w:hAnsi="Times New Roman"/>
          <w:sz w:val="24"/>
        </w:rPr>
        <w:t>Ficha de formación: 3145555</w:t>
      </w:r>
    </w:p>
    <w:p>
      <w:pPr>
        <w:spacing w:after="160"/>
        <w:jc w:val="center"/>
      </w:pPr>
      <w:r>
        <w:rPr>
          <w:rFonts w:ascii="Times New Roman" w:hAnsi="Times New Roman"/>
          <w:sz w:val="24"/>
        </w:rPr>
        <w:t>Expediente técnico y académico — APA 7</w:t>
      </w:r>
    </w:p>
    <w:p>
      <w:pPr>
        <w:spacing w:after="160"/>
        <w:jc w:val="center"/>
      </w:pPr>
      <w:r>
        <w:rPr>
          <w:rFonts w:ascii="Times New Roman" w:hAnsi="Times New Roman"/>
          <w:sz w:val="24"/>
        </w:rPr>
        <w:t>14 de octubre de 2026</w:t>
      </w:r>
    </w:p>
    <w:p>
      <w:pPr>
        <w:spacing w:before="600"/>
        <w:jc w:val="center"/>
      </w:pPr>
      <w:r>
        <w:rPr>
          <w:i/>
        </w:rPr>
        <w:t>Fuente documental: repositorios SaborExpressBack, SaborExpressWeb y SaborExpressMovil.</w:t>
        <w:br/>
        <w:t>Las pruebas no ejecutadas se identifican como pendientes.</w:t>
      </w:r>
    </w:p>
    <w:p>
      <w:r>
        <w:br w:type="page"/>
      </w:r>
    </w:p>
    <w:bookmarkStart w:id="41" w:name="X5b3aad85c53537ab815ce494c152a605a638ee1"/>
    <w:p>
      <w:pPr>
        <w:pStyle w:val="Heading1"/>
        <w:keepNext/>
        <w:spacing w:line="264" w:lineRule="auto"/>
      </w:pPr>
      <w:r>
        <w:t xml:space="preserve">Procedimiento de implementación y liberación</w:t>
      </w:r>
    </w:p>
    <w:p>
      <w:pPr>
        <w:pStyle w:val="FirstParagraph"/>
        <w:spacing w:line="396" w:lineRule="auto" w:after="100"/>
      </w:pPr>
      <w:r>
        <w:rPr>
          <w:b/>
          <w:bCs/>
        </w:rPr>
        <w:t xml:space="preserve">Proyecto:</w:t>
      </w:r>
      <w:r>
        <w:t xml:space="preserve"> </w:t>
      </w:r>
      <w:r>
        <w:t xml:space="preserve">SaborExpress |</w:t>
      </w:r>
      <w:r>
        <w:t xml:space="preserve"> </w:t>
      </w:r>
      <w:r>
        <w:rPr>
          <w:b/>
          <w:bCs/>
        </w:rPr>
        <w:t xml:space="preserve">Autor / integrante:</w:t>
      </w:r>
      <w:r>
        <w:t xml:space="preserve"> </w:t>
      </w:r>
      <w:r>
        <w:t xml:space="preserve">Yerson Stiven Cuellar Rubiano |</w:t>
      </w:r>
      <w:r>
        <w:t xml:space="preserve"> </w:t>
      </w:r>
      <w:r>
        <w:rPr>
          <w:b/>
          <w:bCs/>
        </w:rPr>
        <w:t xml:space="preserve">Ficha:</w:t>
      </w:r>
      <w:r>
        <w:t xml:space="preserve"> </w:t>
      </w:r>
      <w:r>
        <w:t xml:space="preserve">3145555 |</w:t>
      </w:r>
      <w:r>
        <w:t xml:space="preserve"> </w:t>
      </w:r>
      <w:r>
        <w:rPr>
          <w:b/>
          <w:bCs/>
        </w:rPr>
        <w:t xml:space="preserve">Fecha:</w:t>
      </w:r>
      <w:r>
        <w:t xml:space="preserve"> </w:t>
      </w:r>
      <w:r>
        <w:t xml:space="preserve">14 de octubre de 2026 |</w:t>
      </w:r>
      <w:r>
        <w:t xml:space="preserve"> </w:t>
      </w:r>
      <w:r>
        <w:rPr>
          <w:b/>
          <w:bCs/>
        </w:rPr>
        <w:t xml:space="preserve">Versión documental:</w:t>
      </w:r>
      <w:r>
        <w:t xml:space="preserve"> </w:t>
      </w:r>
      <w:r>
        <w:t xml:space="preserve">4.0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Estado de la evidencia:</w:t>
      </w:r>
      <w:r>
        <w:t xml:space="preserve"> </w:t>
      </w:r>
      <w:r>
        <w:t xml:space="preserve">inspección documental y estática del código. Las pruebas de ejecución y los datos institucionales no aportados no se presumen realizados.</w:t>
      </w:r>
    </w:p>
    <w:bookmarkStart w:id="20" w:name="punto-de-partida"/>
    <w:p>
      <w:pPr>
        <w:pStyle w:val="Heading2"/>
        <w:keepNext/>
        <w:spacing w:line="264" w:lineRule="auto"/>
      </w:pPr>
      <w:r>
        <w:t xml:space="preserve">1. Punto de partida</w:t>
      </w:r>
    </w:p>
    <w:p>
      <w:pPr>
        <w:pStyle w:val="FirstParagraph"/>
        <w:spacing w:line="396" w:lineRule="auto" w:after="100"/>
      </w:pPr>
      <w:r>
        <w:t xml:space="preserve">Existen tres proyectos de aplicación:</w:t>
      </w:r>
      <w:r>
        <w:t xml:space="preserve"> </w:t>
      </w:r>
      <w:r>
        <w:rPr>
          <w:rStyle w:val="VerbatimChar"/>
        </w:rPr>
        <w:t xml:space="preserve">SaborExpressBack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SaborExpressWeb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SaborExpressMovil</w:t>
      </w:r>
      <w:r>
        <w:t xml:space="preserve">. Se recomienda definir el SHA de liberación por repositorio; versiones de paquetes no implican que el despliegue haya ocurrido. Requiere un ambiente de pruebas representativo y un responsable de cambios.</w:t>
      </w:r>
    </w:p>
    <w:bookmarkEnd w:id="20"/>
    <w:bookmarkStart w:id="21" w:name="X5a79fd7d80298615822d6b71f62dd0f294b52b5"/>
    <w:p>
      <w:pPr>
        <w:pStyle w:val="Heading2"/>
        <w:keepNext/>
        <w:spacing w:line="264" w:lineRule="auto"/>
      </w:pPr>
      <w:r>
        <w:t xml:space="preserve">2. Secuencia de implementación (plan repetible)</w:t>
      </w:r>
    </w:p>
    <w:p>
      <w:pPr>
        <w:pStyle w:val="Compact"/>
        <w:numPr>
          <w:ilvl w:val="0"/>
          <w:numId w:val="1001"/>
        </w:numPr>
        <w:spacing w:line="396" w:lineRule="auto" w:after="100"/>
      </w:pPr>
      <w:r>
        <w:t xml:space="preserve">Revisión de requisitos y congelamiento temporal de ramas. 2. Validación de dependencias y secretos. 3. Restauración/compilación API. 4. Aprovisionamiento DB y generación/revisión de migraciones. 5. Ejecución de tests unitarios/integración. 6. Compilación de Next.js. 7. Compilación/ejecución del cliente Expo. 8. Pruebas de contrato Swagger y seguridad. 9. Sandbox Wompi. 10. Ensayos con roles/sedes/usuarios ficticios. 11. Ensayo de respaldo/restauración y rollback. 12. Aprobación formal.</w:t>
      </w:r>
    </w:p>
    <w:bookmarkEnd w:id="21"/>
    <w:bookmarkStart w:id="22" w:name="control-por-etapa"/>
    <w:p>
      <w:pPr>
        <w:pStyle w:val="Heading2"/>
        <w:keepNext/>
        <w:spacing w:line="264" w:lineRule="auto"/>
      </w:pPr>
      <w:r>
        <w:t xml:space="preserve">3. Control por etapa</w:t>
      </w:r>
    </w:p>
    <w:tbl>
      <w:tblPr>
        <w:tblStyle w:val="Table"/>
        <w:tblW w:type="pct" w:w="5000"/>
        <w:jc w:val="left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  <w:tblHeader w:val="true"/>
        </w:trP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b/>
                <w:sz w:val="17"/>
              </w:rPr>
              <w:t xml:space="preserve">Etapa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b/>
                <w:sz w:val="17"/>
              </w:rPr>
              <w:t xml:space="preserve">Entrada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b/>
                <w:sz w:val="17"/>
              </w:rPr>
              <w:t xml:space="preserve">Validación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b/>
                <w:sz w:val="17"/>
              </w:rPr>
              <w:t xml:space="preserve">Salida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Preparar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Ramas + configuración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Versiones y secretos ocultos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SHA por repo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Construir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Código + SDKs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dotnet build / npm run build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Artefactos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Migrar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DB efímera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Generación SQL e idempotencia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Esquema documentado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Integrar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API/web/móvil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Pruebas E2E/SignalR/Wompi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Registros de QA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Aprobar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Evidencias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Checklist y firmas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Acta de aceptación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Publicar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Infra autorizada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Smoke y monitoreo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Release trazable</w:t>
            </w:r>
          </w:p>
        </w:tc>
      </w:tr>
    </w:tbl>
    <w:bookmarkEnd w:id="22"/>
    <w:bookmarkStart w:id="23" w:name="reversión"/>
    <w:p>
      <w:pPr>
        <w:pStyle w:val="Heading2"/>
        <w:keepNext/>
        <w:spacing w:line="264" w:lineRule="auto"/>
      </w:pPr>
      <w:r>
        <w:t xml:space="preserve">4. Reversión</w:t>
      </w:r>
    </w:p>
    <w:p>
      <w:pPr>
        <w:pStyle w:val="FirstParagraph"/>
        <w:spacing w:line="396" w:lineRule="auto" w:after="100"/>
      </w:pPr>
      <w:r>
        <w:t xml:space="preserve">Ante falla, detener promoción, revisar integridad de la base y restaurar copia si el cambio de esquema lo necesita; volver a binarios conocidos, suspender tráfico de pago hasta reconciliar transacciones pendientes y registrar el incidente. No usar una reversión de Git como reemplazo de un procedimiento de rollback de datos.</w:t>
      </w:r>
    </w:p>
    <w:bookmarkEnd w:id="23"/>
    <w:bookmarkStart w:id="24" w:name="documentos-de-control"/>
    <w:p>
      <w:pPr>
        <w:pStyle w:val="Heading2"/>
        <w:keepNext/>
        <w:spacing w:line="264" w:lineRule="auto"/>
      </w:pPr>
      <w:r>
        <w:t xml:space="preserve">5. Documentos de control</w:t>
      </w:r>
    </w:p>
    <w:p>
      <w:pPr>
        <w:pStyle w:val="FirstParagraph"/>
        <w:spacing w:line="396" w:lineRule="auto" w:after="100"/>
      </w:pPr>
      <w:r>
        <w:t xml:space="preserve">Acta de cambios con fecha, versión, ventana, responsables, ticket, evidencias de QA, historial de migraciones, lista de secretos rotados, resultado de smoke y autorización. Ninguna fecha de despliegue ni firma se completa artificialmente.</w:t>
      </w:r>
    </w:p>
    <w:bookmarkEnd w:id="24"/>
    <w:bookmarkStart w:id="25" w:name="runbook-de-implementación"/>
    <w:p>
      <w:pPr>
        <w:pStyle w:val="Heading2"/>
        <w:keepNext/>
        <w:spacing w:line="264" w:lineRule="auto"/>
      </w:pPr>
      <w:r>
        <w:t xml:space="preserve">7. Runbook de implementación</w:t>
      </w:r>
    </w:p>
    <w:tbl>
      <w:tblPr>
        <w:tblStyle w:val="Table"/>
        <w:tblW w:type="pct" w:w="5000"/>
        <w:jc w:val="left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  <w:tblHeader w:val="true"/>
        </w:trP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b/>
                <w:sz w:val="17"/>
              </w:rPr>
              <w:t xml:space="preserve">ID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b/>
                <w:sz w:val="17"/>
              </w:rPr>
              <w:t xml:space="preserve">Paso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b/>
                <w:sz w:val="17"/>
              </w:rPr>
              <w:t xml:space="preserve">Acción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b/>
                <w:sz w:val="17"/>
              </w:rPr>
              <w:t xml:space="preserve">Puerta / evidencia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PRE-01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Congelar código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registrar hash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git rev-parse HEAD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para API, Web, Móvil y Docs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revisión de dependencias y responsables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PRE-02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Revisión de secretos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inventariar nombres de variables en configuración y asegurar gestores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no guardar secretos en commit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PRE-03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Respaldo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generar y verificar copia de BD y archivos de prueba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prueba restauración aislada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PRE-04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Compilar y preparar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dotnet restore/build, npm ci/build, npm ci móvil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artefactos versionados por SHA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PRE-05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Migrar esquema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comparar SQL de migración y motor escogido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aplicación aprobada en staging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PRE-06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Habilitar API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ejecutar en entorno con proxy TLS y CORS explícito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Swagger protegido según ambiente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PRE-07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Publicar web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build Next.js y configuración de endpoint API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pruebas auth, catálogo y pedido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PRE-08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Empaquetar móvil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seguir flujo Expo EAS/versiones correctas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smoke Android/iOS aplicables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PRE-09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Validar pasarela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pruebas Wompi sandbox firmadas y duplicados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transacción consistente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PRE-10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Aprobación/reversión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firmar resultados, monitorizar y guardar rollback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responsable habilita release</w:t>
            </w:r>
          </w:p>
        </w:tc>
      </w:tr>
    </w:tbl>
    <w:bookmarkEnd w:id="25"/>
    <w:bookmarkStart w:id="26" w:name="X5cdf189db251ac75c4a2a3c50f46f2ea3a65598"/>
    <w:p>
      <w:pPr>
        <w:pStyle w:val="Heading2"/>
        <w:keepNext/>
        <w:spacing w:line="264" w:lineRule="auto"/>
      </w:pPr>
      <w:r>
        <w:t xml:space="preserve">8. Integración y consistencia entre repositorios</w:t>
      </w:r>
    </w:p>
    <w:p>
      <w:pPr>
        <w:pStyle w:val="FirstParagraph"/>
        <w:spacing w:line="396" w:lineRule="auto" w:after="100"/>
      </w:pPr>
      <w:r>
        <w:t xml:space="preserve">Se recomienda mantener una matriz con commit SHA de los cuatro repositorios, versión funcional de API, variables por entorno, compatibilidad de la app móvil y cambios del esquema. Los cambios de DTO que afectan pedidos/pagos deben anunciarse en el mismo ciclo a web y móvil. El repositorio Docs recibe los diagramas, contratos, guías y resultados de QA asociados a esas revisiones.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Ruta de salida al mercado:</w:t>
      </w:r>
      <w:r>
        <w:t xml:space="preserve"> </w:t>
      </w:r>
      <w:r>
        <w:rPr>
          <w:rStyle w:val="VerbatimChar"/>
        </w:rPr>
        <w:t xml:space="preserve">develop → staging → release</w:t>
      </w:r>
      <w:r>
        <w:t xml:space="preserve"> </w:t>
      </w:r>
      <w:r>
        <w:t xml:space="preserve">con aprobación de la persona responsable; evitar desplegar directamente cambios no revisados desde la rama de trabajo. La rama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citada por el usuario corresponde a documentación; no presupone que el backend utilice la misma rama.</w:t>
      </w:r>
    </w:p>
    <w:bookmarkEnd w:id="26"/>
    <w:bookmarkStart w:id="27" w:name="validaciones-post-despliegue-y-reversión"/>
    <w:p>
      <w:pPr>
        <w:pStyle w:val="Heading2"/>
        <w:keepNext/>
        <w:spacing w:line="264" w:lineRule="auto"/>
      </w:pPr>
      <w:r>
        <w:t xml:space="preserve">9. Validaciones post-despliegue y reversión</w:t>
      </w:r>
    </w:p>
    <w:p>
      <w:pPr>
        <w:pStyle w:val="FirstParagraph"/>
        <w:spacing w:line="396" w:lineRule="auto" w:after="100"/>
      </w:pPr>
      <w:r>
        <w:rPr>
          <w:b/>
          <w:bCs/>
        </w:rPr>
        <w:t xml:space="preserve">Smoke por ambiente:</w:t>
      </w:r>
      <w:r>
        <w:t xml:space="preserve"> </w:t>
      </w:r>
      <w:r>
        <w:t xml:space="preserve">verificar que API responde sin error; consultar catálogo con y sin branchId; inicio de sesión sintético; orden sintética con precios coherentes; intento de acceso a recurso ajeno; Wompi sandbox con evento firmado; tablero cocina con reconexión; lectura de entrega propia.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Monitoreo posterior:</w:t>
      </w:r>
      <w:r>
        <w:t xml:space="preserve"> </w:t>
      </w:r>
      <w:r>
        <w:t xml:space="preserve">errores 5xx, tiempo de inicialización, fallos de migración, pagos pendientes que exceden política acordada, tasa de conexiones SignalR, reclamos y datos fuera de sede. Detener o revertir despliegue si aparecen discrepancias financieras, escalamiento de privilegios o corrupción.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Rollback seguro:</w:t>
      </w:r>
      <w:r>
        <w:t xml:space="preserve"> </w:t>
      </w:r>
      <w:r>
        <w:t xml:space="preserve">1) retirar tráfico o mantener modo lectura; 2) detener writers; 3) conservar logs; 4) revisar qué migraciones fueron aplicadas; 5) reponer build anterior; 6) restaurar backup únicamente si la compatibilidad de esquema lo exige y tras evaluar pérdida de datos; 7) validar conciliación de pagos externos; 8) registrar incidente, decisiones y próxima ventana. No aplicar</w:t>
      </w:r>
      <w:r>
        <w:t xml:space="preserve"> </w:t>
      </w:r>
      <w:r>
        <w:rPr>
          <w:rStyle w:val="VerbatimChar"/>
        </w:rPr>
        <w:t xml:space="preserve">DROP DATABASE</w:t>
      </w:r>
      <w:r>
        <w:t xml:space="preserve"> </w:t>
      </w:r>
      <w:r>
        <w:t xml:space="preserve">ni un script genérico de reversión sobre producción.</w:t>
      </w:r>
    </w:p>
    <w:bookmarkEnd w:id="27"/>
    <w:bookmarkStart w:id="28" w:name="plan-de-preparación-de-ambientes"/>
    <w:p>
      <w:pPr>
        <w:pStyle w:val="Heading2"/>
        <w:keepNext/>
        <w:spacing w:line="264" w:lineRule="auto"/>
      </w:pPr>
      <w:r>
        <w:t xml:space="preserve">10. Plan de preparación de ambientes</w:t>
      </w:r>
    </w:p>
    <w:p>
      <w:pPr>
        <w:pStyle w:val="FirstParagraph"/>
        <w:spacing w:line="396" w:lineRule="auto" w:after="100"/>
      </w:pPr>
      <w:r>
        <w:t xml:space="preserve">El entorno local es apropiado para implementar y depurar, pero no permite concluir disponibilidad productiva. Se propone definir tres ambientes claramente separados: desarrollo con datos sintéticos, integración/staging con configuración parecida a producción y producción con secretos y datos reales. Cada ambiente debe tener su propia base de datos, pasarela de pagos y políticas de correo; se prohíbe usar credenciales de producción para pruebas repetibles.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Inventario mínimo por ambiente:</w:t>
      </w:r>
      <w:r>
        <w:t xml:space="preserve"> </w:t>
      </w:r>
      <w:r>
        <w:t xml:space="preserve">identificador del entorno, repositorio y SHA de backend/web/móvil, .NET Runtime y SDK, Node, versión de Expo SDK, proveedor y versión de base de datos, versión de migración EF, origen permitido CORS, URL pública API, URLs de devolución/webhook y método de almacenamiento seguro de secretos. Documentar fecha de cambio y responsable de cada variable sin almacenar su valor privado en el repositorio.</w:t>
      </w:r>
    </w:p>
    <w:bookmarkEnd w:id="28"/>
    <w:bookmarkStart w:id="29" w:name="control-de-migraciones-y-persistencia"/>
    <w:p>
      <w:pPr>
        <w:pStyle w:val="Heading2"/>
        <w:keepNext/>
        <w:spacing w:line="264" w:lineRule="auto"/>
      </w:pPr>
      <w:r>
        <w:t xml:space="preserve">11. Control de migraciones y persistencia</w:t>
      </w:r>
    </w:p>
    <w:p>
      <w:pPr>
        <w:pStyle w:val="FirstParagraph"/>
        <w:spacing w:line="396" w:lineRule="auto" w:after="100"/>
      </w:pPr>
      <w:r>
        <w:t xml:space="preserve">El código de</w:t>
      </w:r>
      <w:r>
        <w:t xml:space="preserve"> </w:t>
      </w:r>
      <w:r>
        <w:rPr>
          <w:rStyle w:val="VerbatimChar"/>
        </w:rPr>
        <w:t xml:space="preserve">Program.cs</w:t>
      </w:r>
      <w:r>
        <w:t xml:space="preserve"> </w:t>
      </w:r>
      <w:r>
        <w:t xml:space="preserve">incluye</w:t>
      </w:r>
      <w:r>
        <w:t xml:space="preserve"> </w:t>
      </w:r>
      <w:r>
        <w:rPr>
          <w:rStyle w:val="VerbatimChar"/>
        </w:rPr>
        <w:t xml:space="preserve">Database.MigrateAsync()</w:t>
      </w:r>
      <w:r>
        <w:t xml:space="preserve"> </w:t>
      </w:r>
      <w:r>
        <w:t xml:space="preserve">antes de exponer el servicio. Este mecanismo simplifica arranque local, pero en producción se recomienda una etapa de migración controlada y única para evitar escrituras simultáneas y cambios no aprobados. Antes de cualquier actualización de esquema se requiere respaldo verificable, revisión del SQL generado y prueba de restauración en una base aislada.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Reglas de ejecución:</w:t>
      </w:r>
      <w:r>
        <w:t xml:space="preserve"> </w:t>
      </w:r>
      <w:r>
        <w:t xml:space="preserve">evitar</w:t>
      </w:r>
      <w:r>
        <w:t xml:space="preserve"> </w:t>
      </w:r>
      <w:r>
        <w:rPr>
          <w:rStyle w:val="VerbatimChar"/>
        </w:rPr>
        <w:t xml:space="preserve">EnsureCreated()</w:t>
      </w:r>
      <w:r>
        <w:t xml:space="preserve"> </w:t>
      </w:r>
      <w:r>
        <w:t xml:space="preserve">en esquemas gestionados con migraciones; seleccionar proveedor consistente con el ambiente; comprobar tipos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, precisiones y conversiones</w:t>
      </w:r>
      <w:r>
        <w:t xml:space="preserve"> </w:t>
      </w:r>
      <w:r>
        <w:rPr>
          <w:rStyle w:val="VerbatimChar"/>
        </w:rPr>
        <w:t xml:space="preserve">DateTime</w:t>
      </w:r>
      <w:r>
        <w:t xml:space="preserve">; validar índices de consultas por pedido, sede, empleado y referencia de pago. Conservar el resultado de la migración y compararlo con versión de aplicación. No publicar</w:t>
      </w:r>
      <w:r>
        <w:t xml:space="preserve"> </w:t>
      </w:r>
      <w:r>
        <w:rPr>
          <w:rStyle w:val="VerbatimChar"/>
        </w:rPr>
        <w:t xml:space="preserve">database-schema.sql</w:t>
      </w:r>
      <w:r>
        <w:t xml:space="preserve"> </w:t>
      </w:r>
      <w:r>
        <w:t xml:space="preserve">ficticio como prueba de un esquema ejecutado.</w:t>
      </w:r>
    </w:p>
    <w:bookmarkEnd w:id="29"/>
    <w:bookmarkStart w:id="30" w:name="liberación-de-backend"/>
    <w:p>
      <w:pPr>
        <w:pStyle w:val="Heading2"/>
        <w:keepNext/>
        <w:spacing w:line="264" w:lineRule="auto"/>
      </w:pPr>
      <w:r>
        <w:t xml:space="preserve">12. Liberación de backend</w:t>
      </w:r>
    </w:p>
    <w:p>
      <w:pPr>
        <w:pStyle w:val="Compact"/>
        <w:numPr>
          <w:ilvl w:val="0"/>
          <w:numId w:val="1002"/>
        </w:numPr>
        <w:spacing w:line="396" w:lineRule="auto" w:after="100"/>
      </w:pPr>
      <w:r>
        <w:t xml:space="preserve">Obtener HEAD exacto y comprobar ausencia de cambios locales inadvertidos. 2. Validar restauración y compilación</w:t>
      </w:r>
      <w:r>
        <w:t xml:space="preserve"> </w:t>
      </w:r>
      <w:r>
        <w:rPr>
          <w:rStyle w:val="VerbatimChar"/>
        </w:rPr>
        <w:t xml:space="preserve">dotnet 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dotnet build -c Release</w:t>
      </w:r>
      <w:r>
        <w:t xml:space="preserve">. 3. Ejecutar pruebas automatizadas disponibles, o registrar su ausencia si no existen. 4. Validar configuración de JWT, proveedor DB, CORS, URL Wompi y política de turno. 5. Ejecutar migración solo en ambiente aprobado. 6. Iniciar servicio y observar errores del arranque. 7. Consultar Swagger autorizado y tres endpoints no destructivos. 8. Confirmar autenticación y aislamiento de sedes con cuentas de prueba. 9. Registrar logs anonimizados, estado de build y aprobación.</w:t>
      </w:r>
    </w:p>
    <w:bookmarkEnd w:id="30"/>
    <w:bookmarkStart w:id="31" w:name="liberación-web-y-móvil"/>
    <w:p>
      <w:pPr>
        <w:pStyle w:val="Heading2"/>
        <w:keepNext/>
        <w:spacing w:line="264" w:lineRule="auto"/>
      </w:pPr>
      <w:r>
        <w:t xml:space="preserve">13. Liberación web y móvil</w:t>
      </w:r>
    </w:p>
    <w:p>
      <w:pPr>
        <w:pStyle w:val="FirstParagraph"/>
        <w:spacing w:line="396" w:lineRule="auto" w:after="100"/>
      </w:pPr>
      <w:r>
        <w:rPr>
          <w:b/>
          <w:bCs/>
        </w:rPr>
        <w:t xml:space="preserve">Web:</w:t>
      </w:r>
      <w:r>
        <w:t xml:space="preserve"> </w:t>
      </w:r>
      <w:r>
        <w:t xml:space="preserve">instalar versiones del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, ejecutar</w:t>
      </w:r>
      <w:r>
        <w:t xml:space="preserve"> </w:t>
      </w:r>
      <w:r>
        <w:rPr>
          <w:rStyle w:val="VerbatimChar"/>
        </w:rPr>
        <w:t xml:space="preserve">npm run lint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, verificar que las variables públicas no transporten secretos y probar navegación en rutas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/orders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/branches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/reports</w:t>
      </w:r>
      <w:r>
        <w:t xml:space="preserve"> </w:t>
      </w:r>
      <w:r>
        <w:t xml:space="preserve">con cada rol previsto. La compilación no valida autorización de objetos.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Móvil:</w:t>
      </w:r>
      <w:r>
        <w:t xml:space="preserve"> </w:t>
      </w:r>
      <w:r>
        <w:t xml:space="preserve">usar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, comprobar compatibilidad entre SDK Expo, runtime nativo y dispositivo/emulador, generar build de desarrollo si Expo Go no contiene módulos requeridos, apuntar a la API del ambiente correcto y ensayar reconexión, localización, permisos de notificaciones y visualización de órdenes. Evitar publicar una versión a tienda sin política de compatibilidad de API.</w:t>
      </w:r>
    </w:p>
    <w:bookmarkEnd w:id="31"/>
    <w:bookmarkStart w:id="32" w:name="Xae5e010777068f581b68e6cddbfdbbce598bf14"/>
    <w:p>
      <w:pPr>
        <w:pStyle w:val="Heading2"/>
        <w:keepNext/>
        <w:spacing w:line="264" w:lineRule="auto"/>
      </w:pPr>
      <w:r>
        <w:t xml:space="preserve">14. Procedimiento operativo detallado de comprobación</w:t>
      </w:r>
    </w:p>
    <w:tbl>
      <w:tblPr>
        <w:tblStyle w:val="Table"/>
        <w:tblW w:type="pct" w:w="5000"/>
        <w:jc w:val="left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  <w:tblHeader w:val="true"/>
        </w:trP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b/>
                <w:sz w:val="17"/>
              </w:rPr>
              <w:t xml:space="preserve">Etapa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b/>
                <w:sz w:val="17"/>
              </w:rPr>
              <w:t xml:space="preserve">Acción / entrada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b/>
                <w:sz w:val="17"/>
              </w:rPr>
              <w:t xml:space="preserve">Evidencia obligatoria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b/>
                <w:sz w:val="17"/>
              </w:rPr>
              <w:t xml:space="preserve">Si falla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Identidad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Login y renovación de sesión con usuario sintético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HTTP, rol y expiración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Revisar JWT/horario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Catálogo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GET Products con sedes A/B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Productos globales y específicos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Revisar BranchId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Pedido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Crear orden de mesa o domicilio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Total y OrderDetails coherentes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Revisar DTO, validaciones y transacción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Cocina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Cambiar estado permitido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Historial consistente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Revisar política ActiveShift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Pago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Init Wompi sandbox y webhook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Referencia, checksum, estado final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No forzar confirmación manual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Reparto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Asignar empleado y cerrar entrega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Sede/cliente correctos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Investigar acceso y disponibilidad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Recuperación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Caída temporal de red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Reconciliación tras reconectar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Activar fallback a consulta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Observabilidad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Revisar métricas y errores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Acta posdespliegue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Rollback/contención</w:t>
            </w:r>
          </w:p>
        </w:tc>
      </w:tr>
    </w:tbl>
    <w:bookmarkEnd w:id="32"/>
    <w:bookmarkStart w:id="33" w:name="modelo-de-acta-de-implantación"/>
    <w:p>
      <w:pPr>
        <w:pStyle w:val="Heading2"/>
        <w:keepNext/>
        <w:spacing w:line="264" w:lineRule="auto"/>
      </w:pPr>
      <w:r>
        <w:t xml:space="preserve">15. Modelo de acta de implantación</w:t>
      </w:r>
    </w:p>
    <w:p>
      <w:pPr>
        <w:pStyle w:val="FirstParagraph"/>
        <w:spacing w:line="396" w:lineRule="auto" w:after="100"/>
      </w:pPr>
      <w:r>
        <w:t xml:space="preserve">El acta debe registrar: versión/fecha, responsables, entorno, commits de repositorios, lista de migraciones, respaldo asociado, checksums de paquetes, criterios aprobados, casos de prueba con resultado observado y anomalías pendientes. El aprobador funcional debe ser distinto del desarrollador de los módulos críticos cuando sea posible. No convertir casillas no ejecutadas en</w:t>
      </w:r>
      <w:r>
        <w:t xml:space="preserve"> </w:t>
      </w:r>
      <w:r>
        <w:t xml:space="preserve">“</w:t>
      </w:r>
      <w:r>
        <w:t xml:space="preserve">aprobado</w:t>
      </w:r>
      <w:r>
        <w:t xml:space="preserve">”</w:t>
      </w:r>
      <w:r>
        <w:t xml:space="preserve">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Cierre:</w:t>
      </w:r>
      <w:r>
        <w:t xml:space="preserve"> </w:t>
      </w:r>
      <w:r>
        <w:t xml:space="preserve">registrar versión estable, puntos de recuperación, manual de operación disponible, responsables de guardia, enlace de incidencias y problemas conocidos. Una puesta en marcha de pruebas no equivale a una aceptación de producción.</w:t>
      </w:r>
    </w:p>
    <w:bookmarkEnd w:id="33"/>
    <w:bookmarkStart w:id="34" w:name="mantenimiento-evolutivo"/>
    <w:p>
      <w:pPr>
        <w:pStyle w:val="Heading2"/>
        <w:keepNext/>
        <w:spacing w:line="264" w:lineRule="auto"/>
      </w:pPr>
      <w:r>
        <w:t xml:space="preserve">16. Mantenimiento evolutivo</w:t>
      </w:r>
    </w:p>
    <w:p>
      <w:pPr>
        <w:pStyle w:val="FirstParagraph"/>
        <w:spacing w:line="396" w:lineRule="auto" w:after="100"/>
      </w:pPr>
      <w:r>
        <w:t xml:space="preserve">Cada cambio que modifique una tabla, DTO, permiso, rol o flujo financiero debe abrir un análisis de impacto, un ajuste de la SRS y un caso de regresión; se actualizan API, clientes y documentación como parte del mismo cambio. Para la operación semanal propuesta, priorizar revisión de errores, pagos pendientes, dependencias vulnerables, copias de seguridad y divergencias de catálogo. La periodicidad es una recomendación y puede variar según tráfico y presupuesto.</w:t>
      </w:r>
    </w:p>
    <w:bookmarkEnd w:id="34"/>
    <w:bookmarkStart w:id="35" w:name="fuentes-primarias-de-implementación"/>
    <w:p>
      <w:pPr>
        <w:pStyle w:val="Heading2"/>
        <w:keepNext/>
        <w:spacing w:line="264" w:lineRule="auto"/>
      </w:pPr>
      <w:r>
        <w:t xml:space="preserve">Fuentes primarias de implementación</w:t>
      </w:r>
    </w:p>
    <w:p>
      <w:pPr>
        <w:pStyle w:val="Compact"/>
        <w:numPr>
          <w:ilvl w:val="0"/>
          <w:numId w:val="1003"/>
        </w:numPr>
        <w:spacing w:line="396" w:lineRule="auto" w:after="100"/>
      </w:pPr>
      <w:r>
        <w:t xml:space="preserve">API: https://github.com/yersonct/SaborExpressBack/tree/main</w:t>
      </w:r>
    </w:p>
    <w:p>
      <w:pPr>
        <w:pStyle w:val="Compact"/>
        <w:numPr>
          <w:ilvl w:val="0"/>
          <w:numId w:val="1003"/>
        </w:numPr>
        <w:spacing w:line="396" w:lineRule="auto" w:after="100"/>
      </w:pPr>
      <w:r>
        <w:t xml:space="preserve">Web: https://github.com/yersonct/SaborExpressWeb/tree/main</w:t>
      </w:r>
    </w:p>
    <w:p>
      <w:pPr>
        <w:pStyle w:val="Compact"/>
        <w:numPr>
          <w:ilvl w:val="0"/>
          <w:numId w:val="1003"/>
        </w:numPr>
        <w:spacing w:line="396" w:lineRule="auto" w:after="100"/>
      </w:pPr>
      <w:r>
        <w:t xml:space="preserve">Móvil: https://github.com/yersonct/SaborExpressMovil/tree/main</w:t>
      </w:r>
    </w:p>
    <w:p>
      <w:pPr>
        <w:pStyle w:val="Compact"/>
        <w:numPr>
          <w:ilvl w:val="0"/>
          <w:numId w:val="1003"/>
        </w:numPr>
        <w:spacing w:line="396" w:lineRule="auto" w:after="100"/>
      </w:pPr>
      <w:r>
        <w:t xml:space="preserve">Referencia de presentación: https://github.com/jsgh1/SRD-v1/tree/dev/docs/docs-SRD</w:t>
      </w:r>
    </w:p>
    <w:p>
      <w:pPr>
        <w:pStyle w:val="FirstParagraph"/>
        <w:spacing w:line="396" w:lineRule="auto" w:after="100"/>
      </w:pPr>
      <w:r>
        <w:rPr>
          <w:b/>
          <w:bCs/>
        </w:rPr>
        <w:t xml:space="preserve">Control documental:</w:t>
      </w:r>
      <w:r>
        <w:t xml:space="preserve"> </w:t>
      </w:r>
      <w:r>
        <w:t xml:space="preserve">documento elaborado a partir del estado observado en octubre de 2026. Antes de entregar, verificar el commit exacto, responsable, revisión del instructor y cualquier cambio posterior del código.</w:t>
      </w:r>
    </w:p>
    <w:bookmarkEnd w:id="35"/>
    <w:bookmarkStart w:id="39" w:name="arquitectura-y-orden-de-arranque"/>
    <w:p>
      <w:pPr>
        <w:pStyle w:val="Heading2"/>
        <w:keepNext/>
        <w:spacing w:line="264" w:lineRule="auto"/>
      </w:pPr>
      <w:r>
        <w:t xml:space="preserve">14. Arquitectura y orden de arranque</w:t>
      </w:r>
    </w:p>
    <w:p>
      <w:pPr>
        <w:pStyle w:val="CaptionedFigure"/>
        <w:spacing w:line="396" w:lineRule="auto" w:after="100"/>
      </w:pPr>
      <w:r>
        <w:drawing>
          <wp:inline>
            <wp:extent cx="5943600" cy="4433733"/>
            <wp:effectExtent b="0" l="0" r="0" t="0"/>
            <wp:docPr descr="07_DESPLIEGUE_PROPUESTO" title="" id="37" name="Picture"/>
            <a:graphic>
              <a:graphicData uri="http://schemas.openxmlformats.org/drawingml/2006/picture">
                <pic:pic>
                  <pic:nvPicPr>
                    <pic:cNvPr descr="recursos/07_DESPLIEGUE_PROPUESTO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33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396" w:lineRule="auto" w:after="100"/>
      </w:pPr>
      <w:r>
        <w:t xml:space="preserve">07_DESPLIEGUE_PROPUESTO</w:t>
      </w:r>
    </w:p>
    <w:p>
      <w:pPr>
        <w:pStyle w:val="BodyText"/>
        <w:spacing w:line="396" w:lineRule="auto" w:after="100"/>
      </w:pPr>
      <w:r>
        <w:rPr>
          <w:i/>
          <w:iCs/>
        </w:rPr>
        <w:t xml:space="preserve">Nota. Elaboración para el estudio de caso SaborExpress; las figuras no certifican operaciones desplegadas.</w:t>
      </w:r>
      <w:r>
        <w:t xml:space="preserve"> </w:t>
      </w:r>
      <w:r>
        <w:t xml:space="preserve">Primero debe existir un motor relacional de prueba configurado, luego ejecutarse migraciones controladas y después iniciarse la API. Web y móvil necesitan una URL API alcanzable desde su propio entorno; un teléfono no puede usar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para referirse al servidor de la computadora. Para pruebas de pagos, Wompi utiliza credenciales y URLs sandbox separadas de producción.</w:t>
      </w:r>
    </w:p>
    <w:bookmarkEnd w:id="39"/>
    <w:bookmarkStart w:id="40" w:name="comandos-técnicos-versionables-y-seguros"/>
    <w:p>
      <w:pPr>
        <w:pStyle w:val="Heading2"/>
        <w:keepNext/>
        <w:spacing w:line="264" w:lineRule="auto"/>
      </w:pPr>
      <w:r>
        <w:t xml:space="preserve">15. Comandos técnicos versionables y seguros</w:t>
      </w:r>
    </w:p>
    <w:p>
      <w:pPr>
        <w:pStyle w:val="SourceCode"/>
        <w:spacing w:after="80"/>
      </w:pPr>
      <w:r>
        <w:rPr>
          <w:rStyle w:val="CommentTok"/>
        </w:rPr>
        <w:t xml:space="preserve"># Ejecución en una terminal PowerShell con herramientas instaladas.</w:t>
      </w:r>
      <w:r>
        <w:br/>
      </w:r>
      <w:r>
        <w:rPr>
          <w:rStyle w:val="NormalTok"/>
        </w:rPr>
        <w:t xml:space="preserve">git clone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yersonct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SaborExpressBack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SaborExpressBack</w:t>
      </w:r>
      <w:r>
        <w:br/>
      </w:r>
      <w:r>
        <w:rPr>
          <w:rStyle w:val="NormalTok"/>
        </w:rPr>
        <w:t xml:space="preserve">git rev-parse HEAD</w:t>
      </w:r>
      <w:r>
        <w:br/>
      </w:r>
      <w:r>
        <w:rPr>
          <w:rStyle w:val="NormalTok"/>
        </w:rPr>
        <w:t xml:space="preserve">dotnet restore</w:t>
      </w:r>
      <w:r>
        <w:br/>
      </w:r>
      <w:r>
        <w:rPr>
          <w:rStyle w:val="NormalTok"/>
        </w:rPr>
        <w:t xml:space="preserve">dotnet 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 Release</w:t>
      </w:r>
      <w:r>
        <w:br/>
      </w:r>
      <w:r>
        <w:rPr>
          <w:rStyle w:val="CommentTok"/>
        </w:rPr>
        <w:t xml:space="preserve"># dotnet run  # Ejecutar solo tras configurar DB, JWT y servicios externos.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br/>
      </w:r>
      <w:r>
        <w:rPr>
          <w:rStyle w:val="NormalTok"/>
        </w:rPr>
        <w:t xml:space="preserve">git clone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yersonct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SaborExpressWeb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SaborExpressWeb</w:t>
      </w:r>
      <w:r>
        <w:br/>
      </w:r>
      <w:r>
        <w:rPr>
          <w:rStyle w:val="NormalTok"/>
        </w:rPr>
        <w:t xml:space="preserve">npm ci</w:t>
      </w:r>
      <w:r>
        <w:br/>
      </w:r>
      <w:r>
        <w:rPr>
          <w:rStyle w:val="NormalTok"/>
        </w:rPr>
        <w:t xml:space="preserve">npm run build</w:t>
      </w:r>
      <w:r>
        <w:br/>
      </w:r>
      <w:r>
        <w:rPr>
          <w:rStyle w:val="CommentTok"/>
        </w:rPr>
        <w:t xml:space="preserve"># npm run dev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br/>
      </w:r>
      <w:r>
        <w:rPr>
          <w:rStyle w:val="NormalTok"/>
        </w:rPr>
        <w:t xml:space="preserve">git clone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yersonct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SaborExpressMovil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SaborExpressMovil</w:t>
      </w:r>
      <w:r>
        <w:br/>
      </w:r>
      <w:r>
        <w:rPr>
          <w:rStyle w:val="NormalTok"/>
        </w:rPr>
        <w:t xml:space="preserve">npm ci</w:t>
      </w:r>
      <w:r>
        <w:br/>
      </w:r>
      <w:r>
        <w:rPr>
          <w:rStyle w:val="CommentTok"/>
        </w:rPr>
        <w:t xml:space="preserve"># npm start</w:t>
      </w:r>
    </w:p>
    <w:p>
      <w:pPr>
        <w:pStyle w:val="FirstParagraph"/>
        <w:spacing w:line="396" w:lineRule="auto" w:after="100"/>
      </w:pPr>
      <w:r>
        <w:rPr>
          <w:b/>
          <w:bCs/>
        </w:rPr>
        <w:t xml:space="preserve">Criterio:</w:t>
      </w:r>
      <w:r>
        <w:t xml:space="preserve"> </w:t>
      </w:r>
      <w:r>
        <w:t xml:space="preserve">el ejemplo es una guía para reproducir, no una transcripción de comandos ejecutados con éxito.</w:t>
      </w:r>
      <w:r>
        <w:t xml:space="preserve"> </w:t>
      </w:r>
      <w:r>
        <w:rPr>
          <w:rStyle w:val="VerbatimChar"/>
        </w:rPr>
        <w:t xml:space="preserve">dotnet ef migrations script</w:t>
      </w:r>
      <w:r>
        <w:t xml:space="preserve"> </w:t>
      </w:r>
      <w:r>
        <w:t xml:space="preserve">puede generar DDL, pero debe ejecutarse con proveedor correcto y revisar el resultado antes de publicarlo.</w:t>
      </w:r>
    </w:p>
    <w:bookmarkEnd w:id="40"/>
    <w:bookmarkEnd w:id="41"/>
    <w:sectPr>
      <w:footerReference w:type="default" r:id="rId10"/>
      <w:pgSz w:h="15840" w:w="12240"/>
      <w:pgMar w:bottom="1440" w:left="1440" w:right="1440" w:top="1440" w:header="691" w:footer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SaborExpress | Yerson Stiven Cuellar Rubiano | Ficha 3145555 | Página </w:t>
    </w: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60" w:line="360" w:lineRule="auto"/>
    </w:pPr>
    <w:rPr>
      <w:rFonts w:ascii="Times New Roman" w:hAnsi="Times New Roman"/>
      <w:color w:val="191E28"/>
      <w:sz w:val="24"/>
    </w:rPr>
  </w:style>
  <w:style w:styleId="BodyText" w:type="paragraph">
    <w:name w:val="Body Text"/>
    <w:basedOn w:val="Normal"/>
    <w:link w:val="BodyTextChar"/>
    <w:qFormat/>
    <w:pPr>
      <w:spacing w:after="60" w:before="180" w:line="360" w:lineRule="auto"/>
    </w:pPr>
    <w:rPr>
      <w:rFonts w:ascii="Times New Roman" w:hAnsi="Times New Roman"/>
      <w:color w:val="191E28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60" w:line="360" w:lineRule="auto"/>
    </w:pPr>
    <w:rPr>
      <w:rFonts w:ascii="Times New Roman" w:hAnsi="Times New Roman"/>
      <w:color w:val="191E28"/>
      <w:sz w:val="24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hAnsi="Times New Roman"/>
      <w:sz w:val="2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6" Type="http://schemas.openxmlformats.org/officeDocument/2006/relationships/image" Target="media/rId36.png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2026-10-15T01:17:06Z</dcterms:created>
  <dcterms:modified xsi:type="dcterms:W3CDTF">2026-10-15T01:17:06Z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