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diccionario-de-datos-y-modelo-relacional"/>
    <w:p>
      <w:pPr>
        <w:pStyle w:val="Heading1"/>
      </w:pPr>
      <w:r>
        <w:t xml:space="preserve">Diccionario de datos y modelo relacional</w:t>
      </w:r>
    </w:p>
    <w:p>
      <w:pPr>
        <w:pStyle w:val="FirstParagraph"/>
      </w:pPr>
      <w:r>
        <w:rPr>
          <w:b/>
          <w:bCs/>
        </w:rPr>
        <w:t xml:space="preserve">Proyecto:</w:t>
      </w:r>
      <w:r>
        <w:t xml:space="preserve"> </w:t>
      </w:r>
      <w:r>
        <w:t xml:space="preserve">SaborExpress |</w:t>
      </w:r>
      <w:r>
        <w:t xml:space="preserve"> </w:t>
      </w:r>
      <w:r>
        <w:rPr>
          <w:b/>
          <w:bCs/>
        </w:rPr>
        <w:t xml:space="preserve">Fecha de corte:</w:t>
      </w:r>
      <w:r>
        <w:t xml:space="preserve"> </w:t>
      </w:r>
      <w:r>
        <w:t xml:space="preserve">14 de octubre de 2026 |</w:t>
      </w:r>
      <w:r>
        <w:t xml:space="preserve"> </w:t>
      </w:r>
      <w:r>
        <w:rPr>
          <w:b/>
          <w:bCs/>
        </w:rPr>
        <w:t xml:space="preserve">Versión:</w:t>
      </w:r>
      <w:r>
        <w:t xml:space="preserve"> </w:t>
      </w:r>
      <w:r>
        <w:t xml:space="preserve">2.0 |</w:t>
      </w:r>
      <w:r>
        <w:t xml:space="preserve"> </w:t>
      </w:r>
      <w:r>
        <w:rPr>
          <w:b/>
          <w:bCs/>
        </w:rPr>
        <w:t xml:space="preserve">Tipo:</w:t>
      </w:r>
      <w:r>
        <w:t xml:space="preserve"> </w:t>
      </w:r>
      <w:r>
        <w:t xml:space="preserve">Documento técnico y académico</w:t>
      </w:r>
    </w:p>
    <w:p>
      <w:pPr>
        <w:pStyle w:val="BodyText"/>
      </w:pPr>
      <w:r>
        <w:rPr>
          <w:b/>
          <w:bCs/>
        </w:rPr>
        <w:t xml:space="preserve">Estado de la evidencia:</w:t>
      </w:r>
      <w:r>
        <w:t xml:space="preserve"> </w:t>
      </w:r>
      <w:r>
        <w:t xml:space="preserve">inspección documental y estática del código. Las pruebas de ejecución y los datos institucionales no aportados no se presumen realizados.</w:t>
      </w:r>
    </w:p>
    <w:bookmarkStart w:id="20" w:name="procedencia-y-limitación"/>
    <w:p>
      <w:pPr>
        <w:pStyle w:val="Heading2"/>
      </w:pPr>
      <w:r>
        <w:t xml:space="preserve">1. Procedencia y limitación</w:t>
      </w:r>
    </w:p>
    <w:p>
      <w:pPr>
        <w:pStyle w:val="FirstParagraph"/>
      </w:pPr>
      <w:r>
        <w:t xml:space="preserve">Los campos listados a continuación se transcriben de modelos C# inspeccionados en</w:t>
      </w:r>
      <w:r>
        <w:t xml:space="preserve"> </w:t>
      </w:r>
      <w:r>
        <w:rPr>
          <w:rStyle w:val="VerbatimChar"/>
        </w:rPr>
        <w:t xml:space="preserve">Modules/&lt;Dominio&gt;/Models</w:t>
      </w:r>
      <w:r>
        <w:t xml:space="preserve"> </w:t>
      </w:r>
      <w:r>
        <w:t xml:space="preserve">y del</w:t>
      </w:r>
      <w:r>
        <w:t xml:space="preserve"> </w:t>
      </w:r>
      <w:r>
        <w:rPr>
          <w:rStyle w:val="VerbatimChar"/>
        </w:rPr>
        <w:t xml:space="preserve">AppDbContext</w:t>
      </w:r>
      <w:r>
        <w:t xml:space="preserve">.</w:t>
      </w:r>
      <w:r>
        <w:t xml:space="preserve"> </w:t>
      </w:r>
      <w:r>
        <w:rPr>
          <w:b/>
          <w:bCs/>
        </w:rPr>
        <w:t xml:space="preserve">Son propiedades de entidades</w:t>
      </w:r>
      <w:r>
        <w:t xml:space="preserve">, no una exportación certificada del DDL físico (nombres de columnas, índices, nulabilidad y reglas SQL deben validarse en migraciones y motor objetivo). PK/FK se infiere de los nombres y navegaciones y corresponde a relaciones programadas que necesitan comprobarse físicamente.</w:t>
      </w:r>
    </w:p>
    <w:bookmarkEnd w:id="20"/>
    <w:bookmarkStart w:id="29" w:name="modelos-de-datos-inspeccionados"/>
    <w:p>
      <w:pPr>
        <w:pStyle w:val="Heading2"/>
      </w:pPr>
      <w:r>
        <w:t xml:space="preserve">2. Modelos de datos inspeccionados</w:t>
      </w:r>
    </w:p>
    <w:bookmarkStart w:id="21" w:name="entidad-user"/>
    <w:p>
      <w:pPr>
        <w:pStyle w:val="Heading3"/>
      </w:pPr>
      <w:r>
        <w:t xml:space="preserve">Entidad User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Propiedad/Tipo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Interpretación de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Id:int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Email:string?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PasswordHash:string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PasswordHash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Status:bool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MustChangePassword:bool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MustChangePassword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LastLogin:DateTime?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LastLogin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CreatedAt:DateTime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CreatedAt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FailedLoginAttempts:int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FailedLoginAttempts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LockoutEnd:DateTime?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LockoutEnd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EmailConfirmed:bool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EmailConfirmed — propiedad del modelo C#</w:t>
            </w:r>
          </w:p>
        </w:tc>
      </w:tr>
    </w:tbl>
    <w:bookmarkEnd w:id="21"/>
    <w:bookmarkStart w:id="22" w:name="entidad-employee"/>
    <w:p>
      <w:pPr>
        <w:pStyle w:val="Heading3"/>
      </w:pPr>
      <w:r>
        <w:t xml:space="preserve">Entidad Employee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Propiedad/Tipo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Interpretación de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Id:int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UserId:int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UserId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Name:string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LastName:string?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LastName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Document:string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Phone:string?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BranchId:int?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BranchId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Status:string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Vehicle:string?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Vehicle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Plate:string?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IsAvailable:bool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IsAvailable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BasePay:decimal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BasePay — propiedad del modelo C#</w:t>
            </w:r>
          </w:p>
        </w:tc>
      </w:tr>
    </w:tbl>
    <w:bookmarkEnd w:id="22"/>
    <w:bookmarkStart w:id="23" w:name="entidad-branch"/>
    <w:p>
      <w:pPr>
        <w:pStyle w:val="Heading3"/>
      </w:pPr>
      <w:r>
        <w:t xml:space="preserve">Entidad Branch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Propiedad/Tipo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Interpretación de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Id:int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Name:string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Address:string?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Phone:string?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Status:bool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Latitude:decimal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Latitude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Longitude:decimal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Longitude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PublicKitchenCode:string?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PublicKitchenCode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CreatedAt:DateTime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CreatedAt — propiedad del modelo C#</w:t>
            </w:r>
          </w:p>
        </w:tc>
      </w:tr>
    </w:tbl>
    <w:bookmarkEnd w:id="23"/>
    <w:bookmarkStart w:id="24" w:name="entidad-product"/>
    <w:p>
      <w:pPr>
        <w:pStyle w:val="Heading3"/>
      </w:pPr>
      <w:r>
        <w:t xml:space="preserve">Entidad Product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Propiedad/Tipo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Interpretación de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Id:int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CategoryId:int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CategoryId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BranchId:int?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BranchId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Name:string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Description:string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Price:decimal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Photo:string?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PreparationTimeInMinutes:int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PreparationTimeInMinutes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Status:bool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CreatedAt:DateTime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CreatedAt — propiedad del modelo C#</w:t>
            </w:r>
          </w:p>
        </w:tc>
      </w:tr>
    </w:tbl>
    <w:bookmarkEnd w:id="24"/>
    <w:bookmarkStart w:id="25" w:name="entidad-order"/>
    <w:p>
      <w:pPr>
        <w:pStyle w:val="Heading3"/>
      </w:pPr>
      <w:r>
        <w:t xml:space="preserve">Entidad Order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Propiedad/Tipo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Interpretación de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Id:int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CustomerId:int?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CustomerId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EmployeeId:int?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EmployeeId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TableId:int?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TableId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BranchId:int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BranchId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AddressId:int?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AddressId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OrderType:enum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OrderType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Channel:enum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Status:enum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SubTotal:decimal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SubTotal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Tax:decimal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Total:decimal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Notes:string?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GuestName:string?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GuestName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CreatedAt:DateTime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CreatedAt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UpdatedAt:DateTime?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UpdatedAt — propiedad del modelo C#</w:t>
            </w:r>
          </w:p>
        </w:tc>
      </w:tr>
    </w:tbl>
    <w:bookmarkEnd w:id="25"/>
    <w:bookmarkStart w:id="26" w:name="entidad-orderdetail"/>
    <w:p>
      <w:pPr>
        <w:pStyle w:val="Heading3"/>
      </w:pPr>
      <w:r>
        <w:t xml:space="preserve">Entidad OrderDetail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Propiedad/Tipo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Interpretación de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Id:int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OrderId:int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OrderId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ProductId:int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ProductId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LastModifiedByEmployeeId:int?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LastModifiedByEmployeeId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Quantity:int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UnitPrice:decimal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UnitPrice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SubTotal:decimal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SubTotal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Notes:string?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IsToGo:bool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IsToGo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BatchNumber:int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BatchNumber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Status:enum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— propiedad del modelo C#</w:t>
            </w:r>
          </w:p>
        </w:tc>
      </w:tr>
    </w:tbl>
    <w:bookmarkEnd w:id="26"/>
    <w:bookmarkStart w:id="27" w:name="entidad-payment"/>
    <w:p>
      <w:pPr>
        <w:pStyle w:val="Heading3"/>
      </w:pPr>
      <w:r>
        <w:t xml:space="preserve">Entidad Payment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Propiedad/Tipo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Interpretación de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Id:int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OrderId:int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OrderId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CashierId:int?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CashierId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Method:enum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Amount:decimal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Status:enum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PaidAt:DateTime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PaidAt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WompiReference:string?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WompiReference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WompiTransactionId:string?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WompiTransactionId — propiedad del modelo C#</w:t>
            </w:r>
          </w:p>
        </w:tc>
      </w:tr>
    </w:tbl>
    <w:bookmarkEnd w:id="27"/>
    <w:bookmarkStart w:id="28" w:name="entidad-delivery"/>
    <w:p>
      <w:pPr>
        <w:pStyle w:val="Heading3"/>
      </w:pPr>
      <w:r>
        <w:t xml:space="preserve">Entidad Delivery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Propiedad/Tipo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Interpretación de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Id:int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OrderId:int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OrderId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AddressId:int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AddressId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DeliveryPersonId:int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DeliveryPersonId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Status:enum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AssignedAt:DateTime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AssignedAt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DeliveredAt:DateTime?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DeliveredAt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CustomerRating:int?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CustomerRating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CustomerRatingComment:string?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CustomerRatingComment — propiedad del modelo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RatedAt:DateTime?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RatedAt — propiedad del modelo C#</w:t>
            </w:r>
          </w:p>
        </w:tc>
      </w:tr>
    </w:tbl>
    <w:bookmarkEnd w:id="28"/>
    <w:bookmarkEnd w:id="29"/>
    <w:bookmarkStart w:id="30" w:name="X75963eb0da7133aecca3377d7b8f5f3e8d7232e"/>
    <w:p>
      <w:pPr>
        <w:pStyle w:val="Heading2"/>
      </w:pPr>
      <w:r>
        <w:t xml:space="preserve">3. Entidades adicionales registradas en DbContext</w:t>
      </w:r>
    </w:p>
    <w:p>
      <w:pPr>
        <w:pStyle w:val="FirstParagraph"/>
      </w:pPr>
      <w:r>
        <w:t xml:space="preserve">PasswordResetCodes, Roles, Permissions, RolePermissions, UserRoles, Customers, Categories, OrderStatusHistories, OrderDetailHistories, Tables, Reviews, Addresses, UserPreferences, BranchSetting, BranchOperationalSettings, UserSettings, EmailConfirmationCodes, RefreshTokens, EmployeeSchedules, DailyMenuItems, Invoices, EmployeeActivationCodes y Notifications. Sus tablas y columnas deben cotejarse con modelos y configuraciones respectivas; no se inventan columnas.</w:t>
      </w:r>
    </w:p>
    <w:bookmarkEnd w:id="30"/>
    <w:bookmarkStart w:id="34" w:name="relaciones-de-negocio"/>
    <w:p>
      <w:pPr>
        <w:pStyle w:val="Heading2"/>
      </w:pPr>
      <w:r>
        <w:t xml:space="preserve">4. Relaciones de negocio</w:t>
      </w:r>
    </w:p>
    <w:p>
      <w:pPr>
        <w:pStyle w:val="CaptionedFigure"/>
      </w:pPr>
      <w:r>
        <w:drawing>
          <wp:inline>
            <wp:extent cx="6159500" cy="1022383"/>
            <wp:effectExtent b="0" l="0" r="0" t="0"/>
            <wp:docPr descr="Relaciones conceptuales de las entidades inspeccionadas" title="" id="32" name="Picture"/>
            <a:graphic>
              <a:graphicData uri="http://schemas.openxmlformats.org/drawingml/2006/picture">
                <pic:pic>
                  <pic:nvPicPr>
                    <pic:cNvPr descr="MODELO-ENTIDADE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500" cy="1022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Relaciones conceptuales de las entidades inspeccionadas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User 1—0..1 Employee</w:t>
      </w:r>
      <w:r>
        <w:t xml:space="preserve">;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 </w:t>
      </w:r>
      <w:r>
        <w:t xml:space="preserve">referencia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. 2.</w:t>
      </w:r>
      <w:r>
        <w:t xml:space="preserve"> </w:t>
      </w:r>
      <w:r>
        <w:rPr>
          <w:rStyle w:val="VerbatimChar"/>
        </w:rPr>
        <w:t xml:space="preserve">Branch 1—N 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 1—N Employee</w:t>
      </w:r>
      <w:r>
        <w:t xml:space="preserve"> </w:t>
      </w:r>
      <w:r>
        <w:t xml:space="preserve">(opcional para employee) y</w:t>
      </w:r>
      <w:r>
        <w:t xml:space="preserve"> </w:t>
      </w:r>
      <w:r>
        <w:rPr>
          <w:rStyle w:val="VerbatimChar"/>
        </w:rPr>
        <w:t xml:space="preserve">Branch 1—N Product</w:t>
      </w:r>
      <w:r>
        <w:t xml:space="preserve"> </w:t>
      </w:r>
      <w:r>
        <w:t xml:space="preserve">(opcional para producto global). 3.</w:t>
      </w:r>
      <w:r>
        <w:t xml:space="preserve"> </w:t>
      </w:r>
      <w:r>
        <w:rPr>
          <w:rStyle w:val="VerbatimChar"/>
        </w:rPr>
        <w:t xml:space="preserve">Order 1—N OrderDetail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Order 1—N Payment</w:t>
      </w:r>
      <w:r>
        <w:t xml:space="preserve">. 4.</w:t>
      </w:r>
      <w:r>
        <w:t xml:space="preserve"> </w:t>
      </w:r>
      <w:r>
        <w:rPr>
          <w:rStyle w:val="VerbatimChar"/>
        </w:rPr>
        <w:t xml:space="preserve">OrderDetail N—1 Product</w:t>
      </w:r>
      <w:r>
        <w:t xml:space="preserve">. 5.</w:t>
      </w:r>
      <w:r>
        <w:t xml:space="preserve"> </w:t>
      </w:r>
      <w:r>
        <w:rPr>
          <w:rStyle w:val="VerbatimChar"/>
        </w:rPr>
        <w:t xml:space="preserve">Delivery N—1 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 </w:t>
      </w:r>
      <w:r>
        <w:t xml:space="preserve">como repartidor. 6.</w:t>
      </w:r>
      <w:r>
        <w:t xml:space="preserve"> </w:t>
      </w:r>
      <w:r>
        <w:rPr>
          <w:rStyle w:val="VerbatimChar"/>
        </w:rPr>
        <w:t xml:space="preserve">Product N—1 Category</w:t>
      </w:r>
      <w:r>
        <w:t xml:space="preserve">.</w:t>
      </w:r>
    </w:p>
    <w:bookmarkEnd w:id="34"/>
    <w:bookmarkStart w:id="35" w:name="Xe35a076f2ab9261168a617af15f143725112fca"/>
    <w:p>
      <w:pPr>
        <w:pStyle w:val="Heading2"/>
      </w:pPr>
      <w:r>
        <w:t xml:space="preserve">5. Reglas de integridad que se deben comprobar</w:t>
      </w:r>
    </w:p>
    <w:p>
      <w:pPr>
        <w:pStyle w:val="FirstParagraph"/>
      </w:pPr>
      <w:r>
        <w:t xml:space="preserve">Montos DECIMAL adecuados para moneda; no aceptar negativos;</w:t>
      </w:r>
      <w:r>
        <w:t xml:space="preserve"> </w:t>
      </w:r>
      <w:r>
        <w:rPr>
          <w:rStyle w:val="VerbatimChar"/>
        </w:rPr>
        <w:t xml:space="preserve">CustomerRating</w:t>
      </w:r>
      <w:r>
        <w:t xml:space="preserve"> </w:t>
      </w:r>
      <w:r>
        <w:t xml:space="preserve">en 1..5;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 </w:t>
      </w:r>
      <w:r>
        <w:t xml:space="preserve">mayor que cero;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consistente con subtotales/impuestos; unicidad de referencia Wompi; índice sobre pedido y estados cuando aplique; privacidad de contraseñas/token; políticas de borrado y registros históricos. El modelo C# por sí mismo no demuestra todos estos CHECK/UNIQUE/INDEX físicos.</w:t>
      </w:r>
    </w:p>
    <w:bookmarkEnd w:id="35"/>
    <w:bookmarkStart w:id="36" w:name="obtención-correcta-del-esquema-sql"/>
    <w:p>
      <w:pPr>
        <w:pStyle w:val="Heading2"/>
      </w:pPr>
      <w:r>
        <w:t xml:space="preserve">6. Obtención correcta del esquema SQL</w:t>
      </w:r>
    </w:p>
    <w:p>
      <w:pPr>
        <w:pStyle w:val="FirstParagraph"/>
      </w:pPr>
      <w:r>
        <w:t xml:space="preserve">Seleccionar el proveedor real en ambiente aislado. Desde la carpeta backend, con</w:t>
      </w:r>
      <w:r>
        <w:t xml:space="preserve"> </w:t>
      </w:r>
      <w:r>
        <w:rPr>
          <w:rStyle w:val="VerbatimChar"/>
        </w:rPr>
        <w:t xml:space="preserve">dotnet-ef</w:t>
      </w:r>
      <w:r>
        <w:t xml:space="preserve"> </w:t>
      </w:r>
      <w:r>
        <w:t xml:space="preserve">compatible y herramientas restauradas, usar</w:t>
      </w:r>
      <w:r>
        <w:t xml:space="preserve"> </w:t>
      </w:r>
      <w:r>
        <w:rPr>
          <w:rStyle w:val="VerbatimChar"/>
        </w:rPr>
        <w:t xml:space="preserve">dotnet ef migrations script --idempotent --output esquema-generado.sql</w:t>
      </w:r>
      <w:r>
        <w:t xml:space="preserve"> </w:t>
      </w:r>
      <w:r>
        <w:t xml:space="preserve">o extraer el DDL del motor. Verificar que migraciones sean apropiadas para ese proveedor. El archivo</w:t>
      </w:r>
      <w:r>
        <w:t xml:space="preserve"> </w:t>
      </w:r>
      <w:r>
        <w:rPr>
          <w:rStyle w:val="VerbatimChar"/>
        </w:rPr>
        <w:t xml:space="preserve">5-database/database-schema.sql</w:t>
      </w:r>
      <w:r>
        <w:t xml:space="preserve"> </w:t>
      </w:r>
      <w:r>
        <w:t xml:space="preserve">contiene instrucciones de catálogo y NO es un DDL de producción inventado.</w:t>
      </w:r>
    </w:p>
    <w:bookmarkEnd w:id="36"/>
    <w:bookmarkStart w:id="37" w:name="protección-de-información"/>
    <w:p>
      <w:pPr>
        <w:pStyle w:val="Heading2"/>
      </w:pPr>
      <w:r>
        <w:t xml:space="preserve">7. Protección de información</w:t>
      </w:r>
    </w:p>
    <w:p>
      <w:pPr>
        <w:pStyle w:val="FirstParagraph"/>
      </w:pPr>
      <w:r>
        <w:t xml:space="preserve">No subir respaldos reales, contraseñas, claves API, tokens, números de documentos ni datos de clientes al repositorio de documentación. Toda captura de base de datos debe ser sintética o anonimizada y autorizada.</w:t>
      </w:r>
    </w:p>
    <w:bookmarkEnd w:id="37"/>
    <w:bookmarkStart w:id="38" w:name="fuentes-primarias-de-implementación"/>
    <w:p>
      <w:pPr>
        <w:pStyle w:val="Heading2"/>
      </w:pPr>
      <w:r>
        <w:t xml:space="preserve">Fuentes primarias de implementación</w:t>
      </w:r>
    </w:p>
    <w:p>
      <w:pPr>
        <w:pStyle w:val="Compact"/>
        <w:numPr>
          <w:ilvl w:val="0"/>
          <w:numId w:val="1002"/>
        </w:numPr>
      </w:pPr>
      <w:r>
        <w:t xml:space="preserve">API: https://github.com/yersonct/SaborExpressBack/tree/main</w:t>
      </w:r>
    </w:p>
    <w:p>
      <w:pPr>
        <w:pStyle w:val="Compact"/>
        <w:numPr>
          <w:ilvl w:val="0"/>
          <w:numId w:val="1002"/>
        </w:numPr>
      </w:pPr>
      <w:r>
        <w:t xml:space="preserve">Web: https://github.com/yersonct/SaborExpressWeb/tree/main</w:t>
      </w:r>
    </w:p>
    <w:p>
      <w:pPr>
        <w:pStyle w:val="Compact"/>
        <w:numPr>
          <w:ilvl w:val="0"/>
          <w:numId w:val="1002"/>
        </w:numPr>
      </w:pPr>
      <w:r>
        <w:t xml:space="preserve">Móvil: https://github.com/yersonct/SaborExpressMovil/tree/main</w:t>
      </w:r>
    </w:p>
    <w:p>
      <w:pPr>
        <w:pStyle w:val="Compact"/>
        <w:numPr>
          <w:ilvl w:val="0"/>
          <w:numId w:val="1002"/>
        </w:numPr>
      </w:pPr>
      <w:r>
        <w:t xml:space="preserve">Referencia de presentación: https://github.com/jsgh1/SRD-v1/tree/dev/docs/docs-SRD</w:t>
      </w:r>
    </w:p>
    <w:p>
      <w:pPr>
        <w:pStyle w:val="FirstParagraph"/>
      </w:pPr>
      <w:r>
        <w:rPr>
          <w:b/>
          <w:bCs/>
        </w:rPr>
        <w:t xml:space="preserve">Control documental:</w:t>
      </w:r>
      <w:r>
        <w:t xml:space="preserve"> </w:t>
      </w:r>
      <w:r>
        <w:t xml:space="preserve">documento elaborado a partir del estado observado en octubre de 2026. Antes de entregar, verificar el commit exacto, responsable, revisión del instructor y cualquier cambio posterior del código.</w:t>
      </w:r>
    </w:p>
    <w:bookmarkEnd w:id="38"/>
    <w:bookmarkEnd w:id="39"/>
    <w:sectPr w:rsidR="00FC693F" w:rsidRPr="0006063C" w:rsidSect="00034616">
      <w:footerReference r:id="rId9" w:type="default"/>
      <w:pgSz w:h="15840" w:w="12240"/>
      <w:pgMar w:bottom="1123" w:footer="720" w:gutter="0" w:header="720" w:left="1267" w:right="1267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SaborExpress  |  Expediente académico de revisión  |  14 de octubre de 2026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/>
    </w:pPr>
    <w:rPr>
      <w:rFonts w:ascii="Aptos" w:hAnsi="Aptos"/>
      <w:color w:val="23303C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24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54566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40"/>
      <w:outlineLvl w:val="1"/>
    </w:pPr>
    <w:rPr>
      <w:rFonts w:ascii="Aptos Display" w:asciiTheme="majorHAnsi" w:cstheme="majorBidi" w:eastAsiaTheme="majorEastAsia" w:hAnsi="Aptos Display" w:hAnsiTheme="majorHAnsi"/>
      <w:b/>
      <w:bCs/>
      <w:color w:val="245678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40"/>
      <w:outlineLvl w:val="2"/>
    </w:pPr>
    <w:rPr>
      <w:rFonts w:ascii="Aptos Display" w:asciiTheme="majorHAnsi" w:cstheme="majorBidi" w:eastAsiaTheme="majorEastAsia" w:hAnsi="Aptos Display" w:hAnsiTheme="majorHAnsi"/>
      <w:b/>
      <w:bCs/>
      <w:color w:val="2D5A73"/>
      <w:sz w:val="21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rPr>
      <w:rFonts w:ascii="Aptos" w:hAnsi="Aptos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00" w:before="240" w:line="240" w:lineRule="auto"/>
      <w:contextualSpacing/>
    </w:pPr>
    <w:rPr>
      <w:rFonts w:ascii="Aptos Display" w:asciiTheme="majorHAnsi" w:cstheme="majorBidi" w:eastAsiaTheme="majorEastAsia" w:hAnsi="Aptos Display" w:hAnsiTheme="majorHAnsi"/>
      <w:b/>
      <w:color w:val="163A5A"/>
      <w:spacing w:val="5"/>
      <w:kern w:val="28"/>
      <w:sz w:val="4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Aptos" w:hAnsi="Aptos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2026-10-15T00:06:41Z</dcterms:created>
  <dcterms:modified xsi:type="dcterms:W3CDTF">2026-10-15T00:06:41Z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