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8eb190eb1518facb49ca4804e9e0424396435d"/>
    <w:p>
      <w:pPr>
        <w:pStyle w:val="Heading1"/>
      </w:pPr>
      <w:r>
        <w:t xml:space="preserve">Acciones correctivas, preventivas y plan de mejoramiento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criterio-de-evaluación"/>
    <w:p>
      <w:pPr>
        <w:pStyle w:val="Heading2"/>
      </w:pPr>
      <w:r>
        <w:t xml:space="preserve">1. Criterio de evaluación</w:t>
      </w:r>
    </w:p>
    <w:p>
      <w:pPr>
        <w:pStyle w:val="FirstParagraph"/>
      </w:pPr>
      <w:r>
        <w:t xml:space="preserve">Se clasifican riesgos observables en diseño/código y brechas de evidencia. Se habla de</w:t>
      </w:r>
      <w:r>
        <w:t xml:space="preserve"> </w:t>
      </w:r>
      <w:r>
        <w:rPr>
          <w:b/>
          <w:bCs/>
        </w:rPr>
        <w:t xml:space="preserve">recomendaciones de corrección</w:t>
      </w:r>
      <w:r>
        <w:t xml:space="preserve">, no de vulnerabilidades explotadas o incidentes reales, porque no se ejecutaron pruebas de seguridad ni explotación.</w:t>
      </w:r>
    </w:p>
    <w:bookmarkEnd w:id="20"/>
    <w:bookmarkStart w:id="21" w:name="registro-de-acciones"/>
    <w:p>
      <w:pPr>
        <w:pStyle w:val="Heading2"/>
      </w:pPr>
      <w:r>
        <w:t xml:space="preserve">2. Registro de acciones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Hallazgo/riesgo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 Docs identificaba Supabase como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stack actual 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descripción y validarla contra csproj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 vacíos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Reemplazarlos por contenido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formatos y todos los tamaños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de CORS a rangos de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Restricción por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Backend/DevOps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AllowedOrigins productivos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orígenes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Migración automática en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estrategia de liberación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Backend/DBA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migration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con cuerpo en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Minimización y redacción de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PaymentController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datos sensibles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por roles/objetos sin batería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negativas intersede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Diseñar permisos sobre ID de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denegación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Wompi sin evidencia de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Ensayar firma, duplicados y 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Backend/QA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idempotencia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multi-proveedor no demostrada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motor y certificar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motor seleccionado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 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 web/móvil de plantilla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Personalizar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navegación y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actualizado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repositorio visible de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CI 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QA/DevOps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suites +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verificado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sin respaldo auditado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Backup/restore programado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Ensayo desechable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Restauración aprobada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usabilidad ausentes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éticas voluntarias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con consentimiento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reproducibles</w:t>
            </w:r>
          </w:p>
        </w:tc>
      </w:tr>
    </w:tbl>
    <w:bookmarkEnd w:id="21"/>
    <w:bookmarkStart w:id="22" w:name="priorización-y-seguimiento"/>
    <w:p>
      <w:pPr>
        <w:pStyle w:val="Heading2"/>
      </w:pPr>
      <w:r>
        <w:t xml:space="preserve">3. Priorización y seguimiento</w:t>
      </w:r>
    </w:p>
    <w:p>
      <w:pPr>
        <w:pStyle w:val="FirstParagraph"/>
      </w:pPr>
      <w:r>
        <w:t xml:space="preserve">Prioridad crítica: riesgos de doble cobro, autorización indebida y pérdida de integridad. Alta: configuración de producción y trazabilidad documental. Media: mejoras de UX y manuales. Cada hallazgo deberá asignarse, estimarse, revisarse en PR y cerrarse con una prueba. Las áreas asignadas son roles sugeridos, no personas designadas.</w:t>
      </w:r>
    </w:p>
    <w:bookmarkEnd w:id="22"/>
    <w:bookmarkStart w:id="23" w:name="lecciones-y-prevención"/>
    <w:p>
      <w:pPr>
        <w:pStyle w:val="Heading2"/>
      </w:pPr>
      <w:r>
        <w:t xml:space="preserve">4. Lecciones y prevención</w:t>
      </w:r>
    </w:p>
    <w:p>
      <w:pPr>
        <w:pStyle w:val="FirstParagraph"/>
      </w:pPr>
      <w:r>
        <w:t xml:space="preserve">Documentar decisiones arquitectónicas por SHA; automatizar validación del inventario de rutas; usar un único catálogo de API exportado de Swagger; integrar tests de regresión para pagos y roles; mantener manuales sincronizados con cada release; revisar cambios de esquema por proveedor antes de publicar.</w:t>
      </w:r>
    </w:p>
    <w:bookmarkEnd w:id="23"/>
    <w:bookmarkStart w:id="24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24"/>
    <w:bookmarkEnd w:id="25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2026-10-15T00:06:33Z</dcterms:created>
  <dcterms:modified xsi:type="dcterms:W3CDTF">2026-10-15T00:06:33Z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