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5beec15f0800803303bc2a844ceeec87783fcb2"/>
    <w:p>
      <w:pPr>
        <w:pStyle w:val="Heading1"/>
      </w:pPr>
      <w:r>
        <w:t xml:space="preserve">Auditoría del expediente y pendientes para entrega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documentos-incluidos"/>
    <w:p>
      <w:pPr>
        <w:pStyle w:val="Heading2"/>
      </w:pPr>
      <w:r>
        <w:t xml:space="preserve">1. Documentos incluidos</w:t>
      </w:r>
    </w:p>
    <w:p>
      <w:pPr>
        <w:pStyle w:val="FirstParagraph"/>
      </w:pPr>
      <w:r>
        <w:t xml:space="preserve">Se documentaron todos los formatos vacíos del repositorio de destino, creando versiones Word/PDF/Markdown y anexos de ingeniería. Los cuatro PDFs académicos anteriores del repositorio deben</w:t>
      </w:r>
      <w:r>
        <w:t xml:space="preserve"> </w:t>
      </w:r>
      <w:r>
        <w:rPr>
          <w:b/>
          <w:bCs/>
        </w:rPr>
        <w:t xml:space="preserve">conservarse sin borrar</w:t>
      </w:r>
      <w:r>
        <w:t xml:space="preserve">; el paquete de actualización no los incluye porque el trabajo complementa la historia documental.</w:t>
      </w:r>
    </w:p>
    <w:bookmarkEnd w:id="20"/>
    <w:bookmarkStart w:id="21" w:name="qué-está-sustentado"/>
    <w:p>
      <w:pPr>
        <w:pStyle w:val="Heading2"/>
      </w:pPr>
      <w:r>
        <w:t xml:space="preserve">2. Qué está sustentado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Hallazgo verificable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 inspeccionado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de la afirmación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ASP.NET Core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SaborExpressBack/SaborExpress.csproj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TargetFramework net8.0; no prueba de despliegue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JWT, Swagger, SignalR y servicios en segundo plano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SaborExpressBack/Program.cs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componentes; no certifica seguridad operativa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Persistencia EF Core y migraciones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SaborExpressBack/Data/AppDbContext.cs.cs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y arranque con MigrateAsync; debe probarse por motor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Proveedores MySQL, PostgreSQL y SQL Server seleccionables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SaborExpressBack/Configuration/DatabaseConfiguration.cs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programado; compatibilidad real por motor no validada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 y recuperación de cuentas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SaborExpressBack/Controllers/AuthController.cs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HTTP presentes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Creación, consulta, modificación y cancelación de pedidos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SaborExpressBack/Controllers/OrdersController.cs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presentes; flujos sin test ejecutado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Wompi: inicio, QR, webhook y sincronización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SaborExpressBack/Controllers/PaymentsController.cs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Controlador presente; pagos reales no verificados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y calificación de repartos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SaborExpressBack/Controllers/DeliveriesController.cs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presentes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Productos públicos, gestión y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SaborExpressBack/Controllers/ProductsController.cs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Acciones presentes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Next.js 16.2.6 y React 19.2.4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SaborExpressWeb/package.json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Versiones declaradas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Rutas web de pedidos, empleados, sedes y reportes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SaborExpressWeb/src/app/.../page.tsx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Archivos de página identificados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 57, React Native 0.86.3 y SignalR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SaborExpressMovil/package.json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Dependencias declaradas</w:t>
            </w:r>
          </w:p>
        </w:tc>
      </w:tr>
    </w:tbl>
    <w:bookmarkEnd w:id="21"/>
    <w:bookmarkStart w:id="22" w:name="Xc1bcd2ae5e71c576ef43e854268624675799bd4"/>
    <w:p>
      <w:pPr>
        <w:pStyle w:val="Heading2"/>
      </w:pPr>
      <w:r>
        <w:t xml:space="preserve">3. Lo que sigue pendiente y no debe afirmarse como completado</w:t>
      </w:r>
    </w:p>
    <w:p>
      <w:pPr>
        <w:pStyle w:val="Compact"/>
        <w:numPr>
          <w:ilvl w:val="0"/>
          <w:numId w:val="1001"/>
        </w:numPr>
      </w:pPr>
      <w:r>
        <w:t xml:space="preserve">Autores, filiación, ficha, instructor, fechas de aceptación y firmas institucionales: no proporcionados.</w:t>
      </w:r>
    </w:p>
    <w:p>
      <w:pPr>
        <w:pStyle w:val="Compact"/>
        <w:numPr>
          <w:ilvl w:val="0"/>
          <w:numId w:val="1001"/>
        </w:numPr>
      </w:pPr>
      <w:r>
        <w:t xml:space="preserve">Ejecución de</w:t>
      </w:r>
      <w:r>
        <w:t xml:space="preserve"> </w:t>
      </w:r>
      <w:r>
        <w:rPr>
          <w:rStyle w:val="VerbatimChar"/>
        </w:rPr>
        <w:t xml:space="preserve">dotnet build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, E2E, pruebas de pago y pruebas en dispositivos: no realizada en esta entrega.</w:t>
      </w:r>
    </w:p>
    <w:p>
      <w:pPr>
        <w:pStyle w:val="Compact"/>
        <w:numPr>
          <w:ilvl w:val="0"/>
          <w:numId w:val="1001"/>
        </w:numPr>
      </w:pPr>
      <w:r>
        <w:t xml:space="preserve">Evidencia real de capturas del sistema, métricas p95, cobertura de tests, evaluaciones de usuario: no aportada.</w:t>
      </w:r>
    </w:p>
    <w:p>
      <w:pPr>
        <w:pStyle w:val="Compact"/>
        <w:numPr>
          <w:ilvl w:val="0"/>
          <w:numId w:val="1001"/>
        </w:numPr>
      </w:pPr>
      <w:r>
        <w:t xml:space="preserve">DDL físico y nombres de tablas/índices del motor de producción: se requiere exportación desde EF o BD.</w:t>
      </w:r>
    </w:p>
    <w:p>
      <w:pPr>
        <w:pStyle w:val="Compact"/>
        <w:numPr>
          <w:ilvl w:val="0"/>
          <w:numId w:val="1001"/>
        </w:numPr>
      </w:pPr>
      <w:r>
        <w:t xml:space="preserve">Dependencias de infraestructura de producción: dominio, SSL, servidor, backups, costos y SLA son decisiones no cerradas.</w:t>
      </w:r>
    </w:p>
    <w:p>
      <w:pPr>
        <w:pStyle w:val="Compact"/>
        <w:numPr>
          <w:ilvl w:val="0"/>
          <w:numId w:val="1001"/>
        </w:numPr>
      </w:pPr>
      <w:r>
        <w:t xml:space="preserve">Compatibilidad verificada de tres motores de BD: implementación seleccionable, sin pruebas por motor.</w:t>
      </w:r>
    </w:p>
    <w:p>
      <w:pPr>
        <w:pStyle w:val="Compact"/>
        <w:numPr>
          <w:ilvl w:val="0"/>
          <w:numId w:val="1001"/>
        </w:numPr>
      </w:pPr>
      <w:r>
        <w:t xml:space="preserve">Autoría del artículo y revisión editorial: pendiente de confirmación de equipo/instructor.</w:t>
      </w:r>
    </w:p>
    <w:bookmarkEnd w:id="22"/>
    <w:bookmarkStart w:id="23" w:name="calidad-del-material-para-subir-a-git"/>
    <w:p>
      <w:pPr>
        <w:pStyle w:val="Heading2"/>
      </w:pPr>
      <w:r>
        <w:t xml:space="preserve">4. Calidad del material para subir a Git</w:t>
      </w:r>
    </w:p>
    <w:p>
      <w:pPr>
        <w:pStyle w:val="FirstParagraph"/>
      </w:pPr>
      <w:r>
        <w:t xml:space="preserve">Se deben preservar los archivos PDF previos</w:t>
      </w:r>
      <w:r>
        <w:t xml:space="preserve"> </w:t>
      </w:r>
      <w:r>
        <w:rPr>
          <w:rStyle w:val="VerbatimChar"/>
        </w:rPr>
        <w:t xml:space="preserve">SENA_*</w:t>
      </w:r>
      <w:r>
        <w:t xml:space="preserve"> </w:t>
      </w:r>
      <w:r>
        <w:t xml:space="preserve">y la guía limpia anterior para evitar eliminación accidental. Para documentar una revisión, abrir los PDFs y DOCX antes del commit y confirmar que todos los archivos tienen tamaño no nulo. Las carpetas</w:t>
      </w:r>
      <w:r>
        <w:t xml:space="preserve"> </w:t>
      </w:r>
      <w:r>
        <w:rPr>
          <w:rStyle w:val="VerbatimChar"/>
        </w:rPr>
        <w:t xml:space="preserve">docs-SaborExpress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11-research</w:t>
      </w:r>
      <w:r>
        <w:t xml:space="preserve"> </w:t>
      </w:r>
      <w:r>
        <w:t xml:space="preserve">añaden documentación en estilo semejante a SRD; no se modifican repositorios de código.</w:t>
      </w:r>
    </w:p>
    <w:bookmarkEnd w:id="23"/>
    <w:bookmarkStart w:id="24" w:name="fuentes-primarias-de-implementación"/>
    <w:p>
      <w:pPr>
        <w:pStyle w:val="Heading2"/>
      </w:pPr>
      <w:r>
        <w:t xml:space="preserve">Fuentes primarias de implementación</w:t>
      </w:r>
    </w:p>
    <w:p>
      <w:pPr>
        <w:pStyle w:val="Compact"/>
        <w:numPr>
          <w:ilvl w:val="0"/>
          <w:numId w:val="1002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2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2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2"/>
        </w:numPr>
      </w:pPr>
      <w:r>
        <w:t xml:space="preserve">Referencia de presentación: https://github.com/jsgh1/SRD-v1/tree/dev/docs/docs-SRD</w:t>
      </w:r>
    </w:p>
    <w:p>
      <w:pPr>
        <w:pStyle w:val="FirstParagraph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24"/>
    <w:bookmarkEnd w:id="25"/>
    <w:sectPr w:rsidR="00FC693F" w:rsidRPr="0006063C" w:rsidSect="00034616">
      <w:footerReference r:id="rId9" w:type="default"/>
      <w:pgSz w:h="15840" w:w="12240"/>
      <w:pgMar w:bottom="1123" w:footer="720" w:gutter="0" w:header="720" w:left="1267" w:right="1267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SaborExpress  |  Expediente académico de revisión  |  14 de octubre de 2026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ptos" w:hAnsi="Aptos"/>
      <w:color w:val="23303C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4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54566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45678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4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2D5A73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rPr>
      <w:rFonts w:ascii="Aptos" w:hAnsi="Apto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00" w:before="24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63A5A"/>
      <w:spacing w:val="5"/>
      <w:kern w:val="28"/>
      <w:sz w:val="4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2026-10-15T00:06:45Z</dcterms:created>
  <dcterms:modified xsi:type="dcterms:W3CDTF">2026-10-15T00:06:45Z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