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análisis-del-software-saborexpress"/>
    <w:p>
      <w:pPr>
        <w:pStyle w:val="Heading1"/>
      </w:pPr>
      <w:r>
        <w:t xml:space="preserve">Análisis del software SaborExpress</w:t>
      </w:r>
    </w:p>
    <w:p>
      <w:pPr>
        <w:pStyle w:val="FirstParagraph"/>
      </w:pPr>
      <w:r>
        <w:rPr>
          <w:b/>
          <w:bCs/>
        </w:rPr>
        <w:t xml:space="preserve">Proyecto:</w:t>
      </w:r>
      <w:r>
        <w:t xml:space="preserve"> </w:t>
      </w:r>
      <w:r>
        <w:t xml:space="preserve">SaborExpress |</w:t>
      </w:r>
      <w:r>
        <w:t xml:space="preserve"> </w:t>
      </w:r>
      <w:r>
        <w:rPr>
          <w:b/>
          <w:bCs/>
        </w:rPr>
        <w:t xml:space="preserve">Fecha de corte:</w:t>
      </w:r>
      <w:r>
        <w:t xml:space="preserve"> </w:t>
      </w:r>
      <w:r>
        <w:t xml:space="preserve">14 de octubre de 2026 |</w:t>
      </w:r>
      <w:r>
        <w:t xml:space="preserve"> </w:t>
      </w:r>
      <w:r>
        <w:rPr>
          <w:b/>
          <w:bCs/>
        </w:rPr>
        <w:t xml:space="preserve">Versión:</w:t>
      </w:r>
      <w:r>
        <w:t xml:space="preserve"> </w:t>
      </w:r>
      <w:r>
        <w:t xml:space="preserve">2.0 |</w:t>
      </w:r>
      <w:r>
        <w:t xml:space="preserve"> </w:t>
      </w:r>
      <w:r>
        <w:rPr>
          <w:b/>
          <w:bCs/>
        </w:rPr>
        <w:t xml:space="preserve">Tipo:</w:t>
      </w:r>
      <w:r>
        <w:t xml:space="preserve"> </w:t>
      </w:r>
      <w:r>
        <w:t xml:space="preserve">Documento técnico y académico</w:t>
      </w:r>
    </w:p>
    <w:p>
      <w:pPr>
        <w:pStyle w:val="BodyText"/>
      </w:pPr>
      <w:r>
        <w:rPr>
          <w:b/>
          <w:bCs/>
        </w:rPr>
        <w:t xml:space="preserve">Estado de la evidencia:</w:t>
      </w:r>
      <w:r>
        <w:t xml:space="preserve"> </w:t>
      </w:r>
      <w:r>
        <w:t xml:space="preserve">inspección documental y estática del código. Las pruebas de ejecución y los datos institucionales no aportados no se presumen realizados.</w:t>
      </w:r>
    </w:p>
    <w:bookmarkStart w:id="20" w:name="problema-de-negocio"/>
    <w:p>
      <w:pPr>
        <w:pStyle w:val="Heading2"/>
      </w:pPr>
      <w:r>
        <w:t xml:space="preserve">1. Problema de negocio</w:t>
      </w:r>
    </w:p>
    <w:p>
      <w:pPr>
        <w:pStyle w:val="FirstParagraph"/>
      </w:pPr>
      <w:r>
        <w:t xml:space="preserve">Una operación gastronómica combina catálogo, atención de mesa, cocina, caja, despachos y reparto. Cuando estos procesos usan registros aislados, se incrementa el riesgo de confusión de estados, transcripciones manuales y baja trazabilidad. La solución analizada centraliza contratos y datos de pedidos a través de una API; esto es una justificación de diseño, no una medición real de reducción de errores.</w:t>
      </w:r>
    </w:p>
    <w:bookmarkEnd w:id="20"/>
    <w:bookmarkStart w:id="21" w:name="interesados-y-responsabilidades"/>
    <w:p>
      <w:pPr>
        <w:pStyle w:val="Heading2"/>
      </w:pPr>
      <w:r>
        <w:t xml:space="preserve">2. Interesados y responsabilidades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Interesado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Necesidad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Acciones principales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Comprar y dar seguimiento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Catálogo, pedido, pago, cancelación, calificación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Cajero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Consolidar transacciones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Pedido, cobro, cierre de turno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Cocina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Atender órdenes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Tablero, cambios de estado por plato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Coordinar sede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Personal, productos, horarios, caja, entregas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Repartidor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Gestionar domicilio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Órdenes asignadas, estatus, 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Supervisar 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Sedes, reportes, permisos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Operar y mantener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API, migraciones, logs, incidentes</w:t>
            </w:r>
          </w:p>
        </w:tc>
      </w:tr>
    </w:tbl>
    <w:bookmarkEnd w:id="21"/>
    <w:bookmarkStart w:id="27" w:name="casos-de-uso-principales"/>
    <w:p>
      <w:pPr>
        <w:pStyle w:val="Heading2"/>
      </w:pPr>
      <w:r>
        <w:t xml:space="preserve">3. Casos de uso principales</w:t>
      </w:r>
    </w:p>
    <w:bookmarkStart w:id="22" w:name="cu-01.-inicio-de-sesión"/>
    <w:p>
      <w:pPr>
        <w:pStyle w:val="Heading3"/>
      </w:pPr>
      <w:r>
        <w:t xml:space="preserve">CU-01. Inicio de sesión</w:t>
      </w:r>
    </w:p>
    <w:p>
      <w:pPr>
        <w:pStyle w:val="FirstParagraph"/>
      </w:pPr>
      <w:r>
        <w:t xml:space="preserve">Precondición: usuario registrado. Flujo: introducir credenciales → enviar</w:t>
      </w:r>
      <w:r>
        <w:t xml:space="preserve"> </w:t>
      </w:r>
      <w:r>
        <w:rPr>
          <w:rStyle w:val="VerbatimChar"/>
        </w:rPr>
        <w:t xml:space="preserve">POST /api/Auth/login</w:t>
      </w:r>
      <w:r>
        <w:t xml:space="preserve"> </w:t>
      </w:r>
      <w:r>
        <w:t xml:space="preserve">→ recibir respuesta o error controlado → habilitar rutas conforme a roles. Excepciones: cuenta no activada, correo sin confirmar, intentos fallidos, token inválido. Postcondición: sesión autenticada según el contrato de la API.</w:t>
      </w:r>
    </w:p>
    <w:bookmarkEnd w:id="22"/>
    <w:bookmarkStart w:id="23" w:name="cu-02.-gestión-del-catálogo"/>
    <w:p>
      <w:pPr>
        <w:pStyle w:val="Heading3"/>
      </w:pPr>
      <w:r>
        <w:t xml:space="preserve">CU-02. Gestión del catálogo</w:t>
      </w:r>
    </w:p>
    <w:p>
      <w:pPr>
        <w:pStyle w:val="FirstParagraph"/>
      </w:pPr>
      <w:r>
        <w:t xml:space="preserve">Precondición: sede o catálogo disponible. Flujo:</w:t>
      </w:r>
      <w:r>
        <w:t xml:space="preserve"> </w:t>
      </w:r>
      <w:r>
        <w:rPr>
          <w:rStyle w:val="VerbatimChar"/>
        </w:rPr>
        <w:t xml:space="preserve">GET /api/Products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branchId</w:t>
      </w:r>
      <w:r>
        <w:t xml:space="preserve"> </w:t>
      </w:r>
      <w:r>
        <w:t xml:space="preserve">opcional, elegir productos, consultar categorías. Actor administrador puede crear, modificar o inhabilitar productos bajo permisos específicos. Excepciones: producto inexistente, sede inactiva, error de imagen.</w:t>
      </w:r>
    </w:p>
    <w:bookmarkEnd w:id="23"/>
    <w:bookmarkStart w:id="24" w:name="cu-03.-pedido-y-cocina"/>
    <w:p>
      <w:pPr>
        <w:pStyle w:val="Heading3"/>
      </w:pPr>
      <w:r>
        <w:t xml:space="preserve">CU-03. Pedido y cocina</w:t>
      </w:r>
    </w:p>
    <w:p>
      <w:pPr>
        <w:pStyle w:val="FirstParagraph"/>
      </w:pPr>
      <w:r>
        <w:t xml:space="preserve">El usuario selecciona detalles, cantidades y tipo (comer en sitio, para llevar o domicilio). Se envía</w:t>
      </w:r>
      <w:r>
        <w:t xml:space="preserve"> </w:t>
      </w:r>
      <w:r>
        <w:rPr>
          <w:rStyle w:val="VerbatimChar"/>
        </w:rPr>
        <w:t xml:space="preserve">POST /api/Orders</w:t>
      </w:r>
      <w:r>
        <w:t xml:space="preserve">; el personal consulta vistas filtradas y actualiza estado mediante PATCH. El tablero de cocina atiende etapas operativas; se deben demostrar las transiciones válidas en pruebas futuras.</w:t>
      </w:r>
    </w:p>
    <w:bookmarkEnd w:id="24"/>
    <w:bookmarkStart w:id="25" w:name="cu-04.-cobro-por-pasarela"/>
    <w:p>
      <w:pPr>
        <w:pStyle w:val="Heading3"/>
      </w:pPr>
      <w:r>
        <w:t xml:space="preserve">CU-04. Cobro por pasarela</w:t>
      </w:r>
    </w:p>
    <w:p>
      <w:pPr>
        <w:pStyle w:val="FirstParagraph"/>
      </w:pPr>
      <w:r>
        <w:t xml:space="preserve">Se inicia la transacción con Wompi; el backend genera una referencia y expone un webhook para confirmación de eventos externos. La sincronización por ID funciona como alternativa de consulta. Riesgos: firmas erróneas, eventos duplicados, carrera entre confirmación y cancelación, latencia del proveedor.</w:t>
      </w:r>
    </w:p>
    <w:bookmarkEnd w:id="25"/>
    <w:bookmarkStart w:id="26" w:name="cu-05.-domicilio-y-entrega"/>
    <w:p>
      <w:pPr>
        <w:pStyle w:val="Heading3"/>
      </w:pPr>
      <w:r>
        <w:t xml:space="preserve">CU-05. Domicilio y entrega</w:t>
      </w:r>
    </w:p>
    <w:p>
      <w:pPr>
        <w:pStyle w:val="FirstParagraph"/>
      </w:pPr>
      <w:r>
        <w:t xml:space="preserve">Gerente o administrador asigna entrega; repartidor consulta sus órdenes, actualiza estados, cliente califica. Se deben validar reglas de privacidad y segregación por sede.</w:t>
      </w:r>
    </w:p>
    <w:bookmarkEnd w:id="26"/>
    <w:bookmarkEnd w:id="27"/>
    <w:bookmarkStart w:id="28" w:name="flujos-de-información"/>
    <w:p>
      <w:pPr>
        <w:pStyle w:val="Heading2"/>
      </w:pPr>
      <w:r>
        <w:t xml:space="preserve">4. Flujos de información</w:t>
      </w:r>
    </w:p>
    <w:p>
      <w:pPr>
        <w:pStyle w:val="FirstParagraph"/>
      </w:pPr>
      <w:r>
        <w:rPr>
          <w:rStyle w:val="VerbatimChar"/>
        </w:rPr>
        <w:t xml:space="preserve">Interfaz → servicio de cliente → HTTP/JWT → controlador → servicio de dominio → repositorio/EF → BD</w:t>
      </w:r>
      <w:r>
        <w:t xml:space="preserve">. Para notificaciones:</w:t>
      </w:r>
      <w:r>
        <w:t xml:space="preserve"> </w:t>
      </w:r>
      <w:r>
        <w:rPr>
          <w:rStyle w:val="VerbatimChar"/>
        </w:rPr>
        <w:t xml:space="preserve">evento de negocio → notificación → hub SignalR → cliente suscrito</w:t>
      </w:r>
      <w:r>
        <w:t xml:space="preserve">; el código del Hub prueba su existencia, no la garantía de entrega.</w:t>
      </w:r>
    </w:p>
    <w:bookmarkEnd w:id="28"/>
    <w:bookmarkStart w:id="29" w:name="escenarios-excepcionales-y-riesgos"/>
    <w:p>
      <w:pPr>
        <w:pStyle w:val="Heading2"/>
      </w:pPr>
      <w:r>
        <w:t xml:space="preserve">5. Escenarios excepcionales y riesgos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Comportamiento esperado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expirado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401 y renovación guiada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caducado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 a otra sede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403 sin filtrar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 cruzada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Webhook repetido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duplicar pago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Repetición mismo evento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Falla de base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Respuesta controlada +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Interrupción de 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Pérdida de SignalR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Reintento o estado reconciliado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Reconexión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Dirección inválida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Validación sin pedido inconsistente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Caso domicilio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de cocina incompatible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Rechazo de transición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Secuencia inválida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Pago rechazado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Pedido no aparece abonado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Sandbox Wompi</w:t>
            </w:r>
          </w:p>
        </w:tc>
      </w:tr>
    </w:tbl>
    <w:bookmarkEnd w:id="29"/>
    <w:bookmarkStart w:id="30" w:name="análisis-de-viabilidad"/>
    <w:p>
      <w:pPr>
        <w:pStyle w:val="Heading2"/>
      </w:pPr>
      <w:r>
        <w:t xml:space="preserve">6. Análisis de viabilidad</w:t>
      </w:r>
    </w:p>
    <w:p>
      <w:pPr>
        <w:pStyle w:val="FirstParagraph"/>
      </w:pPr>
      <w:r>
        <w:rPr>
          <w:b/>
          <w:bCs/>
        </w:rPr>
        <w:t xml:space="preserve">Técnica:</w:t>
      </w:r>
      <w:r>
        <w:t xml:space="preserve"> </w:t>
      </w:r>
      <w:r>
        <w:t xml:space="preserve">el stack identificado dispone de bibliotecas y convenciones para la integración.</w:t>
      </w:r>
      <w:r>
        <w:t xml:space="preserve"> </w:t>
      </w:r>
      <w:r>
        <w:rPr>
          <w:b/>
          <w:bCs/>
        </w:rPr>
        <w:t xml:space="preserve">Operativa:</w:t>
      </w:r>
      <w:r>
        <w:t xml:space="preserve"> </w:t>
      </w:r>
      <w:r>
        <w:t xml:space="preserve">requiere roles, política de turnos y manuales por actor.</w:t>
      </w:r>
      <w:r>
        <w:t xml:space="preserve"> </w:t>
      </w:r>
      <w:r>
        <w:rPr>
          <w:b/>
          <w:bCs/>
        </w:rPr>
        <w:t xml:space="preserve">Financiera:</w:t>
      </w:r>
      <w:r>
        <w:t xml:space="preserve"> </w:t>
      </w:r>
      <w:r>
        <w:t xml:space="preserve">no hay datos reales de costos operativos, por lo que no se presenta ROI; se incluye una matriz de rubros a cotizar.</w:t>
      </w:r>
      <w:r>
        <w:t xml:space="preserve"> </w:t>
      </w:r>
      <w:r>
        <w:rPr>
          <w:b/>
          <w:bCs/>
        </w:rPr>
        <w:t xml:space="preserve">Jurídica y de privacidad:</w:t>
      </w:r>
      <w:r>
        <w:t xml:space="preserve"> </w:t>
      </w:r>
      <w:r>
        <w:t xml:space="preserve">se requiere política de tratamiento de datos, términos y controles de seguridad para operación real.</w:t>
      </w:r>
    </w:p>
    <w:bookmarkEnd w:id="30"/>
    <w:bookmarkStart w:id="31" w:name="hallazgos-y-decisiones-abiertas"/>
    <w:p>
      <w:pPr>
        <w:pStyle w:val="Heading2"/>
      </w:pPr>
      <w:r>
        <w:t xml:space="preserve">7. Hallazgos y decisiones abiertas</w:t>
      </w:r>
    </w:p>
    <w:p>
      <w:pPr>
        <w:pStyle w:val="FirstParagraph"/>
      </w:pPr>
      <w:r>
        <w:t xml:space="preserve">Los controladores contienen numerosas operaciones, pero el repositorio no demuestra por sí solo la cobertura de tests, permisos en profundidad ni consistencia multi-proveedor de las migraciones. El archivo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del repositorio documental describía Supabase como backend principal, contradiciendo el proyecto .NET inspeccionado; esta versión lo corrige.</w:t>
      </w:r>
    </w:p>
    <w:bookmarkEnd w:id="31"/>
    <w:bookmarkStart w:id="32" w:name="fuentes-primarias-de-implementación"/>
    <w:p>
      <w:pPr>
        <w:pStyle w:val="Heading2"/>
      </w:pPr>
      <w:r>
        <w:t xml:space="preserve">Fuentes primarias de implementación</w:t>
      </w:r>
    </w:p>
    <w:p>
      <w:pPr>
        <w:pStyle w:val="Compact"/>
        <w:numPr>
          <w:ilvl w:val="0"/>
          <w:numId w:val="1001"/>
        </w:numPr>
      </w:pPr>
      <w:r>
        <w:t xml:space="preserve">API: https://github.com/yersonct/SaborExpressBack/tree/main</w:t>
      </w:r>
    </w:p>
    <w:p>
      <w:pPr>
        <w:pStyle w:val="Compact"/>
        <w:numPr>
          <w:ilvl w:val="0"/>
          <w:numId w:val="1001"/>
        </w:numPr>
      </w:pPr>
      <w:r>
        <w:t xml:space="preserve">Web: https://github.com/yersonct/SaborExpressWeb/tree/main</w:t>
      </w:r>
    </w:p>
    <w:p>
      <w:pPr>
        <w:pStyle w:val="Compact"/>
        <w:numPr>
          <w:ilvl w:val="0"/>
          <w:numId w:val="1001"/>
        </w:numPr>
      </w:pPr>
      <w:r>
        <w:t xml:space="preserve">Móvil: https://github.com/yersonct/SaborExpressMovil/tree/main</w:t>
      </w:r>
    </w:p>
    <w:p>
      <w:pPr>
        <w:pStyle w:val="Compact"/>
        <w:numPr>
          <w:ilvl w:val="0"/>
          <w:numId w:val="1001"/>
        </w:numPr>
      </w:pPr>
      <w:r>
        <w:t xml:space="preserve">Referencia de presentación: https://github.com/jsgh1/SRD-v1/tree/dev/docs/docs-SRD</w:t>
      </w:r>
    </w:p>
    <w:p>
      <w:pPr>
        <w:pStyle w:val="FirstParagraph"/>
      </w:pPr>
      <w:r>
        <w:rPr>
          <w:b/>
          <w:bCs/>
        </w:rPr>
        <w:t xml:space="preserve">Control documental:</w:t>
      </w:r>
      <w:r>
        <w:t xml:space="preserve"> </w:t>
      </w:r>
      <w:r>
        <w:t xml:space="preserve">documento elaborado a partir del estado observado en octubre de 2026. Antes de entregar, verificar el commit exacto, responsable, revisión del instructor y cualquier cambio posterior del código.</w:t>
      </w:r>
    </w:p>
    <w:bookmarkEnd w:id="32"/>
    <w:bookmarkEnd w:id="33"/>
    <w:sectPr w:rsidR="00FC693F" w:rsidRPr="0006063C" w:rsidSect="00034616">
      <w:footerReference r:id="rId9" w:type="default"/>
      <w:pgSz w:h="15840" w:w="12240"/>
      <w:pgMar w:bottom="1123" w:footer="720" w:gutter="0" w:header="720" w:left="1267" w:right="1267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SaborExpress  |  Expediente académico de revisión  |  14 de octubre de 2026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20"/>
    </w:pPr>
    <w:rPr>
      <w:rFonts w:ascii="Aptos" w:hAnsi="Aptos"/>
      <w:color w:val="23303C"/>
      <w:sz w:val="20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240"/>
      <w:outlineLvl w:val="0"/>
    </w:pPr>
    <w:rPr>
      <w:rFonts w:ascii="Aptos Display" w:asciiTheme="majorHAnsi" w:cstheme="majorBidi" w:eastAsiaTheme="majorEastAsia" w:hAnsi="Aptos Display" w:hAnsiTheme="majorHAnsi"/>
      <w:b/>
      <w:bCs/>
      <w:color w:val="154566"/>
      <w:sz w:val="3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240"/>
      <w:outlineLvl w:val="1"/>
    </w:pPr>
    <w:rPr>
      <w:rFonts w:ascii="Aptos Display" w:asciiTheme="majorHAnsi" w:cstheme="majorBidi" w:eastAsiaTheme="majorEastAsia" w:hAnsi="Aptos Display" w:hAnsiTheme="majorHAnsi"/>
      <w:b/>
      <w:bCs/>
      <w:color w:val="245678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40"/>
      <w:outlineLvl w:val="2"/>
    </w:pPr>
    <w:rPr>
      <w:rFonts w:ascii="Aptos Display" w:asciiTheme="majorHAnsi" w:cstheme="majorBidi" w:eastAsiaTheme="majorEastAsia" w:hAnsi="Aptos Display" w:hAnsiTheme="majorHAnsi"/>
      <w:b/>
      <w:bCs/>
      <w:color w:val="2D5A73"/>
      <w:sz w:val="21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rPr>
      <w:rFonts w:ascii="Aptos" w:hAnsi="Aptos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100" w:before="240" w:line="240" w:lineRule="auto"/>
      <w:contextualSpacing/>
    </w:pPr>
    <w:rPr>
      <w:rFonts w:ascii="Aptos Display" w:asciiTheme="majorHAnsi" w:cstheme="majorBidi" w:eastAsiaTheme="majorEastAsia" w:hAnsi="Aptos Display" w:hAnsiTheme="majorHAnsi"/>
      <w:b/>
      <w:color w:val="163A5A"/>
      <w:spacing w:val="5"/>
      <w:kern w:val="28"/>
      <w:sz w:val="4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rPr>
      <w:rFonts w:ascii="Aptos" w:hAnsi="Aptos"/>
    </w:r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2026-10-15T00:06:32Z</dcterms:created>
  <dcterms:modified xsi:type="dcterms:W3CDTF">2026-10-15T00:06:32Z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