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manual-de-instalación-y-configuración"/>
    <w:p>
      <w:pPr>
        <w:pStyle w:val="Heading1"/>
      </w:pPr>
      <w:r>
        <w:t xml:space="preserve">Manual de instalación y configuración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SaborExpress |</w:t>
      </w:r>
      <w:r>
        <w:t xml:space="preserve"> </w:t>
      </w:r>
      <w:r>
        <w:rPr>
          <w:b/>
          <w:bCs/>
        </w:rPr>
        <w:t xml:space="preserve">Fecha de corte:</w:t>
      </w:r>
      <w:r>
        <w:t xml:space="preserve"> </w:t>
      </w:r>
      <w:r>
        <w:t xml:space="preserve">14 de octubre de 2026 |</w:t>
      </w:r>
      <w:r>
        <w:t xml:space="preserve"> </w:t>
      </w:r>
      <w:r>
        <w:rPr>
          <w:b/>
          <w:bCs/>
        </w:rPr>
        <w:t xml:space="preserve">Versión: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Tipo:</w:t>
      </w:r>
      <w:r>
        <w:t xml:space="preserve"> </w:t>
      </w:r>
      <w:r>
        <w:t xml:space="preserve">Documento técnico y académico</w:t>
      </w:r>
    </w:p>
    <w:p>
      <w:pPr>
        <w:pStyle w:val="BodyText"/>
      </w:pPr>
      <w:r>
        <w:rPr>
          <w:b/>
          <w:bCs/>
        </w:rPr>
        <w:t xml:space="preserve">Estado de la evidencia:</w:t>
      </w:r>
      <w:r>
        <w:t xml:space="preserve"> </w:t>
      </w:r>
      <w:r>
        <w:t xml:space="preserve">inspección documental y estática del código. Las pruebas de ejecución y los datos institucionales no aportados no se presumen realizados.</w:t>
      </w:r>
    </w:p>
    <w:bookmarkStart w:id="20" w:name="X6a6c0d8336e7ce9fef2baaa04ee2e7baf23c263"/>
    <w:p>
      <w:pPr>
        <w:pStyle w:val="Heading2"/>
      </w:pPr>
      <w:r>
        <w:t xml:space="preserve">1. Requisitos mínimos de entorno de desarrollo</w:t>
      </w:r>
    </w:p>
    <w:p>
      <w:pPr>
        <w:pStyle w:val="FirstParagraph"/>
      </w:pPr>
      <w:r>
        <w:t xml:space="preserve">Windows, macOS o Linux compatible, Git, .NET SDK 8, Node.js LTS compatible con Next.js 16 y Expo 57, npm, acceso a un gestor relacional soportado por la configuración .NET y una cuenta de pruebas para las integraciones externas. La capacidad de RAM/CPU y versiones exactas de emuladores se deben ajustar y medir según hardware real; no se promete un mínimo productivo universal.</w:t>
      </w:r>
    </w:p>
    <w:bookmarkEnd w:id="20"/>
    <w:bookmarkStart w:id="21" w:name="descarga-y-ramas"/>
    <w:p>
      <w:pPr>
        <w:pStyle w:val="Heading2"/>
      </w:pPr>
      <w:r>
        <w:t xml:space="preserve">2. Descarga y ramas</w:t>
      </w:r>
    </w:p>
    <w:p>
      <w:pPr>
        <w:pStyle w:val="SourceCode"/>
      </w:pP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\Dev\SaborExpress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\Dev\SaborExpress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SaborExpressBack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back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SaborExpressWeb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web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SaborExpressMovil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movil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yersonct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SaborExpressDocs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docs</w:t>
      </w:r>
    </w:p>
    <w:p>
      <w:pPr>
        <w:pStyle w:val="FirstParagraph"/>
      </w:pPr>
      <w:r>
        <w:t xml:space="preserve">La ubicación es un ejemplo. Registrar ramas y SHA con</w:t>
      </w:r>
      <w:r>
        <w:t xml:space="preserve"> </w:t>
      </w:r>
      <w:r>
        <w:rPr>
          <w:rStyle w:val="VerbatimChar"/>
        </w:rPr>
        <w:t xml:space="preserve">git -C .\back rev-parse HEAD</w:t>
      </w:r>
      <w:r>
        <w:t xml:space="preserve"> </w:t>
      </w:r>
      <w:r>
        <w:t xml:space="preserve">y comandos equivalentes. No dar por supuesto que todas las dependencias están sincronizadas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1"/>
    <w:bookmarkStart w:id="22" w:name="backend-asp.net-core"/>
    <w:p>
      <w:pPr>
        <w:pStyle w:val="Heading2"/>
      </w:pPr>
      <w:r>
        <w:t xml:space="preserve">3. Backend ASP.NET Core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\Dev\SaborExpress\back</w:t>
      </w:r>
      <w:r>
        <w:br/>
      </w:r>
      <w:r>
        <w:rPr>
          <w:rStyle w:val="NormalTok"/>
        </w:rPr>
        <w:t xml:space="preserve">dotnet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info</w:t>
      </w:r>
      <w:r>
        <w:br/>
      </w:r>
      <w:r>
        <w:rPr>
          <w:rStyle w:val="NormalTok"/>
        </w:rPr>
        <w:t xml:space="preserve">dotnet restore</w:t>
      </w:r>
      <w:r>
        <w:br/>
      </w:r>
      <w:r>
        <w:rPr>
          <w:rStyle w:val="NormalTok"/>
        </w:rPr>
        <w:t xml:space="preserve">dotnet 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Debug</w:t>
      </w:r>
    </w:p>
    <w:p>
      <w:pPr>
        <w:pStyle w:val="FirstParagraph"/>
      </w:pPr>
      <w:r>
        <w:rPr>
          <w:b/>
          <w:bCs/>
        </w:rPr>
        <w:t xml:space="preserve">Configuración:</w:t>
      </w:r>
      <w:r>
        <w:t xml:space="preserve"> </w:t>
      </w:r>
      <w:r>
        <w:rPr>
          <w:rStyle w:val="VerbatimChar"/>
        </w:rPr>
        <w:t xml:space="preserve">DatabaseProvider</w:t>
      </w:r>
      <w:r>
        <w:t xml:space="preserve"> </w:t>
      </w:r>
      <w:r>
        <w:t xml:space="preserve">acepta literalmente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t xml:space="preserve">según</w:t>
      </w:r>
      <w:r>
        <w:t xml:space="preserve"> </w:t>
      </w:r>
      <w:r>
        <w:rPr>
          <w:rStyle w:val="VerbatimChar"/>
        </w:rPr>
        <w:t xml:space="preserve">DatabaseConfiguration.cs</w:t>
      </w:r>
      <w:r>
        <w:t xml:space="preserve">. El</w:t>
      </w:r>
      <w:r>
        <w:t xml:space="preserve"> </w:t>
      </w:r>
      <w:r>
        <w:rPr>
          <w:rStyle w:val="VerbatimChar"/>
        </w:rPr>
        <w:t xml:space="preserve">ConnectionStrings</w:t>
      </w:r>
      <w:r>
        <w:t xml:space="preserve"> </w:t>
      </w:r>
      <w:r>
        <w:t xml:space="preserve">debe incluir, según el proveedor,</w:t>
      </w:r>
      <w:r>
        <w:t xml:space="preserve"> </w:t>
      </w:r>
      <w:r>
        <w:rPr>
          <w:rStyle w:val="VerbatimChar"/>
        </w:rPr>
        <w:t xml:space="preserve">MySQLConnection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SqlServerConnection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PostgresConnection</w:t>
      </w:r>
      <w:r>
        <w:t xml:space="preserve">. Los valores sensibles deben ir en variables de entorno o</w:t>
      </w:r>
      <w:r>
        <w:t xml:space="preserve"> </w:t>
      </w:r>
      <w:r>
        <w:rPr>
          <w:rStyle w:val="VerbatimChar"/>
        </w:rPr>
        <w:t xml:space="preserve">dotnet user-secrets</w:t>
      </w:r>
      <w:r>
        <w:t xml:space="preserve">; no copiar cadenas reales del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al documento. Revisar</w:t>
      </w:r>
      <w:r>
        <w:t xml:space="preserve"> </w:t>
      </w:r>
      <w:r>
        <w:rPr>
          <w:rStyle w:val="VerbatimChar"/>
        </w:rPr>
        <w:t xml:space="preserve">JwtSettings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AllowedOrigins</w:t>
      </w:r>
      <w:r>
        <w:t xml:space="preserve">, correos, Wompi y cualquier clave externa en clases de configuración.</w:t>
      </w:r>
    </w:p>
    <w:p>
      <w:pPr>
        <w:pStyle w:val="BodyText"/>
      </w:pPr>
      <w:r>
        <w:t xml:space="preserve">Ejemplo sintáctico sin credenciales:</w:t>
      </w:r>
    </w:p>
    <w:p>
      <w:pPr>
        <w:pStyle w:val="SourceCode"/>
      </w:pPr>
      <w:r>
        <w:rPr>
          <w:rStyle w:val="NormalTok"/>
        </w:rPr>
        <w:t xml:space="preserve">dotnet user-secrets init</w:t>
      </w:r>
      <w:r>
        <w:br/>
      </w:r>
      <w:r>
        <w:rPr>
          <w:rStyle w:val="NormalTok"/>
        </w:rPr>
        <w:t xml:space="preserve">dotnet user-secrets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'DatabaseProvider'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'PostgreSQL'</w:t>
      </w:r>
      <w:r>
        <w:br/>
      </w:r>
      <w:r>
        <w:rPr>
          <w:rStyle w:val="NormalTok"/>
        </w:rPr>
        <w:t xml:space="preserve">dotnet user-secrets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'ConnectionStrings:PostgresConnection'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'&lt;CADENA_LOCAL_DE_PRUEBA&gt;'</w:t>
      </w:r>
    </w:p>
    <w:p>
      <w:pPr>
        <w:pStyle w:val="FirstParagraph"/>
      </w:pPr>
      <w:r>
        <w:t xml:space="preserve">La API llama migraciones y seeders al arrancar.</w:t>
      </w:r>
      <w:r>
        <w:t xml:space="preserve"> </w:t>
      </w:r>
      <w:r>
        <w:rPr>
          <w:b/>
          <w:bCs/>
        </w:rPr>
        <w:t xml:space="preserve">Primero usar una BD desechable respaldada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MigrateAsync</w:t>
      </w:r>
      <w:r>
        <w:t xml:space="preserve"> </w:t>
      </w:r>
      <w:r>
        <w:t xml:space="preserve">puede alterar el esquema. Lanzar</w:t>
      </w:r>
      <w:r>
        <w:t xml:space="preserve"> </w:t>
      </w:r>
      <w:r>
        <w:rPr>
          <w:rStyle w:val="VerbatimChar"/>
        </w:rPr>
        <w:t xml:space="preserve">dotnet run</w:t>
      </w:r>
      <w:r>
        <w:t xml:space="preserve"> </w:t>
      </w:r>
      <w:r>
        <w:t xml:space="preserve">solo después de validar los secretos y confirmar el proveedor. Swagger UI aparece en la ruta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cuando el proceso y el entorno permiten acceder a ella. No se garantiza URL o puerto fijo.</w:t>
      </w:r>
    </w:p>
    <w:bookmarkEnd w:id="22"/>
    <w:bookmarkStart w:id="23" w:name="web-next.js"/>
    <w:p>
      <w:pPr>
        <w:pStyle w:val="Heading2"/>
      </w:pPr>
      <w:r>
        <w:t xml:space="preserve">4. Web Next.js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\Dev\SaborExpress\web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NormalTok"/>
        </w:rPr>
        <w:t xml:space="preserve">npm run dev</w:t>
      </w:r>
    </w:p>
    <w:p>
      <w:pPr>
        <w:pStyle w:val="FirstParagraph"/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permite comprobar empaquetado. Ajustar la URL base de la API según variables reales usadas en</w:t>
      </w:r>
      <w:r>
        <w:t xml:space="preserve"> </w:t>
      </w:r>
      <w:r>
        <w:rPr>
          <w:rStyle w:val="VerbatimChar"/>
        </w:rPr>
        <w:t xml:space="preserve">src/config</w:t>
      </w:r>
      <w:r>
        <w:t xml:space="preserve"> </w:t>
      </w:r>
      <w:r>
        <w:t xml:space="preserve">o servicios; no asumir un nombre de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no comprobado. La URL que imprima Next.js será el punto de acceso local.</w:t>
      </w:r>
    </w:p>
    <w:bookmarkEnd w:id="23"/>
    <w:bookmarkStart w:id="24" w:name="móvil-expo"/>
    <w:p>
      <w:pPr>
        <w:pStyle w:val="Heading2"/>
      </w:pPr>
      <w:r>
        <w:t xml:space="preserve">5. Móvil Expo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\Dev\SaborExpress\movil</w:t>
      </w:r>
      <w:r>
        <w:br/>
      </w:r>
      <w:r>
        <w:rPr>
          <w:rStyle w:val="NormalTok"/>
        </w:rPr>
        <w:t xml:space="preserve">npm ci</w:t>
      </w:r>
      <w:r>
        <w:br/>
      </w:r>
      <w:r>
        <w:rPr>
          <w:rStyle w:val="NormalTok"/>
        </w:rPr>
        <w:t xml:space="preserve">npx expo </w:t>
      </w:r>
      <w:r>
        <w:rPr>
          <w:rStyle w:val="FunctionTok"/>
        </w:rPr>
        <w:t xml:space="preserve">start</w:t>
      </w:r>
    </w:p>
    <w:p>
      <w:pPr>
        <w:pStyle w:val="FirstParagraph"/>
      </w:pPr>
      <w:r>
        <w:t xml:space="preserve">En un teléfono físico se necesita dirección IP accesible por red, no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del PC. Expo 57 usa dev client o flujo admitido por la versión; confirmar compatibilidad de Expo Go/dispositivo, permisos de ubicación y push. Registrar token push solo en ambiente de prueba autorizado.</w:t>
      </w:r>
    </w:p>
    <w:bookmarkEnd w:id="24"/>
    <w:bookmarkStart w:id="25" w:name="wompi-signalr-y-servicios-externos"/>
    <w:p>
      <w:pPr>
        <w:pStyle w:val="Heading2"/>
      </w:pPr>
      <w:r>
        <w:t xml:space="preserve">6. Wompi, SignalR y servicios externos</w:t>
      </w:r>
    </w:p>
    <w:p>
      <w:pPr>
        <w:pStyle w:val="FirstParagraph"/>
      </w:pPr>
      <w:r>
        <w:t xml:space="preserve">Usar ambiente sandbox y llaves de prueba; validar firmas de eventos mediante el código del servicio. No activar pagos reales en pruebas. Para SignalR probar sesión JWT, negociación, reconexión y comportamiento cuando no hay conexión.</w:t>
      </w:r>
    </w:p>
    <w:bookmarkEnd w:id="25"/>
    <w:bookmarkStart w:id="26" w:name="verificación-y-resolución-de-fallas"/>
    <w:p>
      <w:pPr>
        <w:pStyle w:val="Heading2"/>
      </w:pPr>
      <w:r>
        <w:t xml:space="preserve">7. Verificación y resolución de fallas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Problema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Comprobación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Solución segura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dotnet restore 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8 y paquetes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Revisar feeds/proxy sin exponer credenciales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conecta 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Provider/nombre de cadena/servicio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Probar conexión local y permisos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Migración falla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 e historial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Restaurar BD de pruebas y revisar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 rechaza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Origen web, URL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Ajustar AllowedOrigins para ambiente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Móvil no conecta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IP/firewall/HTTPS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IP de PC accesible, TLS de prueba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Wompi no confirma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Referencia y firma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Inspeccionar sandbox sin reintentos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no compila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Node/npm/dependencias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 ci y revisar errores exactos</w:t>
            </w:r>
          </w:p>
        </w:tc>
      </w:tr>
    </w:tbl>
    <w:bookmarkEnd w:id="26"/>
    <w:bookmarkStart w:id="27" w:name="desinstalación-y-respaldo"/>
    <w:p>
      <w:pPr>
        <w:pStyle w:val="Heading2"/>
      </w:pPr>
      <w:r>
        <w:t xml:space="preserve">8. Desinstalación y respaldo</w:t>
      </w:r>
    </w:p>
    <w:p>
      <w:pPr>
        <w:pStyle w:val="FirstParagraph"/>
      </w:pPr>
      <w:r>
        <w:t xml:space="preserve">Detener procesos; respaldar BD y archivos según política; eliminar instalaciones de prueba después de garantizar recuperabilidad. Nunca ejecutar eliminación de volúmenes o base productiva como procedimiento genérico.</w:t>
      </w:r>
    </w:p>
    <w:bookmarkEnd w:id="27"/>
    <w:bookmarkStart w:id="28" w:name="fuentes-primarias-de-implementación"/>
    <w:p>
      <w:pPr>
        <w:pStyle w:val="Heading2"/>
      </w:pPr>
      <w:r>
        <w:t xml:space="preserve">Fuentes primarias de implementación</w:t>
      </w:r>
    </w:p>
    <w:p>
      <w:pPr>
        <w:pStyle w:val="Compact"/>
        <w:numPr>
          <w:ilvl w:val="0"/>
          <w:numId w:val="1001"/>
        </w:numPr>
      </w:pPr>
      <w:r>
        <w:t xml:space="preserve">API: https://github.com/yersonct/SaborExpressBack/tree/main</w:t>
      </w:r>
    </w:p>
    <w:p>
      <w:pPr>
        <w:pStyle w:val="Compact"/>
        <w:numPr>
          <w:ilvl w:val="0"/>
          <w:numId w:val="1001"/>
        </w:numPr>
      </w:pPr>
      <w:r>
        <w:t xml:space="preserve">Web: https://github.com/yersonct/SaborExpressWeb/tree/main</w:t>
      </w:r>
    </w:p>
    <w:p>
      <w:pPr>
        <w:pStyle w:val="Compact"/>
        <w:numPr>
          <w:ilvl w:val="0"/>
          <w:numId w:val="1001"/>
        </w:numPr>
      </w:pPr>
      <w:r>
        <w:t xml:space="preserve">Móvil: https://github.com/yersonct/SaborExpressMovil/tree/main</w:t>
      </w:r>
    </w:p>
    <w:p>
      <w:pPr>
        <w:pStyle w:val="Compact"/>
        <w:numPr>
          <w:ilvl w:val="0"/>
          <w:numId w:val="1001"/>
        </w:numPr>
      </w:pPr>
      <w:r>
        <w:t xml:space="preserve">Referencia de presentación: https://github.com/jsgh1/SRD-v1/tree/dev/docs/docs-SRD</w:t>
      </w:r>
    </w:p>
    <w:p>
      <w:pPr>
        <w:pStyle w:val="FirstParagraph"/>
      </w:pPr>
      <w:r>
        <w:rPr>
          <w:b/>
          <w:bCs/>
        </w:rPr>
        <w:t xml:space="preserve">Control documental:</w:t>
      </w:r>
      <w:r>
        <w:t xml:space="preserve"> </w:t>
      </w:r>
      <w:r>
        <w:t xml:space="preserve">documento elaborado a partir del estado observado en octubre de 2026. Antes de entregar, verificar el commit exacto, responsable, revisión del instructor y cualquier cambio posterior del código.</w:t>
      </w:r>
    </w:p>
    <w:bookmarkEnd w:id="28"/>
    <w:bookmarkEnd w:id="29"/>
    <w:sectPr w:rsidR="00FC693F" w:rsidRPr="0006063C" w:rsidSect="00034616">
      <w:footerReference r:id="rId9" w:type="default"/>
      <w:pgSz w:h="15840" w:w="12240"/>
      <w:pgMar w:bottom="1123" w:footer="720" w:gutter="0" w:header="720" w:left="1267" w:right="1267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SaborExpress  |  Expediente académico de revisión  |  14 de octubre de 2026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/>
    </w:pPr>
    <w:rPr>
      <w:rFonts w:ascii="Aptos" w:hAnsi="Aptos"/>
      <w:color w:val="23303C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40"/>
      <w:outlineLvl w:val="0"/>
    </w:pPr>
    <w:rPr>
      <w:rFonts w:ascii="Aptos Display" w:asciiTheme="majorHAnsi" w:cstheme="majorBidi" w:eastAsiaTheme="majorEastAsia" w:hAnsi="Aptos Display" w:hAnsiTheme="majorHAnsi"/>
      <w:b/>
      <w:bCs/>
      <w:color w:val="154566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40"/>
      <w:outlineLvl w:val="1"/>
    </w:pPr>
    <w:rPr>
      <w:rFonts w:ascii="Aptos Display" w:asciiTheme="majorHAnsi" w:cstheme="majorBidi" w:eastAsiaTheme="majorEastAsia" w:hAnsi="Aptos Display" w:hAnsiTheme="majorHAnsi"/>
      <w:b/>
      <w:bCs/>
      <w:color w:val="245678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40"/>
      <w:outlineLvl w:val="2"/>
    </w:pPr>
    <w:rPr>
      <w:rFonts w:ascii="Aptos Display" w:asciiTheme="majorHAnsi" w:cstheme="majorBidi" w:eastAsiaTheme="majorEastAsia" w:hAnsi="Aptos Display" w:hAnsiTheme="majorHAnsi"/>
      <w:b/>
      <w:bCs/>
      <w:color w:val="2D5A73"/>
      <w:sz w:val="21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Aptos" w:hAnsi="Aptos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00" w:before="240" w:line="240" w:lineRule="auto"/>
      <w:contextualSpacing/>
    </w:pPr>
    <w:rPr>
      <w:rFonts w:ascii="Aptos Display" w:asciiTheme="majorHAnsi" w:cstheme="majorBidi" w:eastAsiaTheme="majorEastAsia" w:hAnsi="Aptos Display" w:hAnsiTheme="majorHAnsi"/>
      <w:b/>
      <w:color w:val="163A5A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Aptos" w:hAnsi="Aptos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2026-10-15T00:06:37Z</dcterms:created>
  <dcterms:modified xsi:type="dcterms:W3CDTF">2026-10-15T00:06:37Z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