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100"/>
        <w:jc w:val="center"/>
      </w:pPr>
      <w:r>
        <w:drawing>
          <wp:inline>
            <wp:extent cx="4389120" cy="250104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orExpress_logo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 w:after="500"/>
        <w:jc w:val="center"/>
      </w:pPr>
      <w:r>
        <w:rPr>
          <w:rFonts w:ascii="Times New Roman" w:hAnsi="Times New Roman"/>
          <w:b/>
          <w:sz w:val="34"/>
        </w:rPr>
        <w:t>04 SaborExpress Diseno del Software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SABOREXPRESS — PROYECTO DE SOFTWARE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Yerson Stiven Cuellar Rubiano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Ficha de formación: 3145555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Expediente técnico y académico — APA 7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pPr>
        <w:spacing w:before="600"/>
        <w:jc w:val="center"/>
      </w:pPr>
      <w:r>
        <w:rPr>
          <w:i/>
        </w:rPr>
        <w:t>Fuente documental: repositorios SaborExpressBack, SaborExpressWeb y SaborExpressMovil.</w:t>
        <w:br/>
        <w:t>Las pruebas no ejecutadas se identifican como pendientes.</w:t>
      </w:r>
    </w:p>
    <w:p>
      <w:r>
        <w:br w:type="page"/>
      </w:r>
    </w:p>
    <w:bookmarkStart w:id="62" w:name="diseño-y-arquitectura-del-software"/>
    <w:p>
      <w:pPr>
        <w:pStyle w:val="Heading1"/>
        <w:keepNext/>
        <w:spacing w:line="264" w:lineRule="auto"/>
      </w:pPr>
      <w:r>
        <w:t xml:space="preserve">Diseño y arquitectura del software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Autor / integrante:</w:t>
      </w:r>
      <w:r>
        <w:t xml:space="preserve"> </w:t>
      </w:r>
      <w:r>
        <w:t xml:space="preserve">Yerson Stiven Cuellar Rubiano |</w:t>
      </w:r>
      <w:r>
        <w:t xml:space="preserve"> </w:t>
      </w:r>
      <w:r>
        <w:rPr>
          <w:b/>
          <w:bCs/>
        </w:rPr>
        <w:t xml:space="preserve">Ficha:</w:t>
      </w:r>
      <w:r>
        <w:t xml:space="preserve"> </w:t>
      </w:r>
      <w:r>
        <w:t xml:space="preserve">3145555 |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 documental:</w:t>
      </w:r>
      <w:r>
        <w:t xml:space="preserve"> </w:t>
      </w:r>
      <w:r>
        <w:t xml:space="preserve">4.0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3" w:name="visión-de-arquitectura"/>
    <w:p>
      <w:pPr>
        <w:pStyle w:val="Heading2"/>
        <w:keepNext/>
        <w:spacing w:line="264" w:lineRule="auto"/>
      </w:pPr>
      <w:r>
        <w:t xml:space="preserve">1. Visión de arquitectura</w:t>
      </w:r>
    </w:p>
    <w:p>
      <w:pPr>
        <w:pStyle w:val="FirstParagraph"/>
        <w:spacing w:line="396" w:lineRule="auto" w:after="100"/>
      </w:pPr>
      <w:r>
        <w:t xml:space="preserve">SaborExpress presenta tres repositorios de software separados y un repositorio documental. El backend es</w:t>
      </w:r>
      <w:r>
        <w:t xml:space="preserve"> </w:t>
      </w:r>
      <w:r>
        <w:rPr>
          <w:b/>
          <w:bCs/>
        </w:rPr>
        <w:t xml:space="preserve">una aplicación ASP.NET Core modular</w:t>
      </w:r>
      <w:r>
        <w:t xml:space="preserve">, no diez microservicios ni una infraestructura distribuida comprobada. El frontend web administra vistas de negocio; el móvil utiliza Expo Router y módulos por función.</w:t>
      </w:r>
    </w:p>
    <w:p>
      <w:pPr>
        <w:pStyle w:val="CaptionedFigure"/>
        <w:spacing w:line="396" w:lineRule="auto" w:after="100"/>
      </w:pPr>
      <w:r>
        <w:drawing>
          <wp:inline>
            <wp:extent cx="5943600" cy="1549415"/>
            <wp:effectExtent b="0" l="0" r="0" t="0"/>
            <wp:docPr descr="Arquitectura lógica derivada de los repositorios" title="" id="21" name="Picture"/>
            <a:graphic>
              <a:graphicData uri="http://schemas.openxmlformats.org/drawingml/2006/picture">
                <pic:pic>
                  <pic:nvPicPr>
                    <pic:cNvPr descr="ARQUITECTURA-COMPONEN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Arquitectura lógica derivada de los repositorios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Figura 1. Vista lógica propuesta a partir de estructuras y configuraciones de los repositorios. No representa una topología de producción verificada.</w:t>
      </w:r>
    </w:p>
    <w:bookmarkEnd w:id="23"/>
    <w:bookmarkStart w:id="24" w:name="vista-de-desarrollo-kruchten-1995"/>
    <w:p>
      <w:pPr>
        <w:pStyle w:val="Heading2"/>
        <w:keepNext/>
        <w:spacing w:line="264" w:lineRule="auto"/>
      </w:pPr>
      <w:r>
        <w:t xml:space="preserve">2. Vista de desarrollo (Kruchten, 1995)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Componente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Estructura real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Controllers/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Frontera HTTP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Modules/*/DTOs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Contratos de entrada/salida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Modules/*/Services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Lógica de dominio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Modules/*/Repositories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Persistencia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Data/Configurations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Mapeos EF Core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src/app/*/page.tsx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Páginas de Next.js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Web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src/features, src/components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Funciones e interfaz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Móvil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src/features/*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Vistas, hooks, servicios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Móvil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app.json, package.json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Runtime Expo y dependencias</w:t>
            </w:r>
          </w:p>
        </w:tc>
      </w:tr>
    </w:tbl>
    <w:bookmarkEnd w:id="24"/>
    <w:bookmarkStart w:id="25" w:name="vista-de-ejecución"/>
    <w:p>
      <w:pPr>
        <w:pStyle w:val="Heading2"/>
        <w:keepNext/>
        <w:spacing w:line="264" w:lineRule="auto"/>
      </w:pPr>
      <w:r>
        <w:t xml:space="preserve">3. Vista de ejecución</w:t>
      </w:r>
    </w:p>
    <w:p>
      <w:pPr>
        <w:pStyle w:val="FirstParagraph"/>
        <w:spacing w:line="396" w:lineRule="auto" w:after="100"/>
      </w:pPr>
      <w:r>
        <w:t xml:space="preserve">Inicio de API: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registra CORS, controladores, JWT, autorización (</w:t>
      </w:r>
      <w:r>
        <w:rPr>
          <w:rStyle w:val="VerbatimChar"/>
        </w:rPr>
        <w:t xml:space="preserve">ActiveShift</w:t>
      </w:r>
      <w:r>
        <w:t xml:space="preserve">), DbContext, dependencias, clientes HTTP, Swagger, SignalR y servicios hospedados (turnos, enlaces de cocina, expiración de rol, sincronización de Wompi). También ejecuta</w:t>
      </w:r>
      <w:r>
        <w:t xml:space="preserve"> </w:t>
      </w:r>
      <w:r>
        <w:rPr>
          <w:rStyle w:val="VerbatimChar"/>
        </w:rPr>
        <w:t xml:space="preserve">MigrateAsync</w:t>
      </w:r>
      <w:r>
        <w:t xml:space="preserve"> </w:t>
      </w:r>
      <w:r>
        <w:t xml:space="preserve">y seeders de permisos, rol cliente y gerente inicial. En producción se recomienda separar migraciones y seeds de arranque automático y auditar la idempotencia.</w:t>
      </w:r>
    </w:p>
    <w:bookmarkEnd w:id="25"/>
    <w:bookmarkStart w:id="26" w:name="vista-lógica-de-negocio"/>
    <w:p>
      <w:pPr>
        <w:pStyle w:val="Heading2"/>
        <w:keepNext/>
        <w:spacing w:line="264" w:lineRule="auto"/>
      </w:pPr>
      <w:r>
        <w:t xml:space="preserve">4. Vista lógica de negocio</w:t>
      </w:r>
    </w:p>
    <w:p>
      <w:pPr>
        <w:pStyle w:val="FirstParagraph"/>
        <w:spacing w:line="396" w:lineRule="auto" w:after="100"/>
      </w:pPr>
      <w:r>
        <w:t xml:space="preserve">Dominios observados: identidad y roles; sedes; usuarios, clientes y empleados; horarios; catálogos y menú; mesas; pedidos/detalles e historial; pagos; domicilios; notificaciones; preferencias; reseñas y facturas. Las clases Entity Framework enlazan pedidos con sede, cliente, dirección, empleado y mesa, además de colecciones de detalles, estados y pagos.</w:t>
      </w:r>
    </w:p>
    <w:bookmarkEnd w:id="26"/>
    <w:bookmarkStart w:id="27" w:name="X14bcb3eaa8b8877486a8fe723ced3f7c829b7cb"/>
    <w:p>
      <w:pPr>
        <w:pStyle w:val="Heading2"/>
        <w:keepNext/>
        <w:spacing w:line="264" w:lineRule="auto"/>
      </w:pPr>
      <w:r>
        <w:t xml:space="preserve">5. Vista de despliegue (objetivo, pendiente de verificar)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Desarrollo local:</w:t>
      </w:r>
      <w:r>
        <w:t xml:space="preserve"> </w:t>
      </w:r>
      <w:r>
        <w:rPr>
          <w:rStyle w:val="VerbatimChar"/>
        </w:rPr>
        <w:t xml:space="preserve">Next.js → ASP.NET Core API → motor relacional</w:t>
      </w:r>
      <w:r>
        <w:t xml:space="preserve">; aplicación móvil usa URL de red accesible desde dispositivo,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del teléfono.</w:t>
      </w:r>
      <w:r>
        <w:t xml:space="preserve"> </w:t>
      </w:r>
      <w:r>
        <w:rPr>
          <w:b/>
          <w:bCs/>
        </w:rPr>
        <w:t xml:space="preserve">Producción propuesta:</w:t>
      </w:r>
      <w:r>
        <w:t xml:space="preserve"> </w:t>
      </w:r>
      <w:r>
        <w:t xml:space="preserve">HTTPS, dominio y proxy de capa 7, backend .NET, DB administrada o aislada, almacenamiento protegido y monitoreo. No existe en la evidencia una definición definitiva de infraestructura productiva.</w:t>
      </w:r>
    </w:p>
    <w:bookmarkEnd w:id="27"/>
    <w:bookmarkStart w:id="31" w:name="secuencia-transaccional-crítica"/>
    <w:p>
      <w:pPr>
        <w:pStyle w:val="Heading2"/>
        <w:keepNext/>
        <w:spacing w:line="264" w:lineRule="auto"/>
      </w:pPr>
      <w:r>
        <w:t xml:space="preserve">6. Secuencia transaccional crítica</w:t>
      </w:r>
    </w:p>
    <w:p>
      <w:pPr>
        <w:pStyle w:val="CaptionedFigure"/>
        <w:spacing w:line="396" w:lineRule="auto" w:after="100"/>
      </w:pPr>
      <w:r>
        <w:drawing>
          <wp:inline>
            <wp:extent cx="5943600" cy="324414"/>
            <wp:effectExtent b="0" l="0" r="0" t="0"/>
            <wp:docPr descr="Secuencia de pago y actualización de pedidos" title="" id="29" name="Picture"/>
            <a:graphic>
              <a:graphicData uri="http://schemas.openxmlformats.org/drawingml/2006/picture">
                <pic:pic>
                  <pic:nvPicPr>
                    <pic:cNvPr descr="SECUENCIA-PAG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Secuencia de pago y actualización de pedidos</w:t>
      </w:r>
    </w:p>
    <w:p>
      <w:pPr>
        <w:pStyle w:val="BodyText"/>
        <w:spacing w:line="396" w:lineRule="auto" w:after="100"/>
      </w:pPr>
      <w:r>
        <w:t xml:space="preserve">La pasarela puede confirmar asíncronamente. El webhook</w:t>
      </w:r>
      <w:r>
        <w:t xml:space="preserve"> </w:t>
      </w:r>
      <w:r>
        <w:rPr>
          <w:rStyle w:val="VerbatimChar"/>
        </w:rPr>
        <w:t xml:space="preserve">POST /api/Payments/wompi/webhook</w:t>
      </w:r>
      <w:r>
        <w:t xml:space="preserve"> </w:t>
      </w:r>
      <w:r>
        <w:t xml:space="preserve">admite acceso anónimo a nivel de controlador para permitir notificaciones de Wompi; el</w:t>
      </w:r>
      <w:r>
        <w:t xml:space="preserve"> </w:t>
      </w:r>
      <w:r>
        <w:rPr>
          <w:b/>
          <w:bCs/>
        </w:rPr>
        <w:t xml:space="preserve">servicio</w:t>
      </w:r>
      <w:r>
        <w:t xml:space="preserve"> </w:t>
      </w:r>
      <w:r>
        <w:t xml:space="preserve">debe comprobar checksum/firma, correspondencia de referencia, idempotencia y validez de estados. No se documenta como seguro por el mero hecho de existir.</w:t>
      </w:r>
    </w:p>
    <w:bookmarkEnd w:id="31"/>
    <w:bookmarkStart w:id="32" w:name="decisiones-arquitectónicas-adr"/>
    <w:p>
      <w:pPr>
        <w:pStyle w:val="Heading2"/>
        <w:keepNext/>
        <w:spacing w:line="264" w:lineRule="auto"/>
      </w:pPr>
      <w:r>
        <w:t xml:space="preserve">7. Decisiones arquitectónicas (ADR)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ADR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Decisión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Justificación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ADR-001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Mantener API modular .NET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Código actual y costo de despliegue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Constatada como arquitectura actual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ADR-002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Clientes web y móvil separados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Flujos operativos distintos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Constatado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ADR-003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Contratos REST y canal SignalR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Datos + avisos en vivo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Registrado, no medido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ADR-004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DB provider configurable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Código soporta tres proveedores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Soporte real a validar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ADR-005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 para cobros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Controlador y DTO identificados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Sandbox pendiente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ADR-006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Secrets solo por env o Secret Manager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Seguridad y despliegue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Recomendación</w:t>
            </w:r>
          </w:p>
        </w:tc>
      </w:tr>
    </w:tbl>
    <w:bookmarkEnd w:id="32"/>
    <w:bookmarkStart w:id="33" w:name="análisis-de-amenazas-y-mitigaciones"/>
    <w:p>
      <w:pPr>
        <w:pStyle w:val="Heading2"/>
        <w:keepNext/>
        <w:spacing w:line="264" w:lineRule="auto"/>
      </w:pPr>
      <w:r>
        <w:t xml:space="preserve">8. Análisis de amenazas y mitigaciones</w:t>
      </w:r>
    </w:p>
    <w:p>
      <w:pPr>
        <w:pStyle w:val="FirstParagraph"/>
        <w:spacing w:line="396" w:lineRule="auto" w:after="100"/>
      </w:pPr>
      <w:r>
        <w:t xml:space="preserve">Autorización de objeto: validar propietario y sede para cada ID proporcionado. Webhook: firma y replay protection. Datos: proteger contraseñas BCrypt, tokens y documentos; jamás registrar bodies sensibles completos. CORS: acotar orígenes al ambiente. Migraciones: respaldo y rollback antes de producción. Imágenes: límites MIME/tamaño, sanitización y rutas no predecibles. Evaluar riesgos según OWASP API Security Top 10 2023.</w:t>
      </w:r>
    </w:p>
    <w:bookmarkEnd w:id="33"/>
    <w:bookmarkStart w:id="39" w:name="vistas-arquitectónicas-profesionales"/>
    <w:p>
      <w:pPr>
        <w:pStyle w:val="Heading2"/>
        <w:keepNext/>
        <w:spacing w:line="264" w:lineRule="auto"/>
      </w:pPr>
      <w:r>
        <w:t xml:space="preserve">8. Vistas arquitectónicas profesionales</w:t>
      </w:r>
    </w:p>
    <w:p>
      <w:pPr>
        <w:pStyle w:val="FirstParagraph"/>
        <w:spacing w:line="396" w:lineRule="auto" w:after="100"/>
      </w:pPr>
      <w:r>
        <w:t xml:space="preserve">Se sigue el principio de varias vistas complementarias propuesto por Kruchten (1995), sin confundir vista de código con evidencia del despliegue real.</w:t>
      </w:r>
    </w:p>
    <w:bookmarkStart w:id="34" w:name="contexto"/>
    <w:p>
      <w:pPr>
        <w:pStyle w:val="Heading3"/>
        <w:keepNext/>
        <w:spacing w:line="264" w:lineRule="auto"/>
      </w:pPr>
      <w:r>
        <w:t xml:space="preserve">8.1. Contexto</w:t>
      </w:r>
    </w:p>
    <w:p>
      <w:pPr>
        <w:pStyle w:val="FirstParagraph"/>
        <w:spacing w:line="396" w:lineRule="auto" w:after="100"/>
      </w:pPr>
      <w:r>
        <w:t xml:space="preserve">Clientes, colaboradores y gerencia consumen clientes móvil y web. La API intermedia identidad, catálogos, órdenes, pagos y notificaciones. Wompi envía eventos de pago al servidor.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Relación con objetivos de calidad:</w:t>
      </w:r>
      <w:r>
        <w:t xml:space="preserve"> </w:t>
      </w:r>
      <w:r>
        <w:t xml:space="preserve">separar acceso, reglas y persistencia facilita revisión, pruebas y trazabilidad. Las cualidades de seguridad y disponibilidad se verifican mediante ensayos, no por la sola separación de carpetas.</w:t>
      </w:r>
    </w:p>
    <w:bookmarkEnd w:id="34"/>
    <w:bookmarkStart w:id="35" w:name="lógica"/>
    <w:p>
      <w:pPr>
        <w:pStyle w:val="Heading3"/>
        <w:keepNext/>
        <w:spacing w:line="264" w:lineRule="auto"/>
      </w:pPr>
      <w:r>
        <w:t xml:space="preserve">8.2. Lógica</w:t>
      </w:r>
    </w:p>
    <w:p>
      <w:pPr>
        <w:pStyle w:val="FirstParagraph"/>
        <w:spacing w:line="396" w:lineRule="auto" w:after="100"/>
      </w:pPr>
      <w:r>
        <w:t xml:space="preserve">Controllers constituyen límites HTTP, Modules agrupaciones de dominio, Services reglas de negocio, Repositories persistencia, DTOs contratos; AppDbContext agrega DbSet y configuraciones EF.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Relación con objetivos de calidad:</w:t>
      </w:r>
      <w:r>
        <w:t xml:space="preserve"> </w:t>
      </w:r>
      <w:r>
        <w:t xml:space="preserve">separar acceso, reglas y persistencia facilita revisión, pruebas y trazabilidad. Las cualidades de seguridad y disponibilidad se verifican mediante ensayos, no por la sola separación de carpetas.</w:t>
      </w:r>
    </w:p>
    <w:bookmarkEnd w:id="35"/>
    <w:bookmarkStart w:id="36" w:name="desarrollo"/>
    <w:p>
      <w:pPr>
        <w:pStyle w:val="Heading3"/>
        <w:keepNext/>
        <w:spacing w:line="264" w:lineRule="auto"/>
      </w:pPr>
      <w:r>
        <w:t xml:space="preserve">8.3. Desarrollo</w:t>
      </w:r>
    </w:p>
    <w:p>
      <w:pPr>
        <w:pStyle w:val="FirstParagraph"/>
        <w:spacing w:line="396" w:lineRule="auto" w:after="100"/>
      </w:pPr>
      <w:r>
        <w:t xml:space="preserve">Tres repositorios separados: SaborExpressBack (.NET), SaborExpressWeb (Next.js) y SaborExpressMovil (Expo). La documentación es cuarto repositorio. Sin evidencia de monorepo.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Relación con objetivos de calidad:</w:t>
      </w:r>
      <w:r>
        <w:t xml:space="preserve"> </w:t>
      </w:r>
      <w:r>
        <w:t xml:space="preserve">separar acceso, reglas y persistencia facilita revisión, pruebas y trazabilidad. Las cualidades de seguridad y disponibilidad se verifican mediante ensayos, no por la sola separación de carpetas.</w:t>
      </w:r>
    </w:p>
    <w:bookmarkEnd w:id="36"/>
    <w:bookmarkStart w:id="37" w:name="procesos"/>
    <w:p>
      <w:pPr>
        <w:pStyle w:val="Heading3"/>
        <w:keepNext/>
        <w:spacing w:line="264" w:lineRule="auto"/>
      </w:pPr>
      <w:r>
        <w:t xml:space="preserve">8.4. Procesos</w:t>
      </w:r>
    </w:p>
    <w:p>
      <w:pPr>
        <w:pStyle w:val="FirstParagraph"/>
        <w:spacing w:line="396" w:lineRule="auto" w:after="100"/>
      </w:pPr>
      <w:r>
        <w:t xml:space="preserve">ASP.NET recibe peticiones síncronas; hospeda tareas WompiPendingPaymentsSyncService, KitchenLinkNotifierBackgroundService, ShiftReminderBackgroundService y RoleExpirationBackgroundService. SignalR gestiona eventos conectados.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Relación con objetivos de calidad:</w:t>
      </w:r>
      <w:r>
        <w:t xml:space="preserve"> </w:t>
      </w:r>
      <w:r>
        <w:t xml:space="preserve">separar acceso, reglas y persistencia facilita revisión, pruebas y trazabilidad. Las cualidades de seguridad y disponibilidad se verifican mediante ensayos, no por la sola separación de carpetas.</w:t>
      </w:r>
    </w:p>
    <w:bookmarkEnd w:id="37"/>
    <w:bookmarkStart w:id="38" w:name="despliegue"/>
    <w:p>
      <w:pPr>
        <w:pStyle w:val="Heading3"/>
        <w:keepNext/>
        <w:spacing w:line="264" w:lineRule="auto"/>
      </w:pPr>
      <w:r>
        <w:t xml:space="preserve">8.5. Despliegue</w:t>
      </w:r>
    </w:p>
    <w:p>
      <w:pPr>
        <w:pStyle w:val="FirstParagraph"/>
        <w:spacing w:line="396" w:lineRule="auto" w:after="100"/>
      </w:pPr>
      <w:r>
        <w:t xml:space="preserve">Topología de desarrollo o producción propuesta: reverse proxy HTTPS; frontend Next.js; API ASP.NET Core; motor de BD; almacenamiento; secretos; supervisión y copias. Ninguna topología de nube se declara desplegada.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Relación con objetivos de calidad:</w:t>
      </w:r>
      <w:r>
        <w:t xml:space="preserve"> </w:t>
      </w:r>
      <w:r>
        <w:t xml:space="preserve">separar acceso, reglas y persistencia facilita revisión, pruebas y trazabilidad. Las cualidades de seguridad y disponibilidad se verifican mediante ensayos, no por la sola separación de carpetas.</w:t>
      </w:r>
    </w:p>
    <w:bookmarkEnd w:id="38"/>
    <w:bookmarkEnd w:id="39"/>
    <w:bookmarkStart w:id="40" w:name="Xa382afe995e47331a82efc79c49611c970977b3"/>
    <w:p>
      <w:pPr>
        <w:pStyle w:val="Heading2"/>
        <w:keepNext/>
        <w:spacing w:line="264" w:lineRule="auto"/>
      </w:pPr>
      <w:r>
        <w:t xml:space="preserve">9. Decisiones arquitectónicas (ADR) y alternativas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ADR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Decisión observada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Justificación técnica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Riesgo y acción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ADR-01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 modular ASP.NET Core 8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Conserva contratos y un punto de entrada para web/móvil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Acoplamiento entre módulos; vigilar referencias circulares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ADR-02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EF Core con tres proveedores configurables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Interfaz homogénea de acceso relacional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Migraciones SQL pueden diferir; pruebas por proveedor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ADR-03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JWT Bearer y roles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Identidad propagable entre clientes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Expiración, revocación y BOLA; pruebas negativas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ADR-04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SignalR para notificaciones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Actualización reactiva de vistas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Reconciliar tras desconexión; no garantiza entrega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ADR-05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Wompi webhook + sincronización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Separar intención de pago de resultado financiero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Validación checksum e idempotencia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ADR-06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Tres repositorios independientes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Ciclos de entrega por plataforma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Versionado cruzado y compatibilidad de API</w:t>
            </w:r>
          </w:p>
        </w:tc>
      </w:tr>
    </w:tbl>
    <w:bookmarkEnd w:id="40"/>
    <w:bookmarkStart w:id="41" w:name="flujos-de-secuencia-y-estados"/>
    <w:p>
      <w:pPr>
        <w:pStyle w:val="Heading2"/>
        <w:keepNext/>
        <w:spacing w:line="264" w:lineRule="auto"/>
      </w:pPr>
      <w:r>
        <w:t xml:space="preserve">10. Flujos de secuencia y estados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Pedido:</w:t>
      </w:r>
      <w:r>
        <w:t xml:space="preserve"> </w:t>
      </w:r>
      <w:r>
        <w:t xml:space="preserve">Cliente → catálogo → validación de sede → POST Orders → Service → Repository → BD → respuesta. El servidor debería recalcular precios y tasas vigentes al persistir, y el frontend debe mostrar la respuesta, no recalcular una verdad monetaria paralela.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Cobro externo:</w:t>
      </w:r>
      <w:r>
        <w:t xml:space="preserve"> </w:t>
      </w:r>
      <w:r>
        <w:t xml:space="preserve">Cliente/Cajero → Payments/Wompi init → referencia única → página/QR Wompi → transacción externa → evento POST webhook → verificación de firma → consulta de estado persistente → transición de pago y pedido → publicación de evento. Se debe demostrar que eventos duplicados no generan pagos duplicados.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Entregas:</w:t>
      </w:r>
      <w:r>
        <w:t xml:space="preserve"> </w:t>
      </w:r>
      <w:r>
        <w:t xml:space="preserve">Gerente crea asignación Delivery; repartidor consulta sus entregas; informa eventos de estado; cliente visualiza resultado y puede calificar cuando la entrega sea válida. La API debe autorizar cada solicitud con propiedad, rol y sede; ocultar botones no constituye un control de seguridad.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Notificaciones:</w:t>
      </w:r>
      <w:r>
        <w:t xml:space="preserve"> </w:t>
      </w:r>
      <w:r>
        <w:t xml:space="preserve">Registro del evento de negocio → hub SignalR → suscripciones autorizadas → cliente. Si se pierde la conexión, un GET del estado actual debe actuar como fuente de verdad.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Máquinas de estados:</w:t>
      </w:r>
      <w:r>
        <w:t xml:space="preserve"> </w:t>
      </w:r>
      <w:r>
        <w:t xml:space="preserve">los conjuntos exactos de enum se deben extraer de</w:t>
      </w:r>
      <w:r>
        <w:t xml:space="preserve"> </w:t>
      </w:r>
      <w:r>
        <w:rPr>
          <w:rStyle w:val="VerbatimChar"/>
        </w:rPr>
        <w:t xml:space="preserve">Modules/Orders/Enum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Modules/Payments/Enum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Modules/Deliveries/Enum</w:t>
      </w:r>
      <w:r>
        <w:t xml:space="preserve"> </w:t>
      </w:r>
      <w:r>
        <w:t xml:space="preserve">antes de aprobar el diagrama definitivo. No se inventan estados no extraídos.</w:t>
      </w:r>
    </w:p>
    <w:bookmarkEnd w:id="41"/>
    <w:bookmarkStart w:id="42" w:name="X8ad4e87f95e7ec72067c88dc1fcb39e1033f2f2"/>
    <w:p>
      <w:pPr>
        <w:pStyle w:val="Heading2"/>
        <w:keepNext/>
        <w:spacing w:line="264" w:lineRule="auto"/>
      </w:pPr>
      <w:r>
        <w:t xml:space="preserve">11. Despliegue, seguridad y observabilidad previstos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Segmentación:</w:t>
      </w:r>
      <w:r>
        <w:t xml:space="preserve"> </w:t>
      </w:r>
      <w:r>
        <w:t xml:space="preserve">limitar la base de datos a red privada; no publicar puertos de administración directamente; configurar proxy HTTPS y CORS con orígenes de producción explícitos, retirando permisividad prevista para localhost/devtunnels/red local.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Gestión de secretos:</w:t>
      </w:r>
      <w:r>
        <w:t xml:space="preserve"> </w:t>
      </w:r>
      <w:r>
        <w:t xml:space="preserve">configuración segura fuera del repositorio para cadenas de conexión, claves JWT, credenciales de correo, token Wompi y claves de evento. Escanear historiales Git; rotar los secretos expuestos sin publicarlos en documentación.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Logs y trazas:</w:t>
      </w:r>
      <w:r>
        <w:t xml:space="preserve"> </w:t>
      </w:r>
      <w:r>
        <w:t xml:space="preserve">incluir correlation-id por petición, id de pedido, referencia de pago ofuscada, tiempos de operaciones y excepciones sin contraseñas, direcciones ni tokens. Alerta ante errores de webhook, fallos de migración, retrasos de confirmación y desconexiones repetidas.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Disponibilidad:</w:t>
      </w:r>
      <w:r>
        <w:t xml:space="preserve"> </w:t>
      </w:r>
      <w:r>
        <w:t xml:space="preserve">preparar backups cifrados, restauración ensayada, procedimiento de actualización y vuelta atrás por versión. Acordar RPO/RTO con el dueño del sistema antes de fijar compromisos.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Diagrama de contexto, componentes y secuencias:</w:t>
      </w:r>
      <w:r>
        <w:t xml:space="preserve"> </w:t>
      </w:r>
      <w:r>
        <w:t xml:space="preserve">ver archivos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asociados; son modelos técnicos de análisis, no planos certificados de infraestructura desplegada.</w:t>
      </w:r>
    </w:p>
    <w:bookmarkEnd w:id="42"/>
    <w:bookmarkStart w:id="43" w:name="riesgos-de-diseño-y-controles"/>
    <w:p>
      <w:pPr>
        <w:pStyle w:val="Heading2"/>
        <w:keepNext/>
        <w:spacing w:line="264" w:lineRule="auto"/>
      </w:pPr>
      <w:r>
        <w:t xml:space="preserve">12. Riesgos de diseño y controles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Riesgo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Amenaza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Control sugerido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Verificación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SEC-01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IDOR sobre recursos de cliente o sede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autorización a nivel objeto en servicio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cliente A consulta ID de cliente B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SEC-02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Webhook Wompi falsificado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checksum según documentación Wompi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firma adulterada rechazada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SEC-03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Evento duplicado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unicidad por transacción + transacción BD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repetir mismo payload dos veces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SEC-04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Errores de startup por migraciones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migrar en paso controlado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arranque BD vacía y rollback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SEC-05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CORS permisivo en despliegue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lista controlada por ambiente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intento con origin externo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SEC-06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Fuga de JWT o datos personales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secretos/PII fuera de logs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escaneo automatizado y revisión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SEC-07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Desincronización móvil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reconciliación REST y errores offline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corte/reconexión de red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SEC-08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Compatibilidad proveedor DB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CI por motor soportado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migraciones y queries reales</w:t>
            </w:r>
          </w:p>
        </w:tc>
      </w:tr>
    </w:tbl>
    <w:bookmarkEnd w:id="43"/>
    <w:bookmarkStart w:id="44" w:name="fuentes-primarias-de-implementación"/>
    <w:p>
      <w:pPr>
        <w:pStyle w:val="Heading2"/>
        <w:keepNext/>
        <w:spacing w:line="264" w:lineRule="auto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Referencia de presentación: https://github.com/jsgh1/SRD-v1/tree/dev/docs/docs-SRD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44"/>
    <w:bookmarkStart w:id="60" w:name="diagramas-de-diseño-arquitectónico"/>
    <w:p>
      <w:pPr>
        <w:pStyle w:val="Heading2"/>
        <w:keepNext/>
        <w:spacing w:line="264" w:lineRule="auto"/>
      </w:pPr>
      <w:r>
        <w:t xml:space="preserve">15. Diagramas de diseño arquitectónico</w:t>
      </w:r>
    </w:p>
    <w:p>
      <w:pPr>
        <w:pStyle w:val="CaptionedFigure"/>
        <w:spacing w:line="396" w:lineRule="auto" w:after="100"/>
      </w:pPr>
      <w:r>
        <w:drawing>
          <wp:inline>
            <wp:extent cx="5943600" cy="6036999"/>
            <wp:effectExtent b="0" l="0" r="0" t="0"/>
            <wp:docPr descr="02_COMPONENTES" title="" id="46" name="Picture"/>
            <a:graphic>
              <a:graphicData uri="http://schemas.openxmlformats.org/drawingml/2006/picture">
                <pic:pic>
                  <pic:nvPicPr>
                    <pic:cNvPr descr="recursos/02_COMPONENT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02_COMPONENTES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6947177"/>
            <wp:effectExtent b="0" l="0" r="0" t="0"/>
            <wp:docPr descr="06_MODELO_ER" title="" id="49" name="Picture"/>
            <a:graphic>
              <a:graphicData uri="http://schemas.openxmlformats.org/drawingml/2006/picture">
                <pic:pic>
                  <pic:nvPicPr>
                    <pic:cNvPr descr="recursos/06_MODELO_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06_MODELO_ER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1008693"/>
            <wp:effectExtent b="0" l="0" r="0" t="0"/>
            <wp:docPr descr="04_SEQUENCE_ORDER" title="" id="52" name="Picture"/>
            <a:graphic>
              <a:graphicData uri="http://schemas.openxmlformats.org/drawingml/2006/picture">
                <pic:pic>
                  <pic:nvPicPr>
                    <pic:cNvPr descr="recursos/04_SEQUENCE_ORDE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04_SEQUENCE_ORDER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491530"/>
            <wp:effectExtent b="0" l="0" r="0" t="0"/>
            <wp:docPr descr="05_SEQUENCE_PAYMENT" title="" id="55" name="Picture"/>
            <a:graphic>
              <a:graphicData uri="http://schemas.openxmlformats.org/drawingml/2006/picture">
                <pic:pic>
                  <pic:nvPicPr>
                    <pic:cNvPr descr="recursos/05_SEQUENCE_PAYMEN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05_SEQUENCE_PAYMENT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6188148"/>
            <wp:effectExtent b="0" l="0" r="0" t="0"/>
            <wp:docPr descr="09_AISLAMIENTO_ROLES" title="" id="58" name="Picture"/>
            <a:graphic>
              <a:graphicData uri="http://schemas.openxmlformats.org/drawingml/2006/picture">
                <pic:pic>
                  <pic:nvPicPr>
                    <pic:cNvPr descr="recursos/09_AISLAMIENTO_ROL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09_AISLAMIENTO_ROLES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16. Patrones de diseño y justificación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Arquitectura modular en capas:</w:t>
      </w:r>
      <w:r>
        <w:t xml:space="preserve"> </w:t>
      </w:r>
      <w:r>
        <w:t xml:space="preserve">ASP.NET Core recibe solicitudes en Controllers; las interfaces y Services gestionan reglas de negocio; Repositories y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encapsulan consultas y cambios persistentes. Esta división permite pruebas unitarias sobre servicios con repositorios simulados y pruebas de integración sobre EF Core real. Es incorrecto caracterizar toda la aplicación como microservicios si solo hay un ejecutable API.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DTO y validadores:</w:t>
      </w:r>
      <w:r>
        <w:t xml:space="preserve"> </w:t>
      </w:r>
      <w:r>
        <w:t xml:space="preserve">los mensajes externos no deberían exponer todas las propiedades persistentes.</w:t>
      </w:r>
      <w:r>
        <w:t xml:space="preserve"> </w:t>
      </w:r>
      <w:r>
        <w:rPr>
          <w:rStyle w:val="VerbatimChar"/>
        </w:rPr>
        <w:t xml:space="preserve">CreateOrderDto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UpdateOrderStatusDto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InitWompiPaymentDto</w:t>
      </w:r>
      <w:r>
        <w:t xml:space="preserve"> </w:t>
      </w:r>
      <w:r>
        <w:t xml:space="preserve">son contratos con escenarios de validación diferenciados. El cliente transmite intención; el backend calcula montos y verifica permisos. En particular, el DTO de entrada no debe ser confiable para fijar el importe final.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Consistencia:</w:t>
      </w:r>
      <w:r>
        <w:t xml:space="preserve"> </w:t>
      </w:r>
      <w:r>
        <w:t xml:space="preserve">operaciones compuestas pedido–detalle, pago–pedido y asignación–reparto pueden requerir transacciones. Las señales SignalR se publican después de persistir, o con un mecanismo de salida confiable si la operación lo requiere. La presencia de SignalR en Program.cs no equivale a un bus de eventos confiable.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Arquitectura evolutiva:</w:t>
      </w:r>
      <w:r>
        <w:t xml:space="preserve"> </w:t>
      </w:r>
      <w:r>
        <w:t xml:space="preserve">exportar OpenAPI en pipeline CI, agregar versiones explícitas a eventos de notificaciones, registrar cambios incompatibles y garantizar convivencia de móviles que tardan en actualizarse.</w:t>
      </w:r>
    </w:p>
    <w:bookmarkEnd w:id="60"/>
    <w:bookmarkStart w:id="61" w:name="atributos-de-calidad-y-decisiones"/>
    <w:p>
      <w:pPr>
        <w:pStyle w:val="Heading2"/>
        <w:keepNext/>
        <w:spacing w:line="264" w:lineRule="auto"/>
      </w:pPr>
      <w:r>
        <w:t xml:space="preserve">17. Atributos de calidad y decisiones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Calidad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Decisión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Evidencia de verificación que falta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Seguridad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Verificación JWT+rol+recurso+turno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Pruebas 401/403, acceso entre sedes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Confiabilidad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Persistir antes de notificar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Falla de red durante la transacción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Mantenibilidad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Separar HTTP, servicios y datos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Cobertura de pruebas y métricas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Rendimiento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Paginación e índices por sede/fecha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EXPLAIN y cargas reales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Compatibilidad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Contratos estables para web y móvil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Pactos de API y pruebas regresión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Observabilidad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Correlación de solicitud y evento Wompi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Dashboard y trazas de integración</w:t>
            </w:r>
          </w:p>
        </w:tc>
      </w:tr>
    </w:tbl>
    <w:bookmarkEnd w:id="61"/>
    <w:bookmarkEnd w:id="62"/>
    <w:sectPr>
      <w:footerReference w:type="default" r:id="rId10"/>
      <w:pgSz w:h="15840" w:w="12240"/>
      <w:pgMar w:bottom="1440" w:left="1440" w:right="1440" w:top="1440" w:header="691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SaborExpress | Yerson Stiven Cuellar Rubiano | Ficha 3145555 |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8" Type="http://schemas.openxmlformats.org/officeDocument/2006/relationships/image" Target="media/rId28.png"/><Relationship Id="rId45" Type="http://schemas.openxmlformats.org/officeDocument/2006/relationships/image" Target="media/rId45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48" Type="http://schemas.openxmlformats.org/officeDocument/2006/relationships/image" Target="media/rId48.png"/><Relationship Id="rId57" Type="http://schemas.openxmlformats.org/officeDocument/2006/relationships/image" Target="media/rId57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2026-10-15T01:17:11Z</dcterms:created>
  <dcterms:modified xsi:type="dcterms:W3CDTF">2026-10-15T01:17:11Z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