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100"/>
        <w:jc w:val="center"/>
      </w:pPr>
      <w:r>
        <w:drawing>
          <wp:inline>
            <wp:extent cx="4389120" cy="2501042"/>
            <wp:docPr id="47" name="Picture 47"/>
            <wp:cNvGraphicFramePr>
              <a:graphicFrameLocks noChangeAspect="1"/>
            </wp:cNvGraphicFramePr>
            <a:graphic>
              <a:graphicData uri="http://schemas.openxmlformats.org/drawingml/2006/picture">
                <pic:pic>
                  <pic:nvPicPr>
                    <pic:cNvPr id="0" name="SaborExpress_logo_transparente.png"/>
                    <pic:cNvPicPr/>
                  </pic:nvPicPr>
                  <pic:blipFill>
                    <a:blip r:embed="rId9"/>
                    <a:stretch>
                      <a:fillRect/>
                    </a:stretch>
                  </pic:blipFill>
                  <pic:spPr>
                    <a:xfrm>
                      <a:off x="0" y="0"/>
                      <a:ext cx="4389120" cy="2501042"/>
                    </a:xfrm>
                    <a:prstGeom prst="rect"/>
                  </pic:spPr>
                </pic:pic>
              </a:graphicData>
            </a:graphic>
          </wp:inline>
        </w:drawing>
      </w:r>
    </w:p>
    <w:p>
      <w:pPr>
        <w:spacing w:before="900" w:after="500"/>
        <w:jc w:val="center"/>
      </w:pPr>
      <w:r>
        <w:rPr>
          <w:rFonts w:ascii="Times New Roman" w:hAnsi="Times New Roman"/>
          <w:b/>
          <w:sz w:val="34"/>
        </w:rPr>
        <w:t>03 SaborExpress Propuesta Tecnica</w:t>
      </w:r>
    </w:p>
    <w:p>
      <w:pPr>
        <w:spacing w:after="160"/>
        <w:jc w:val="center"/>
      </w:pPr>
      <w:r>
        <w:rPr>
          <w:rFonts w:ascii="Times New Roman" w:hAnsi="Times New Roman"/>
          <w:b/>
          <w:sz w:val="24"/>
        </w:rPr>
        <w:t>SABOREXPRESS — PROYECTO DE SOFTWARE</w:t>
      </w:r>
    </w:p>
    <w:p>
      <w:pPr>
        <w:spacing w:after="160"/>
        <w:jc w:val="center"/>
      </w:pPr>
      <w:r>
        <w:rPr>
          <w:rFonts w:ascii="Times New Roman" w:hAnsi="Times New Roman"/>
          <w:sz w:val="24"/>
        </w:rPr>
        <w:t>Yerson Stiven Cuellar Rubiano</w:t>
      </w:r>
    </w:p>
    <w:p>
      <w:pPr>
        <w:spacing w:after="160"/>
        <w:jc w:val="center"/>
      </w:pPr>
      <w:r>
        <w:rPr>
          <w:rFonts w:ascii="Times New Roman" w:hAnsi="Times New Roman"/>
          <w:sz w:val="24"/>
        </w:rPr>
        <w:t>Ficha de formación: 3145555</w:t>
      </w:r>
    </w:p>
    <w:p>
      <w:pPr>
        <w:spacing w:after="160"/>
        <w:jc w:val="center"/>
      </w:pPr>
      <w:r>
        <w:rPr>
          <w:rFonts w:ascii="Times New Roman" w:hAnsi="Times New Roman"/>
          <w:sz w:val="24"/>
        </w:rPr>
        <w:t>Expediente técnico y académico — APA 7</w:t>
      </w:r>
    </w:p>
    <w:p>
      <w:pPr>
        <w:spacing w:after="160"/>
        <w:jc w:val="center"/>
      </w:pPr>
      <w:r>
        <w:rPr>
          <w:rFonts w:ascii="Times New Roman" w:hAnsi="Times New Roman"/>
          <w:sz w:val="24"/>
        </w:rPr>
        <w:t>14 de octubre de 2026</w:t>
      </w:r>
    </w:p>
    <w:p>
      <w:pPr>
        <w:spacing w:before="600"/>
        <w:jc w:val="center"/>
      </w:pPr>
      <w:r>
        <w:rPr>
          <w:i/>
        </w:rPr>
        <w:t>Fuente documental: repositorios SaborExpressBack, SaborExpressWeb y SaborExpressMovil.</w:t>
        <w:br/>
        <w:t>Las pruebas no ejecutadas se identifican como pendientes.</w:t>
      </w:r>
    </w:p>
    <w:p>
      <w:r>
        <w:br w:type="page"/>
      </w:r>
    </w:p>
    <w:bookmarkStart w:id="48" w:name="propuesta-técnica-y-plan-de-solución"/>
    <w:p>
      <w:pPr>
        <w:pStyle w:val="Heading1"/>
        <w:keepNext/>
        <w:spacing w:line="264" w:lineRule="auto"/>
      </w:pPr>
      <w:r>
        <w:t xml:space="preserve">Propuesta técnica y plan de solución</w:t>
      </w:r>
    </w:p>
    <w:p>
      <w:pPr>
        <w:pStyle w:val="FirstParagraph"/>
        <w:spacing w:line="396" w:lineRule="auto" w:after="100"/>
      </w:pPr>
      <w:r>
        <w:rPr>
          <w:b/>
          <w:bCs/>
        </w:rPr>
        <w:t xml:space="preserve">Proyecto:</w:t>
      </w:r>
      <w:r>
        <w:t xml:space="preserve"> </w:t>
      </w:r>
      <w:r>
        <w:t xml:space="preserve">SaborExpress |</w:t>
      </w:r>
      <w:r>
        <w:t xml:space="preserve"> </w:t>
      </w:r>
      <w:r>
        <w:rPr>
          <w:b/>
          <w:bCs/>
        </w:rPr>
        <w:t xml:space="preserve">Autor / integrante:</w:t>
      </w:r>
      <w:r>
        <w:t xml:space="preserve"> </w:t>
      </w:r>
      <w:r>
        <w:t xml:space="preserve">Yerson Stiven Cuellar Rubiano |</w:t>
      </w:r>
      <w:r>
        <w:t xml:space="preserve"> </w:t>
      </w:r>
      <w:r>
        <w:rPr>
          <w:b/>
          <w:bCs/>
        </w:rPr>
        <w:t xml:space="preserve">Ficha:</w:t>
      </w:r>
      <w:r>
        <w:t xml:space="preserve"> </w:t>
      </w:r>
      <w:r>
        <w:t xml:space="preserve">3145555 |</w:t>
      </w:r>
      <w:r>
        <w:t xml:space="preserve"> </w:t>
      </w:r>
      <w:r>
        <w:rPr>
          <w:b/>
          <w:bCs/>
        </w:rPr>
        <w:t xml:space="preserve">Fecha:</w:t>
      </w:r>
      <w:r>
        <w:t xml:space="preserve"> </w:t>
      </w:r>
      <w:r>
        <w:t xml:space="preserve">14 de octubre de 2026 |</w:t>
      </w:r>
      <w:r>
        <w:t xml:space="preserve"> </w:t>
      </w:r>
      <w:r>
        <w:rPr>
          <w:b/>
          <w:bCs/>
        </w:rPr>
        <w:t xml:space="preserve">Versión documental:</w:t>
      </w:r>
      <w:r>
        <w:t xml:space="preserve"> </w:t>
      </w:r>
      <w:r>
        <w:t xml:space="preserve">4.0</w:t>
      </w:r>
    </w:p>
    <w:p>
      <w:pPr>
        <w:pStyle w:val="BodyText"/>
        <w:spacing w:line="396" w:lineRule="auto" w:after="10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resumen-ejecutivo"/>
    <w:p>
      <w:pPr>
        <w:pStyle w:val="Heading2"/>
        <w:keepNext/>
        <w:spacing w:line="264" w:lineRule="auto"/>
      </w:pPr>
      <w:r>
        <w:t xml:space="preserve">1. Resumen ejecutivo</w:t>
      </w:r>
    </w:p>
    <w:p>
      <w:pPr>
        <w:pStyle w:val="FirstParagraph"/>
        <w:spacing w:line="396" w:lineRule="auto" w:after="100"/>
      </w:pPr>
      <w:r>
        <w:t xml:space="preserve">Se propone mantener y estabilizar una plataforma modular compuesta por una API .NET, un portal de administración Next.js y una aplicación Expo para usuarios/roles de operación. La decisión prioritaria no es añadir microservicios, sino asegurar integridad de transacciones, autorización por sede, pruebas de pagos y despliegue reproducible.</w:t>
      </w:r>
    </w:p>
    <w:bookmarkEnd w:id="20"/>
    <w:bookmarkStart w:id="21" w:name="objetivo-alcance-y-entregables"/>
    <w:p>
      <w:pPr>
        <w:pStyle w:val="Heading2"/>
        <w:keepNext/>
        <w:spacing w:line="264" w:lineRule="auto"/>
      </w:pPr>
      <w:r>
        <w:t xml:space="preserve">2. Objetivo, alcance y entregables</w:t>
      </w:r>
    </w:p>
    <w:p>
      <w:pPr>
        <w:pStyle w:val="FirstParagraph"/>
        <w:spacing w:line="396" w:lineRule="auto" w:after="100"/>
      </w:pPr>
      <w:r>
        <w:t xml:space="preserve">El objetivo es documentar y validar los componentes ya presentes, integrarlos mediante un contrato OpenAPI verificable y asegurar una puesta en marcha comprobable. Entregables: SRS trazable, diagramas, manual técnico, manual de instalación, manual de usuario, catálogo de rutas, diccionario EF, matriz de pruebas, plan de mejora y artículo científico.</w:t>
      </w:r>
    </w:p>
    <w:bookmarkEnd w:id="21"/>
    <w:bookmarkStart w:id="22" w:name="alternativas-de-arquitectura"/>
    <w:p>
      <w:pPr>
        <w:pStyle w:val="Heading2"/>
        <w:keepNext/>
        <w:spacing w:line="264" w:lineRule="auto"/>
      </w:pPr>
      <w:r>
        <w:t xml:space="preserve">3. Alternativas de arquitectura</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Opción</w:t>
            </w:r>
          </w:p>
        </w:tc>
        <w:tc>
          <w:tcPr/>
          <w:p>
            <w:pPr>
              <w:pStyle w:val="Compact"/>
              <w:spacing w:line="240" w:lineRule="auto" w:after="20"/>
              <w:ind w:firstLine="0"/>
              <w:jc w:val="left"/>
            </w:pPr>
            <w:r>
              <w:rPr>
                <w:b/>
                <w:sz w:val="17"/>
              </w:rPr>
              <w:t xml:space="preserve">Ventaja</w:t>
            </w:r>
          </w:p>
        </w:tc>
        <w:tc>
          <w:tcPr/>
          <w:p>
            <w:pPr>
              <w:pStyle w:val="Compact"/>
              <w:spacing w:line="240" w:lineRule="auto" w:after="20"/>
              <w:ind w:firstLine="0"/>
              <w:jc w:val="left"/>
            </w:pPr>
            <w:r>
              <w:rPr>
                <w:b/>
                <w:sz w:val="17"/>
              </w:rPr>
              <w:t xml:space="preserve">Riesgo/condición</w:t>
            </w:r>
          </w:p>
        </w:tc>
        <w:tc>
          <w:tcPr/>
          <w:p>
            <w:pPr>
              <w:pStyle w:val="Compact"/>
              <w:spacing w:line="240" w:lineRule="auto" w:after="20"/>
              <w:ind w:firstLine="0"/>
              <w:jc w:val="left"/>
            </w:pPr>
            <w:r>
              <w:rPr>
                <w:b/>
                <w:sz w:val="17"/>
              </w:rPr>
              <w:t xml:space="preserve">Decisión</w:t>
            </w:r>
          </w:p>
        </w:tc>
      </w:tr>
      <w:tr>
        <w:tc>
          <w:tcPr/>
          <w:p>
            <w:pPr>
              <w:pStyle w:val="Compact"/>
              <w:spacing w:line="240" w:lineRule="auto" w:after="20"/>
              <w:ind w:firstLine="0"/>
              <w:jc w:val="left"/>
            </w:pPr>
            <w:r>
              <w:rPr>
                <w:sz w:val="17"/>
              </w:rPr>
              <w:t xml:space="preserve">Monolito modular .NET</w:t>
            </w:r>
          </w:p>
        </w:tc>
        <w:tc>
          <w:tcPr/>
          <w:p>
            <w:pPr>
              <w:pStyle w:val="Compact"/>
              <w:spacing w:line="240" w:lineRule="auto" w:after="20"/>
              <w:ind w:firstLine="0"/>
              <w:jc w:val="left"/>
            </w:pPr>
            <w:r>
              <w:rPr>
                <w:sz w:val="17"/>
              </w:rPr>
              <w:t xml:space="preserve">Menor complejidad de despliegue; actual</w:t>
            </w:r>
          </w:p>
        </w:tc>
        <w:tc>
          <w:tcPr/>
          <w:p>
            <w:pPr>
              <w:pStyle w:val="Compact"/>
              <w:spacing w:line="240" w:lineRule="auto" w:after="20"/>
              <w:ind w:firstLine="0"/>
              <w:jc w:val="left"/>
            </w:pPr>
            <w:r>
              <w:rPr>
                <w:sz w:val="17"/>
              </w:rPr>
              <w:t xml:space="preserve">Exige límites de dominio claros</w:t>
            </w:r>
          </w:p>
        </w:tc>
        <w:tc>
          <w:tcPr/>
          <w:p>
            <w:pPr>
              <w:pStyle w:val="Compact"/>
              <w:spacing w:line="240" w:lineRule="auto" w:after="20"/>
              <w:ind w:firstLine="0"/>
              <w:jc w:val="left"/>
            </w:pPr>
            <w:r>
              <w:rPr>
                <w:sz w:val="17"/>
              </w:rPr>
              <w:t xml:space="preserve">Mantener</w:t>
            </w:r>
          </w:p>
        </w:tc>
      </w:tr>
      <w:tr>
        <w:tc>
          <w:tcPr/>
          <w:p>
            <w:pPr>
              <w:pStyle w:val="Compact"/>
              <w:spacing w:line="240" w:lineRule="auto" w:after="20"/>
              <w:ind w:firstLine="0"/>
              <w:jc w:val="left"/>
            </w:pPr>
            <w:r>
              <w:rPr>
                <w:sz w:val="17"/>
              </w:rPr>
              <w:t xml:space="preserve">Microservicios por dominio</w:t>
            </w:r>
          </w:p>
        </w:tc>
        <w:tc>
          <w:tcPr/>
          <w:p>
            <w:pPr>
              <w:pStyle w:val="Compact"/>
              <w:spacing w:line="240" w:lineRule="auto" w:after="20"/>
              <w:ind w:firstLine="0"/>
              <w:jc w:val="left"/>
            </w:pPr>
            <w:r>
              <w:rPr>
                <w:sz w:val="17"/>
              </w:rPr>
              <w:t xml:space="preserve">Escalado y autonomía independientes</w:t>
            </w:r>
          </w:p>
        </w:tc>
        <w:tc>
          <w:tcPr/>
          <w:p>
            <w:pPr>
              <w:pStyle w:val="Compact"/>
              <w:spacing w:line="240" w:lineRule="auto" w:after="20"/>
              <w:ind w:firstLine="0"/>
              <w:jc w:val="left"/>
            </w:pPr>
            <w:r>
              <w:rPr>
                <w:sz w:val="17"/>
              </w:rPr>
              <w:t xml:space="preserve">Costo operativo y consistencia distribuidos</w:t>
            </w:r>
          </w:p>
        </w:tc>
        <w:tc>
          <w:tcPr/>
          <w:p>
            <w:pPr>
              <w:pStyle w:val="Compact"/>
              <w:spacing w:line="240" w:lineRule="auto" w:after="20"/>
              <w:ind w:firstLine="0"/>
              <w:jc w:val="left"/>
            </w:pPr>
            <w:r>
              <w:rPr>
                <w:sz w:val="17"/>
              </w:rPr>
              <w:t xml:space="preserve">No afirmar ni migrar sin evidencia</w:t>
            </w:r>
          </w:p>
        </w:tc>
      </w:tr>
      <w:tr>
        <w:tc>
          <w:tcPr/>
          <w:p>
            <w:pPr>
              <w:pStyle w:val="Compact"/>
              <w:spacing w:line="240" w:lineRule="auto" w:after="20"/>
              <w:ind w:firstLine="0"/>
              <w:jc w:val="left"/>
            </w:pPr>
            <w:r>
              <w:rPr>
                <w:sz w:val="17"/>
              </w:rPr>
              <w:t xml:space="preserve">Supabase como backend único</w:t>
            </w:r>
          </w:p>
        </w:tc>
        <w:tc>
          <w:tcPr/>
          <w:p>
            <w:pPr>
              <w:pStyle w:val="Compact"/>
              <w:spacing w:line="240" w:lineRule="auto" w:after="20"/>
              <w:ind w:firstLine="0"/>
              <w:jc w:val="left"/>
            </w:pPr>
            <w:r>
              <w:rPr>
                <w:sz w:val="17"/>
              </w:rPr>
              <w:t xml:space="preserve">Servicios integrados</w:t>
            </w:r>
          </w:p>
        </w:tc>
        <w:tc>
          <w:tcPr/>
          <w:p>
            <w:pPr>
              <w:pStyle w:val="Compact"/>
              <w:spacing w:line="240" w:lineRule="auto" w:after="20"/>
              <w:ind w:firstLine="0"/>
              <w:jc w:val="left"/>
            </w:pPr>
            <w:r>
              <w:rPr>
                <w:sz w:val="17"/>
              </w:rPr>
              <w:t xml:space="preserve">No coincide con código actual</w:t>
            </w:r>
          </w:p>
        </w:tc>
        <w:tc>
          <w:tcPr/>
          <w:p>
            <w:pPr>
              <w:pStyle w:val="Compact"/>
              <w:spacing w:line="240" w:lineRule="auto" w:after="20"/>
              <w:ind w:firstLine="0"/>
              <w:jc w:val="left"/>
            </w:pPr>
            <w:r>
              <w:rPr>
                <w:sz w:val="17"/>
              </w:rPr>
              <w:t xml:space="preserve">Descartada como descripción actual</w:t>
            </w:r>
          </w:p>
        </w:tc>
      </w:tr>
      <w:tr>
        <w:tc>
          <w:tcPr/>
          <w:p>
            <w:pPr>
              <w:pStyle w:val="Compact"/>
              <w:spacing w:line="240" w:lineRule="auto" w:after="20"/>
              <w:ind w:firstLine="0"/>
              <w:jc w:val="left"/>
            </w:pPr>
            <w:r>
              <w:rPr>
                <w:sz w:val="17"/>
              </w:rPr>
              <w:t xml:space="preserve">Dos frontends API compartida</w:t>
            </w:r>
          </w:p>
        </w:tc>
        <w:tc>
          <w:tcPr/>
          <w:p>
            <w:pPr>
              <w:pStyle w:val="Compact"/>
              <w:spacing w:line="240" w:lineRule="auto" w:after="20"/>
              <w:ind w:firstLine="0"/>
              <w:jc w:val="left"/>
            </w:pPr>
            <w:r>
              <w:rPr>
                <w:sz w:val="17"/>
              </w:rPr>
              <w:t xml:space="preserve">Reuso de contratos de negocio</w:t>
            </w:r>
          </w:p>
        </w:tc>
        <w:tc>
          <w:tcPr/>
          <w:p>
            <w:pPr>
              <w:pStyle w:val="Compact"/>
              <w:spacing w:line="240" w:lineRule="auto" w:after="20"/>
              <w:ind w:firstLine="0"/>
              <w:jc w:val="left"/>
            </w:pPr>
            <w:r>
              <w:rPr>
                <w:sz w:val="17"/>
              </w:rPr>
              <w:t xml:space="preserve">Versionado y permisos</w:t>
            </w:r>
          </w:p>
        </w:tc>
        <w:tc>
          <w:tcPr/>
          <w:p>
            <w:pPr>
              <w:pStyle w:val="Compact"/>
              <w:spacing w:line="240" w:lineRule="auto" w:after="20"/>
              <w:ind w:firstLine="0"/>
              <w:jc w:val="left"/>
            </w:pPr>
            <w:r>
              <w:rPr>
                <w:sz w:val="17"/>
              </w:rPr>
              <w:t xml:space="preserve">Mantener y probar</w:t>
            </w:r>
          </w:p>
        </w:tc>
      </w:tr>
    </w:tbl>
    <w:bookmarkEnd w:id="22"/>
    <w:bookmarkStart w:id="23" w:name="plan-de-implementación-y-responsables"/>
    <w:p>
      <w:pPr>
        <w:pStyle w:val="Heading2"/>
        <w:keepNext/>
        <w:spacing w:line="264" w:lineRule="auto"/>
      </w:pPr>
      <w:r>
        <w:t xml:space="preserve">4. Plan de implementación y responsables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Fase</w:t>
            </w:r>
          </w:p>
        </w:tc>
        <w:tc>
          <w:tcPr/>
          <w:p>
            <w:pPr>
              <w:pStyle w:val="Compact"/>
              <w:spacing w:line="240" w:lineRule="auto" w:after="20"/>
              <w:ind w:firstLine="0"/>
              <w:jc w:val="left"/>
            </w:pPr>
            <w:r>
              <w:rPr>
                <w:b/>
                <w:sz w:val="17"/>
              </w:rPr>
              <w:t xml:space="preserve">Actividades</w:t>
            </w:r>
          </w:p>
        </w:tc>
        <w:tc>
          <w:tcPr/>
          <w:p>
            <w:pPr>
              <w:pStyle w:val="Compact"/>
              <w:spacing w:line="240" w:lineRule="auto" w:after="20"/>
              <w:ind w:firstLine="0"/>
              <w:jc w:val="left"/>
            </w:pPr>
            <w:r>
              <w:rPr>
                <w:b/>
                <w:sz w:val="17"/>
              </w:rPr>
              <w:t xml:space="preserve">Criterio de cierre</w:t>
            </w:r>
          </w:p>
        </w:tc>
      </w:tr>
      <w:tr>
        <w:tc>
          <w:tcPr/>
          <w:p>
            <w:pPr>
              <w:pStyle w:val="Compact"/>
              <w:spacing w:line="240" w:lineRule="auto" w:after="20"/>
              <w:ind w:firstLine="0"/>
              <w:jc w:val="left"/>
            </w:pPr>
            <w:r>
              <w:rPr>
                <w:sz w:val="17"/>
              </w:rPr>
              <w:t xml:space="preserve">P1 – saneamiento</w:t>
            </w:r>
          </w:p>
        </w:tc>
        <w:tc>
          <w:tcPr/>
          <w:p>
            <w:pPr>
              <w:pStyle w:val="Compact"/>
              <w:spacing w:line="240" w:lineRule="auto" w:after="20"/>
              <w:ind w:firstLine="0"/>
              <w:jc w:val="left"/>
            </w:pPr>
            <w:r>
              <w:rPr>
                <w:sz w:val="17"/>
              </w:rPr>
              <w:t xml:space="preserve">Congelar commit, corregir README, inventariar secretos y dependencias</w:t>
            </w:r>
          </w:p>
        </w:tc>
        <w:tc>
          <w:tcPr/>
          <w:p>
            <w:pPr>
              <w:pStyle w:val="Compact"/>
              <w:spacing w:line="240" w:lineRule="auto" w:after="20"/>
              <w:ind w:firstLine="0"/>
              <w:jc w:val="left"/>
            </w:pPr>
            <w:r>
              <w:rPr>
                <w:sz w:val="17"/>
              </w:rPr>
              <w:t xml:space="preserve">Inventario y .env.example publicados</w:t>
            </w:r>
          </w:p>
        </w:tc>
      </w:tr>
      <w:tr>
        <w:tc>
          <w:tcPr/>
          <w:p>
            <w:pPr>
              <w:pStyle w:val="Compact"/>
              <w:spacing w:line="240" w:lineRule="auto" w:after="20"/>
              <w:ind w:firstLine="0"/>
              <w:jc w:val="left"/>
            </w:pPr>
            <w:r>
              <w:rPr>
                <w:sz w:val="17"/>
              </w:rPr>
              <w:t xml:space="preserve">P2 – integridad</w:t>
            </w:r>
          </w:p>
        </w:tc>
        <w:tc>
          <w:tcPr/>
          <w:p>
            <w:pPr>
              <w:pStyle w:val="Compact"/>
              <w:spacing w:line="240" w:lineRule="auto" w:after="20"/>
              <w:ind w:firstLine="0"/>
              <w:jc w:val="left"/>
            </w:pPr>
            <w:r>
              <w:rPr>
                <w:sz w:val="17"/>
              </w:rPr>
              <w:t xml:space="preserve">Migraciones reproducibles, pruebas CRUD por proveedor objetivo</w:t>
            </w:r>
          </w:p>
        </w:tc>
        <w:tc>
          <w:tcPr/>
          <w:p>
            <w:pPr>
              <w:pStyle w:val="Compact"/>
              <w:spacing w:line="240" w:lineRule="auto" w:after="20"/>
              <w:ind w:firstLine="0"/>
              <w:jc w:val="left"/>
            </w:pPr>
            <w:r>
              <w:rPr>
                <w:sz w:val="17"/>
              </w:rPr>
              <w:t xml:space="preserve">Test y restauración pasan</w:t>
            </w:r>
          </w:p>
        </w:tc>
      </w:tr>
      <w:tr>
        <w:tc>
          <w:tcPr/>
          <w:p>
            <w:pPr>
              <w:pStyle w:val="Compact"/>
              <w:spacing w:line="240" w:lineRule="auto" w:after="20"/>
              <w:ind w:firstLine="0"/>
              <w:jc w:val="left"/>
            </w:pPr>
            <w:r>
              <w:rPr>
                <w:sz w:val="17"/>
              </w:rPr>
              <w:t xml:space="preserve">P3 – autorizaciones</w:t>
            </w:r>
          </w:p>
        </w:tc>
        <w:tc>
          <w:tcPr/>
          <w:p>
            <w:pPr>
              <w:pStyle w:val="Compact"/>
              <w:spacing w:line="240" w:lineRule="auto" w:after="20"/>
              <w:ind w:firstLine="0"/>
              <w:jc w:val="left"/>
            </w:pPr>
            <w:r>
              <w:rPr>
                <w:sz w:val="17"/>
              </w:rPr>
              <w:t xml:space="preserve">Matriz rol/recurso/sede; pruebas negativas</w:t>
            </w:r>
          </w:p>
        </w:tc>
        <w:tc>
          <w:tcPr/>
          <w:p>
            <w:pPr>
              <w:pStyle w:val="Compact"/>
              <w:spacing w:line="240" w:lineRule="auto" w:after="20"/>
              <w:ind w:firstLine="0"/>
              <w:jc w:val="left"/>
            </w:pPr>
            <w:r>
              <w:rPr>
                <w:sz w:val="17"/>
              </w:rPr>
              <w:t xml:space="preserve">0 accesos indebidos en matriz</w:t>
            </w:r>
          </w:p>
        </w:tc>
      </w:tr>
      <w:tr>
        <w:tc>
          <w:tcPr/>
          <w:p>
            <w:pPr>
              <w:pStyle w:val="Compact"/>
              <w:spacing w:line="240" w:lineRule="auto" w:after="20"/>
              <w:ind w:firstLine="0"/>
              <w:jc w:val="left"/>
            </w:pPr>
            <w:r>
              <w:rPr>
                <w:sz w:val="17"/>
              </w:rPr>
              <w:t xml:space="preserve">P4 – pagos</w:t>
            </w:r>
          </w:p>
        </w:tc>
        <w:tc>
          <w:tcPr/>
          <w:p>
            <w:pPr>
              <w:pStyle w:val="Compact"/>
              <w:spacing w:line="240" w:lineRule="auto" w:after="20"/>
              <w:ind w:firstLine="0"/>
              <w:jc w:val="left"/>
            </w:pPr>
            <w:r>
              <w:rPr>
                <w:sz w:val="17"/>
              </w:rPr>
              <w:t xml:space="preserve">Sandbox Wompi, validación de firmas y duplicados</w:t>
            </w:r>
          </w:p>
        </w:tc>
        <w:tc>
          <w:tcPr/>
          <w:p>
            <w:pPr>
              <w:pStyle w:val="Compact"/>
              <w:spacing w:line="240" w:lineRule="auto" w:after="20"/>
              <w:ind w:firstLine="0"/>
              <w:jc w:val="left"/>
            </w:pPr>
            <w:r>
              <w:rPr>
                <w:sz w:val="17"/>
              </w:rPr>
              <w:t xml:space="preserve">Conciliación sin doble cargo</w:t>
            </w:r>
          </w:p>
        </w:tc>
      </w:tr>
      <w:tr>
        <w:tc>
          <w:tcPr/>
          <w:p>
            <w:pPr>
              <w:pStyle w:val="Compact"/>
              <w:spacing w:line="240" w:lineRule="auto" w:after="20"/>
              <w:ind w:firstLine="0"/>
              <w:jc w:val="left"/>
            </w:pPr>
            <w:r>
              <w:rPr>
                <w:sz w:val="17"/>
              </w:rPr>
              <w:t xml:space="preserve">P5 – operación</w:t>
            </w:r>
          </w:p>
        </w:tc>
        <w:tc>
          <w:tcPr/>
          <w:p>
            <w:pPr>
              <w:pStyle w:val="Compact"/>
              <w:spacing w:line="240" w:lineRule="auto" w:after="20"/>
              <w:ind w:firstLine="0"/>
              <w:jc w:val="left"/>
            </w:pPr>
            <w:r>
              <w:rPr>
                <w:sz w:val="17"/>
              </w:rPr>
              <w:t xml:space="preserve">Ensayos E2E y monitoreo; backup/restore</w:t>
            </w:r>
          </w:p>
        </w:tc>
        <w:tc>
          <w:tcPr/>
          <w:p>
            <w:pPr>
              <w:pStyle w:val="Compact"/>
              <w:spacing w:line="240" w:lineRule="auto" w:after="20"/>
              <w:ind w:firstLine="0"/>
              <w:jc w:val="left"/>
            </w:pPr>
            <w:r>
              <w:rPr>
                <w:sz w:val="17"/>
              </w:rPr>
              <w:t xml:space="preserve">Evidencias firmadas por QA</w:t>
            </w:r>
          </w:p>
        </w:tc>
      </w:tr>
      <w:tr>
        <w:tc>
          <w:tcPr/>
          <w:p>
            <w:pPr>
              <w:pStyle w:val="Compact"/>
              <w:spacing w:line="240" w:lineRule="auto" w:after="20"/>
              <w:ind w:firstLine="0"/>
              <w:jc w:val="left"/>
            </w:pPr>
            <w:r>
              <w:rPr>
                <w:sz w:val="17"/>
              </w:rPr>
              <w:t xml:space="preserve">P6 – entrega</w:t>
            </w:r>
          </w:p>
        </w:tc>
        <w:tc>
          <w:tcPr/>
          <w:p>
            <w:pPr>
              <w:pStyle w:val="Compact"/>
              <w:spacing w:line="240" w:lineRule="auto" w:after="20"/>
              <w:ind w:firstLine="0"/>
              <w:jc w:val="left"/>
            </w:pPr>
            <w:r>
              <w:rPr>
                <w:sz w:val="17"/>
              </w:rPr>
              <w:t xml:space="preserve">Manual de usuario, capacitación, revisión académica</w:t>
            </w:r>
          </w:p>
        </w:tc>
        <w:tc>
          <w:tcPr/>
          <w:p>
            <w:pPr>
              <w:pStyle w:val="Compact"/>
              <w:spacing w:line="240" w:lineRule="auto" w:after="20"/>
              <w:ind w:firstLine="0"/>
              <w:jc w:val="left"/>
            </w:pPr>
            <w:r>
              <w:rPr>
                <w:sz w:val="17"/>
              </w:rPr>
              <w:t xml:space="preserve">Acta de aceptación</w:t>
            </w:r>
          </w:p>
        </w:tc>
      </w:tr>
    </w:tbl>
    <w:bookmarkEnd w:id="23"/>
    <w:bookmarkStart w:id="24" w:name="recursos-y-condiciones"/>
    <w:p>
      <w:pPr>
        <w:pStyle w:val="Heading2"/>
        <w:keepNext/>
        <w:spacing w:line="264" w:lineRule="auto"/>
      </w:pPr>
      <w:r>
        <w:t xml:space="preserve">5. Recursos y condiciones</w:t>
      </w:r>
    </w:p>
    <w:p>
      <w:pPr>
        <w:pStyle w:val="FirstParagraph"/>
        <w:spacing w:line="396" w:lineRule="auto" w:after="100"/>
      </w:pPr>
      <w:r>
        <w:t xml:space="preserve">Ambiente de desarrollo: .NET SDK 8, Node/npm, repositorios, motor DB compatible, conexión a sandbox Wompi, entorno Expo (SDK y dispositivo/emulador), herramientas de pruebas API y un lugar seguro para secretos. Host, proveedor, precio y SLA de producción quedan sujetos a decisión del equipo; no se asignan precios sin cotización actual.</w:t>
      </w:r>
    </w:p>
    <w:bookmarkEnd w:id="24"/>
    <w:bookmarkStart w:id="25" w:name="riesgos-priorizados"/>
    <w:p>
      <w:pPr>
        <w:pStyle w:val="Heading2"/>
        <w:keepNext/>
        <w:spacing w:line="264" w:lineRule="auto"/>
      </w:pPr>
      <w:r>
        <w:t xml:space="preserve">6. Riesgos priorizados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Riesgo</w:t>
            </w:r>
          </w:p>
        </w:tc>
        <w:tc>
          <w:tcPr/>
          <w:p>
            <w:pPr>
              <w:pStyle w:val="Compact"/>
              <w:spacing w:line="240" w:lineRule="auto" w:after="20"/>
              <w:ind w:firstLine="0"/>
              <w:jc w:val="left"/>
            </w:pPr>
            <w:r>
              <w:rPr>
                <w:b/>
                <w:sz w:val="17"/>
              </w:rPr>
              <w:t xml:space="preserve">Impacto</w:t>
            </w:r>
          </w:p>
        </w:tc>
        <w:tc>
          <w:tcPr/>
          <w:p>
            <w:pPr>
              <w:pStyle w:val="Compact"/>
              <w:spacing w:line="240" w:lineRule="auto" w:after="20"/>
              <w:ind w:firstLine="0"/>
              <w:jc w:val="left"/>
            </w:pPr>
            <w:r>
              <w:rPr>
                <w:b/>
                <w:sz w:val="17"/>
              </w:rPr>
              <w:t xml:space="preserve">Respuesta</w:t>
            </w:r>
          </w:p>
        </w:tc>
      </w:tr>
      <w:tr>
        <w:tc>
          <w:tcPr/>
          <w:p>
            <w:pPr>
              <w:pStyle w:val="Compact"/>
              <w:spacing w:line="240" w:lineRule="auto" w:after="20"/>
              <w:ind w:firstLine="0"/>
              <w:jc w:val="left"/>
            </w:pPr>
            <w:r>
              <w:rPr>
                <w:sz w:val="17"/>
              </w:rPr>
              <w:t xml:space="preserve">Duplicado de webhook</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Idempotencia/firmas/eventos</w:t>
            </w:r>
          </w:p>
        </w:tc>
      </w:tr>
      <w:tr>
        <w:tc>
          <w:tcPr/>
          <w:p>
            <w:pPr>
              <w:pStyle w:val="Compact"/>
              <w:spacing w:line="240" w:lineRule="auto" w:after="20"/>
              <w:ind w:firstLine="0"/>
              <w:jc w:val="left"/>
            </w:pPr>
            <w:r>
              <w:rPr>
                <w:sz w:val="17"/>
              </w:rPr>
              <w:t xml:space="preserve">Token o privilegios insuficientes</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Pruebas OWASP API1/API5</w:t>
            </w:r>
          </w:p>
        </w:tc>
      </w:tr>
      <w:tr>
        <w:tc>
          <w:tcPr/>
          <w:p>
            <w:pPr>
              <w:pStyle w:val="Compact"/>
              <w:spacing w:line="240" w:lineRule="auto" w:after="20"/>
              <w:ind w:firstLine="0"/>
              <w:jc w:val="left"/>
            </w:pPr>
            <w:r>
              <w:rPr>
                <w:sz w:val="17"/>
              </w:rPr>
              <w:t xml:space="preserve">Claves subidas a repo</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Escaneo y rotación</w:t>
            </w:r>
          </w:p>
        </w:tc>
      </w:tr>
      <w:tr>
        <w:tc>
          <w:tcPr/>
          <w:p>
            <w:pPr>
              <w:pStyle w:val="Compact"/>
              <w:spacing w:line="240" w:lineRule="auto" w:after="20"/>
              <w:ind w:firstLine="0"/>
              <w:jc w:val="left"/>
            </w:pPr>
            <w:r>
              <w:rPr>
                <w:sz w:val="17"/>
              </w:rPr>
              <w:t xml:space="preserve">Migración automática al iniciar</w:t>
            </w:r>
          </w:p>
        </w:tc>
        <w:tc>
          <w:tcPr/>
          <w:p>
            <w:pPr>
              <w:pStyle w:val="Compact"/>
              <w:spacing w:line="240" w:lineRule="auto" w:after="20"/>
              <w:ind w:firstLine="0"/>
              <w:jc w:val="left"/>
            </w:pPr>
            <w:r>
              <w:rPr>
                <w:sz w:val="17"/>
              </w:rPr>
              <w:t xml:space="preserve">Medio/alto</w:t>
            </w:r>
          </w:p>
        </w:tc>
        <w:tc>
          <w:tcPr/>
          <w:p>
            <w:pPr>
              <w:pStyle w:val="Compact"/>
              <w:spacing w:line="240" w:lineRule="auto" w:after="20"/>
              <w:ind w:firstLine="0"/>
              <w:jc w:val="left"/>
            </w:pPr>
            <w:r>
              <w:rPr>
                <w:sz w:val="17"/>
              </w:rPr>
              <w:t xml:space="preserve">Revisar estrategia en producción</w:t>
            </w:r>
          </w:p>
        </w:tc>
      </w:tr>
      <w:tr>
        <w:tc>
          <w:tcPr/>
          <w:p>
            <w:pPr>
              <w:pStyle w:val="Compact"/>
              <w:spacing w:line="240" w:lineRule="auto" w:after="20"/>
              <w:ind w:firstLine="0"/>
              <w:jc w:val="left"/>
            </w:pPr>
            <w:r>
              <w:rPr>
                <w:sz w:val="17"/>
              </w:rPr>
              <w:t xml:space="preserve">CORS permisivo de desarrollo</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Lista estricta de orígenes reales</w:t>
            </w:r>
          </w:p>
        </w:tc>
      </w:tr>
      <w:tr>
        <w:tc>
          <w:tcPr/>
          <w:p>
            <w:pPr>
              <w:pStyle w:val="Compact"/>
              <w:spacing w:line="240" w:lineRule="auto" w:after="20"/>
              <w:ind w:firstLine="0"/>
              <w:jc w:val="left"/>
            </w:pPr>
            <w:r>
              <w:rPr>
                <w:sz w:val="17"/>
              </w:rPr>
              <w:t xml:space="preserve">Caída de SignalR</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Reconexión + reconciliación por REST</w:t>
            </w:r>
          </w:p>
        </w:tc>
      </w:tr>
      <w:tr>
        <w:tc>
          <w:tcPr/>
          <w:p>
            <w:pPr>
              <w:pStyle w:val="Compact"/>
              <w:spacing w:line="240" w:lineRule="auto" w:after="20"/>
              <w:ind w:firstLine="0"/>
              <w:jc w:val="left"/>
            </w:pPr>
            <w:r>
              <w:rPr>
                <w:sz w:val="17"/>
              </w:rPr>
              <w:t xml:space="preserve">Cobertura de pruebas desconocida</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Construir pipeline CI</w:t>
            </w:r>
          </w:p>
        </w:tc>
      </w:tr>
    </w:tbl>
    <w:bookmarkEnd w:id="25"/>
    <w:bookmarkStart w:id="26" w:name="criterios-de-éxito-a-medir"/>
    <w:p>
      <w:pPr>
        <w:pStyle w:val="Heading2"/>
        <w:keepNext/>
        <w:spacing w:line="264" w:lineRule="auto"/>
      </w:pPr>
      <w:r>
        <w:t xml:space="preserve">7. Criterios de éxito (a medir)</w:t>
      </w:r>
    </w:p>
    <w:p>
      <w:pPr>
        <w:pStyle w:val="FirstParagraph"/>
        <w:spacing w:line="396" w:lineRule="auto" w:after="100"/>
      </w:pPr>
      <w:r>
        <w:t xml:space="preserve">Operaciones funcionales críticas aprobadas, porcentaje de requisitos cubiertos por pruebas, incidencias bloqueantes resueltas, p95 de operaciones según carga acordada, trazabilidad de pagos y accesibilidad básica. Este plan no registra resultados cumplidos antes de ejecutar pruebas.</w:t>
      </w:r>
    </w:p>
    <w:bookmarkEnd w:id="26"/>
    <w:bookmarkStart w:id="27" w:name="plan-de-trabajo-profesional"/>
    <w:p>
      <w:pPr>
        <w:pStyle w:val="Heading2"/>
        <w:keepNext/>
        <w:spacing w:line="264" w:lineRule="auto"/>
      </w:pPr>
      <w:r>
        <w:t xml:space="preserve">8. Plan de trabajo profesional</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Fase</w:t>
            </w:r>
          </w:p>
        </w:tc>
        <w:tc>
          <w:tcPr/>
          <w:p>
            <w:pPr>
              <w:pStyle w:val="Compact"/>
              <w:spacing w:line="240" w:lineRule="auto" w:after="20"/>
              <w:ind w:firstLine="0"/>
              <w:jc w:val="left"/>
            </w:pPr>
            <w:r>
              <w:rPr>
                <w:b/>
                <w:sz w:val="17"/>
              </w:rPr>
              <w:t xml:space="preserve">Actividad</w:t>
            </w:r>
          </w:p>
        </w:tc>
        <w:tc>
          <w:tcPr/>
          <w:p>
            <w:pPr>
              <w:pStyle w:val="Compact"/>
              <w:spacing w:line="240" w:lineRule="auto" w:after="20"/>
              <w:ind w:firstLine="0"/>
              <w:jc w:val="left"/>
            </w:pPr>
            <w:r>
              <w:rPr>
                <w:b/>
                <w:sz w:val="17"/>
              </w:rPr>
              <w:t xml:space="preserve">Entregables</w:t>
            </w:r>
          </w:p>
        </w:tc>
        <w:tc>
          <w:tcPr/>
          <w:p>
            <w:pPr>
              <w:pStyle w:val="Compact"/>
              <w:spacing w:line="240" w:lineRule="auto" w:after="20"/>
              <w:ind w:firstLine="0"/>
              <w:jc w:val="left"/>
            </w:pPr>
            <w:r>
              <w:rPr>
                <w:b/>
                <w:sz w:val="17"/>
              </w:rPr>
              <w:t xml:space="preserve">Puerta de aprobación</w:t>
            </w:r>
          </w:p>
        </w:tc>
      </w:tr>
      <w:tr>
        <w:tc>
          <w:tcPr/>
          <w:p>
            <w:pPr>
              <w:pStyle w:val="Compact"/>
              <w:spacing w:line="240" w:lineRule="auto" w:after="20"/>
              <w:ind w:firstLine="0"/>
              <w:jc w:val="left"/>
            </w:pPr>
            <w:r>
              <w:rPr>
                <w:sz w:val="17"/>
              </w:rPr>
              <w:t xml:space="preserve">1</w:t>
            </w:r>
          </w:p>
        </w:tc>
        <w:tc>
          <w:tcPr/>
          <w:p>
            <w:pPr>
              <w:pStyle w:val="Compact"/>
              <w:spacing w:line="240" w:lineRule="auto" w:after="20"/>
              <w:ind w:firstLine="0"/>
              <w:jc w:val="left"/>
            </w:pPr>
            <w:r>
              <w:rPr>
                <w:sz w:val="17"/>
              </w:rPr>
              <w:t xml:space="preserve">Levantamiento de alcance y criterios</w:t>
            </w:r>
          </w:p>
        </w:tc>
        <w:tc>
          <w:tcPr/>
          <w:p>
            <w:pPr>
              <w:pStyle w:val="Compact"/>
              <w:spacing w:line="240" w:lineRule="auto" w:after="20"/>
              <w:ind w:firstLine="0"/>
              <w:jc w:val="left"/>
            </w:pPr>
            <w:r>
              <w:rPr>
                <w:sz w:val="17"/>
              </w:rPr>
              <w:t xml:space="preserve">Acta, actores, necesidades, matriz de requisitos</w:t>
            </w:r>
          </w:p>
        </w:tc>
        <w:tc>
          <w:tcPr/>
          <w:p>
            <w:pPr>
              <w:pStyle w:val="Compact"/>
              <w:spacing w:line="240" w:lineRule="auto" w:after="20"/>
              <w:ind w:firstLine="0"/>
              <w:jc w:val="left"/>
            </w:pPr>
            <w:r>
              <w:rPr>
                <w:sz w:val="17"/>
              </w:rPr>
              <w:t xml:space="preserve">SRS aprobada, propietarios de requisitos definidos</w:t>
            </w:r>
          </w:p>
        </w:tc>
      </w:tr>
      <w:tr>
        <w:tc>
          <w:tcPr/>
          <w:p>
            <w:pPr>
              <w:pStyle w:val="Compact"/>
              <w:spacing w:line="240" w:lineRule="auto" w:after="20"/>
              <w:ind w:firstLine="0"/>
              <w:jc w:val="left"/>
            </w:pPr>
            <w:r>
              <w:rPr>
                <w:sz w:val="17"/>
              </w:rPr>
              <w:t xml:space="preserve">2</w:t>
            </w:r>
          </w:p>
        </w:tc>
        <w:tc>
          <w:tcPr/>
          <w:p>
            <w:pPr>
              <w:pStyle w:val="Compact"/>
              <w:spacing w:line="240" w:lineRule="auto" w:after="20"/>
              <w:ind w:firstLine="0"/>
              <w:jc w:val="left"/>
            </w:pPr>
            <w:r>
              <w:rPr>
                <w:sz w:val="17"/>
              </w:rPr>
              <w:t xml:space="preserve">Línea base de repositorios</w:t>
            </w:r>
          </w:p>
        </w:tc>
        <w:tc>
          <w:tcPr/>
          <w:p>
            <w:pPr>
              <w:pStyle w:val="Compact"/>
              <w:spacing w:line="240" w:lineRule="auto" w:after="20"/>
              <w:ind w:firstLine="0"/>
              <w:jc w:val="left"/>
            </w:pPr>
            <w:r>
              <w:rPr>
                <w:sz w:val="17"/>
              </w:rPr>
              <w:t xml:space="preserve">Versiones Git, inventario de módulos y API</w:t>
            </w:r>
          </w:p>
        </w:tc>
        <w:tc>
          <w:tcPr/>
          <w:p>
            <w:pPr>
              <w:pStyle w:val="Compact"/>
              <w:spacing w:line="240" w:lineRule="auto" w:after="20"/>
              <w:ind w:firstLine="0"/>
              <w:jc w:val="left"/>
            </w:pPr>
            <w:r>
              <w:rPr>
                <w:sz w:val="17"/>
              </w:rPr>
              <w:t xml:space="preserve">SHA de API/web/móvil, dependencias y riesgos</w:t>
            </w:r>
          </w:p>
        </w:tc>
      </w:tr>
      <w:tr>
        <w:tc>
          <w:tcPr/>
          <w:p>
            <w:pPr>
              <w:pStyle w:val="Compact"/>
              <w:spacing w:line="240" w:lineRule="auto" w:after="20"/>
              <w:ind w:firstLine="0"/>
              <w:jc w:val="left"/>
            </w:pPr>
            <w:r>
              <w:rPr>
                <w:sz w:val="17"/>
              </w:rPr>
              <w:t xml:space="preserve">3</w:t>
            </w:r>
          </w:p>
        </w:tc>
        <w:tc>
          <w:tcPr/>
          <w:p>
            <w:pPr>
              <w:pStyle w:val="Compact"/>
              <w:spacing w:line="240" w:lineRule="auto" w:after="20"/>
              <w:ind w:firstLine="0"/>
              <w:jc w:val="left"/>
            </w:pPr>
            <w:r>
              <w:rPr>
                <w:sz w:val="17"/>
              </w:rPr>
              <w:t xml:space="preserve">Cierre de arquitectura</w:t>
            </w:r>
          </w:p>
        </w:tc>
        <w:tc>
          <w:tcPr/>
          <w:p>
            <w:pPr>
              <w:pStyle w:val="Compact"/>
              <w:spacing w:line="240" w:lineRule="auto" w:after="20"/>
              <w:ind w:firstLine="0"/>
              <w:jc w:val="left"/>
            </w:pPr>
            <w:r>
              <w:rPr>
                <w:sz w:val="17"/>
              </w:rPr>
              <w:t xml:space="preserve">Diagrama de componentes, ADR, elección de DB y despliegue</w:t>
            </w:r>
          </w:p>
        </w:tc>
        <w:tc>
          <w:tcPr/>
          <w:p>
            <w:pPr>
              <w:pStyle w:val="Compact"/>
              <w:spacing w:line="240" w:lineRule="auto" w:after="20"/>
              <w:ind w:firstLine="0"/>
              <w:jc w:val="left"/>
            </w:pPr>
            <w:r>
              <w:rPr>
                <w:sz w:val="17"/>
              </w:rPr>
              <w:t xml:space="preserve">Diseño revisado por pares</w:t>
            </w:r>
          </w:p>
        </w:tc>
      </w:tr>
      <w:tr>
        <w:tc>
          <w:tcPr/>
          <w:p>
            <w:pPr>
              <w:pStyle w:val="Compact"/>
              <w:spacing w:line="240" w:lineRule="auto" w:after="20"/>
              <w:ind w:firstLine="0"/>
              <w:jc w:val="left"/>
            </w:pPr>
            <w:r>
              <w:rPr>
                <w:sz w:val="17"/>
              </w:rPr>
              <w:t xml:space="preserve">4</w:t>
            </w:r>
          </w:p>
        </w:tc>
        <w:tc>
          <w:tcPr/>
          <w:p>
            <w:pPr>
              <w:pStyle w:val="Compact"/>
              <w:spacing w:line="240" w:lineRule="auto" w:after="20"/>
              <w:ind w:firstLine="0"/>
              <w:jc w:val="left"/>
            </w:pPr>
            <w:r>
              <w:rPr>
                <w:sz w:val="17"/>
              </w:rPr>
              <w:t xml:space="preserve">Seguridad e integridad</w:t>
            </w:r>
          </w:p>
        </w:tc>
        <w:tc>
          <w:tcPr/>
          <w:p>
            <w:pPr>
              <w:pStyle w:val="Compact"/>
              <w:spacing w:line="240" w:lineRule="auto" w:after="20"/>
              <w:ind w:firstLine="0"/>
              <w:jc w:val="left"/>
            </w:pPr>
            <w:r>
              <w:rPr>
                <w:sz w:val="17"/>
              </w:rPr>
              <w:t xml:space="preserve">Autorización por objeto, Wompi, migraciones</w:t>
            </w:r>
          </w:p>
        </w:tc>
        <w:tc>
          <w:tcPr/>
          <w:p>
            <w:pPr>
              <w:pStyle w:val="Compact"/>
              <w:spacing w:line="240" w:lineRule="auto" w:after="20"/>
              <w:ind w:firstLine="0"/>
              <w:jc w:val="left"/>
            </w:pPr>
            <w:r>
              <w:rPr>
                <w:sz w:val="17"/>
              </w:rPr>
              <w:t xml:space="preserve">Pruebas negativas y control de pago</w:t>
            </w:r>
          </w:p>
        </w:tc>
      </w:tr>
      <w:tr>
        <w:tc>
          <w:tcPr/>
          <w:p>
            <w:pPr>
              <w:pStyle w:val="Compact"/>
              <w:spacing w:line="240" w:lineRule="auto" w:after="20"/>
              <w:ind w:firstLine="0"/>
              <w:jc w:val="left"/>
            </w:pPr>
            <w:r>
              <w:rPr>
                <w:sz w:val="17"/>
              </w:rPr>
              <w:t xml:space="preserve">5</w:t>
            </w:r>
          </w:p>
        </w:tc>
        <w:tc>
          <w:tcPr/>
          <w:p>
            <w:pPr>
              <w:pStyle w:val="Compact"/>
              <w:spacing w:line="240" w:lineRule="auto" w:after="20"/>
              <w:ind w:firstLine="0"/>
              <w:jc w:val="left"/>
            </w:pPr>
            <w:r>
              <w:rPr>
                <w:sz w:val="17"/>
              </w:rPr>
              <w:t xml:space="preserve">Pruebas integrales</w:t>
            </w:r>
          </w:p>
        </w:tc>
        <w:tc>
          <w:tcPr/>
          <w:p>
            <w:pPr>
              <w:pStyle w:val="Compact"/>
              <w:spacing w:line="240" w:lineRule="auto" w:after="20"/>
              <w:ind w:firstLine="0"/>
              <w:jc w:val="left"/>
            </w:pPr>
            <w:r>
              <w:rPr>
                <w:sz w:val="17"/>
              </w:rPr>
              <w:t xml:space="preserve">E2E por actor, contrato, carga, accesibilidad</w:t>
            </w:r>
          </w:p>
        </w:tc>
        <w:tc>
          <w:tcPr/>
          <w:p>
            <w:pPr>
              <w:pStyle w:val="Compact"/>
              <w:spacing w:line="240" w:lineRule="auto" w:after="20"/>
              <w:ind w:firstLine="0"/>
              <w:jc w:val="left"/>
            </w:pPr>
            <w:r>
              <w:rPr>
                <w:sz w:val="17"/>
              </w:rPr>
              <w:t xml:space="preserve">Informe de evidencias versionadas</w:t>
            </w:r>
          </w:p>
        </w:tc>
      </w:tr>
      <w:tr>
        <w:tc>
          <w:tcPr/>
          <w:p>
            <w:pPr>
              <w:pStyle w:val="Compact"/>
              <w:spacing w:line="240" w:lineRule="auto" w:after="20"/>
              <w:ind w:firstLine="0"/>
              <w:jc w:val="left"/>
            </w:pPr>
            <w:r>
              <w:rPr>
                <w:sz w:val="17"/>
              </w:rPr>
              <w:t xml:space="preserve">6</w:t>
            </w:r>
          </w:p>
        </w:tc>
        <w:tc>
          <w:tcPr/>
          <w:p>
            <w:pPr>
              <w:pStyle w:val="Compact"/>
              <w:spacing w:line="240" w:lineRule="auto" w:after="20"/>
              <w:ind w:firstLine="0"/>
              <w:jc w:val="left"/>
            </w:pPr>
            <w:r>
              <w:rPr>
                <w:sz w:val="17"/>
              </w:rPr>
              <w:t xml:space="preserve">Documentación y capacitación</w:t>
            </w:r>
          </w:p>
        </w:tc>
        <w:tc>
          <w:tcPr/>
          <w:p>
            <w:pPr>
              <w:pStyle w:val="Compact"/>
              <w:spacing w:line="240" w:lineRule="auto" w:after="20"/>
              <w:ind w:firstLine="0"/>
              <w:jc w:val="left"/>
            </w:pPr>
            <w:r>
              <w:rPr>
                <w:sz w:val="17"/>
              </w:rPr>
              <w:t xml:space="preserve">Manuales, formación, soporte, transferencia</w:t>
            </w:r>
          </w:p>
        </w:tc>
        <w:tc>
          <w:tcPr/>
          <w:p>
            <w:pPr>
              <w:pStyle w:val="Compact"/>
              <w:spacing w:line="240" w:lineRule="auto" w:after="20"/>
              <w:ind w:firstLine="0"/>
              <w:jc w:val="left"/>
            </w:pPr>
            <w:r>
              <w:rPr>
                <w:sz w:val="17"/>
              </w:rPr>
              <w:t xml:space="preserve">Aceptación registrada, incidentes abiertos controlados</w:t>
            </w:r>
          </w:p>
        </w:tc>
      </w:tr>
      <w:tr>
        <w:tc>
          <w:tcPr/>
          <w:p>
            <w:pPr>
              <w:pStyle w:val="Compact"/>
              <w:spacing w:line="240" w:lineRule="auto" w:after="20"/>
              <w:ind w:firstLine="0"/>
              <w:jc w:val="left"/>
            </w:pPr>
            <w:r>
              <w:rPr>
                <w:sz w:val="17"/>
              </w:rPr>
              <w:t xml:space="preserve">7</w:t>
            </w:r>
          </w:p>
        </w:tc>
        <w:tc>
          <w:tcPr/>
          <w:p>
            <w:pPr>
              <w:pStyle w:val="Compact"/>
              <w:spacing w:line="240" w:lineRule="auto" w:after="20"/>
              <w:ind w:firstLine="0"/>
              <w:jc w:val="left"/>
            </w:pPr>
            <w:r>
              <w:rPr>
                <w:sz w:val="17"/>
              </w:rPr>
              <w:t xml:space="preserve">Operación y mejora continua</w:t>
            </w:r>
          </w:p>
        </w:tc>
        <w:tc>
          <w:tcPr/>
          <w:p>
            <w:pPr>
              <w:pStyle w:val="Compact"/>
              <w:spacing w:line="240" w:lineRule="auto" w:after="20"/>
              <w:ind w:firstLine="0"/>
              <w:jc w:val="left"/>
            </w:pPr>
            <w:r>
              <w:rPr>
                <w:sz w:val="17"/>
              </w:rPr>
              <w:t xml:space="preserve">Monitoreo, copias, auditoría, cambios</w:t>
            </w:r>
          </w:p>
        </w:tc>
        <w:tc>
          <w:tcPr/>
          <w:p>
            <w:pPr>
              <w:pStyle w:val="Compact"/>
              <w:spacing w:line="240" w:lineRule="auto" w:after="20"/>
              <w:ind w:firstLine="0"/>
              <w:jc w:val="left"/>
            </w:pPr>
            <w:r>
              <w:rPr>
                <w:sz w:val="17"/>
              </w:rPr>
              <w:t xml:space="preserve">Indicadores, revisión y plan de respuesta</w:t>
            </w:r>
          </w:p>
        </w:tc>
      </w:tr>
    </w:tbl>
    <w:bookmarkEnd w:id="27"/>
    <w:bookmarkStart w:id="28" w:name="Xf7477f8fd7cc15ab9fd7c8a4ff474305240c4f8"/>
    <w:p>
      <w:pPr>
        <w:pStyle w:val="Heading2"/>
        <w:keepNext/>
        <w:spacing w:line="264" w:lineRule="auto"/>
      </w:pPr>
      <w:r>
        <w:t xml:space="preserve">9. Matriz de recursos y presupuesto (sin valores inventados)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Concepto</w:t>
            </w:r>
          </w:p>
        </w:tc>
        <w:tc>
          <w:tcPr/>
          <w:p>
            <w:pPr>
              <w:pStyle w:val="Compact"/>
              <w:spacing w:line="240" w:lineRule="auto" w:after="20"/>
              <w:ind w:firstLine="0"/>
              <w:jc w:val="left"/>
            </w:pPr>
            <w:r>
              <w:rPr>
                <w:b/>
                <w:sz w:val="17"/>
              </w:rPr>
              <w:t xml:space="preserve">Unidad de cálculo</w:t>
            </w:r>
          </w:p>
        </w:tc>
        <w:tc>
          <w:tcPr/>
          <w:p>
            <w:pPr>
              <w:pStyle w:val="Compact"/>
              <w:spacing w:line="240" w:lineRule="auto" w:after="20"/>
              <w:ind w:firstLine="0"/>
              <w:jc w:val="left"/>
            </w:pPr>
            <w:r>
              <w:rPr>
                <w:b/>
                <w:sz w:val="17"/>
              </w:rPr>
              <w:t xml:space="preserve">Fuente para cotizar</w:t>
            </w:r>
          </w:p>
        </w:tc>
        <w:tc>
          <w:tcPr/>
          <w:p>
            <w:pPr>
              <w:pStyle w:val="Compact"/>
              <w:spacing w:line="240" w:lineRule="auto" w:after="20"/>
              <w:ind w:firstLine="0"/>
              <w:jc w:val="left"/>
            </w:pPr>
            <w:r>
              <w:rPr>
                <w:b/>
                <w:sz w:val="17"/>
              </w:rPr>
              <w:t xml:space="preserve">Consideración</w:t>
            </w:r>
          </w:p>
        </w:tc>
      </w:tr>
      <w:tr>
        <w:tc>
          <w:tcPr/>
          <w:p>
            <w:pPr>
              <w:pStyle w:val="Compact"/>
              <w:spacing w:line="240" w:lineRule="auto" w:after="20"/>
              <w:ind w:firstLine="0"/>
              <w:jc w:val="left"/>
            </w:pPr>
            <w:r>
              <w:rPr>
                <w:sz w:val="17"/>
              </w:rPr>
              <w:t xml:space="preserve">Servidor de API</w:t>
            </w:r>
          </w:p>
        </w:tc>
        <w:tc>
          <w:tcPr/>
          <w:p>
            <w:pPr>
              <w:pStyle w:val="Compact"/>
              <w:spacing w:line="240" w:lineRule="auto" w:after="20"/>
              <w:ind w:firstLine="0"/>
              <w:jc w:val="left"/>
            </w:pPr>
            <w:r>
              <w:rPr>
                <w:sz w:val="17"/>
              </w:rPr>
              <w:t xml:space="preserve">vCPU/RAM y horas mensuales</w:t>
            </w:r>
          </w:p>
        </w:tc>
        <w:tc>
          <w:tcPr/>
          <w:p>
            <w:pPr>
              <w:pStyle w:val="Compact"/>
              <w:spacing w:line="240" w:lineRule="auto" w:after="20"/>
              <w:ind w:firstLine="0"/>
              <w:jc w:val="left"/>
            </w:pPr>
            <w:r>
              <w:rPr>
                <w:sz w:val="17"/>
              </w:rPr>
              <w:t xml:space="preserve">proveedor VPS/PaaS seleccionado</w:t>
            </w:r>
          </w:p>
        </w:tc>
        <w:tc>
          <w:tcPr/>
          <w:p>
            <w:pPr>
              <w:pStyle w:val="Compact"/>
              <w:spacing w:line="240" w:lineRule="auto" w:after="20"/>
              <w:ind w:firstLine="0"/>
              <w:jc w:val="left"/>
            </w:pPr>
            <w:r>
              <w:rPr>
                <w:sz w:val="17"/>
              </w:rPr>
              <w:t xml:space="preserve">incluye logs, TLS y reverso</w:t>
            </w:r>
          </w:p>
        </w:tc>
      </w:tr>
      <w:tr>
        <w:tc>
          <w:tcPr/>
          <w:p>
            <w:pPr>
              <w:pStyle w:val="Compact"/>
              <w:spacing w:line="240" w:lineRule="auto" w:after="20"/>
              <w:ind w:firstLine="0"/>
              <w:jc w:val="left"/>
            </w:pPr>
            <w:r>
              <w:rPr>
                <w:sz w:val="17"/>
              </w:rPr>
              <w:t xml:space="preserve">Motor de datos</w:t>
            </w:r>
          </w:p>
        </w:tc>
        <w:tc>
          <w:tcPr/>
          <w:p>
            <w:pPr>
              <w:pStyle w:val="Compact"/>
              <w:spacing w:line="240" w:lineRule="auto" w:after="20"/>
              <w:ind w:firstLine="0"/>
              <w:jc w:val="left"/>
            </w:pPr>
            <w:r>
              <w:rPr>
                <w:sz w:val="17"/>
              </w:rPr>
              <w:t xml:space="preserve">GB, conexiones, backups</w:t>
            </w:r>
          </w:p>
        </w:tc>
        <w:tc>
          <w:tcPr/>
          <w:p>
            <w:pPr>
              <w:pStyle w:val="Compact"/>
              <w:spacing w:line="240" w:lineRule="auto" w:after="20"/>
              <w:ind w:firstLine="0"/>
              <w:jc w:val="left"/>
            </w:pPr>
            <w:r>
              <w:rPr>
                <w:sz w:val="17"/>
              </w:rPr>
              <w:t xml:space="preserve">servicio DB administrado o VPS</w:t>
            </w:r>
          </w:p>
        </w:tc>
        <w:tc>
          <w:tcPr/>
          <w:p>
            <w:pPr>
              <w:pStyle w:val="Compact"/>
              <w:spacing w:line="240" w:lineRule="auto" w:after="20"/>
              <w:ind w:firstLine="0"/>
              <w:jc w:val="left"/>
            </w:pPr>
            <w:r>
              <w:rPr>
                <w:sz w:val="17"/>
              </w:rPr>
              <w:t xml:space="preserve">distinguir licencias SQL Server</w:t>
            </w:r>
          </w:p>
        </w:tc>
      </w:tr>
      <w:tr>
        <w:tc>
          <w:tcPr/>
          <w:p>
            <w:pPr>
              <w:pStyle w:val="Compact"/>
              <w:spacing w:line="240" w:lineRule="auto" w:after="20"/>
              <w:ind w:firstLine="0"/>
              <w:jc w:val="left"/>
            </w:pPr>
            <w:r>
              <w:rPr>
                <w:sz w:val="17"/>
              </w:rPr>
              <w:t xml:space="preserve">Almacenamiento</w:t>
            </w:r>
          </w:p>
        </w:tc>
        <w:tc>
          <w:tcPr/>
          <w:p>
            <w:pPr>
              <w:pStyle w:val="Compact"/>
              <w:spacing w:line="240" w:lineRule="auto" w:after="20"/>
              <w:ind w:firstLine="0"/>
              <w:jc w:val="left"/>
            </w:pPr>
            <w:r>
              <w:rPr>
                <w:sz w:val="17"/>
              </w:rPr>
              <w:t xml:space="preserve">GB y operaciones</w:t>
            </w:r>
          </w:p>
        </w:tc>
        <w:tc>
          <w:tcPr/>
          <w:p>
            <w:pPr>
              <w:pStyle w:val="Compact"/>
              <w:spacing w:line="240" w:lineRule="auto" w:after="20"/>
              <w:ind w:firstLine="0"/>
              <w:jc w:val="left"/>
            </w:pPr>
            <w:r>
              <w:rPr>
                <w:sz w:val="17"/>
              </w:rPr>
              <w:t xml:space="preserve">servicio de objetos o volumen</w:t>
            </w:r>
          </w:p>
        </w:tc>
        <w:tc>
          <w:tcPr/>
          <w:p>
            <w:pPr>
              <w:pStyle w:val="Compact"/>
              <w:spacing w:line="240" w:lineRule="auto" w:after="20"/>
              <w:ind w:firstLine="0"/>
              <w:jc w:val="left"/>
            </w:pPr>
            <w:r>
              <w:rPr>
                <w:sz w:val="17"/>
              </w:rPr>
              <w:t xml:space="preserve">fotos y documentos</w:t>
            </w:r>
          </w:p>
        </w:tc>
      </w:tr>
      <w:tr>
        <w:tc>
          <w:tcPr/>
          <w:p>
            <w:pPr>
              <w:pStyle w:val="Compact"/>
              <w:spacing w:line="240" w:lineRule="auto" w:after="20"/>
              <w:ind w:firstLine="0"/>
              <w:jc w:val="left"/>
            </w:pPr>
            <w:r>
              <w:rPr>
                <w:sz w:val="17"/>
              </w:rPr>
              <w:t xml:space="preserve">Correo</w:t>
            </w:r>
          </w:p>
        </w:tc>
        <w:tc>
          <w:tcPr/>
          <w:p>
            <w:pPr>
              <w:pStyle w:val="Compact"/>
              <w:spacing w:line="240" w:lineRule="auto" w:after="20"/>
              <w:ind w:firstLine="0"/>
              <w:jc w:val="left"/>
            </w:pPr>
            <w:r>
              <w:rPr>
                <w:sz w:val="17"/>
              </w:rPr>
              <w:t xml:space="preserve">mensajes/mes</w:t>
            </w:r>
          </w:p>
        </w:tc>
        <w:tc>
          <w:tcPr/>
          <w:p>
            <w:pPr>
              <w:pStyle w:val="Compact"/>
              <w:spacing w:line="240" w:lineRule="auto" w:after="20"/>
              <w:ind w:firstLine="0"/>
              <w:jc w:val="left"/>
            </w:pPr>
            <w:r>
              <w:rPr>
                <w:sz w:val="17"/>
              </w:rPr>
              <w:t xml:space="preserve">SMTP transaccional</w:t>
            </w:r>
          </w:p>
        </w:tc>
        <w:tc>
          <w:tcPr/>
          <w:p>
            <w:pPr>
              <w:pStyle w:val="Compact"/>
              <w:spacing w:line="240" w:lineRule="auto" w:after="20"/>
              <w:ind w:firstLine="0"/>
              <w:jc w:val="left"/>
            </w:pPr>
            <w:r>
              <w:rPr>
                <w:sz w:val="17"/>
              </w:rPr>
              <w:t xml:space="preserve">confirmaciones y recuperación</w:t>
            </w:r>
          </w:p>
        </w:tc>
      </w:tr>
      <w:tr>
        <w:tc>
          <w:tcPr/>
          <w:p>
            <w:pPr>
              <w:pStyle w:val="Compact"/>
              <w:spacing w:line="240" w:lineRule="auto" w:after="20"/>
              <w:ind w:firstLine="0"/>
              <w:jc w:val="left"/>
            </w:pPr>
            <w:r>
              <w:rPr>
                <w:sz w:val="17"/>
              </w:rPr>
              <w:t xml:space="preserve">Pagos digitales</w:t>
            </w:r>
          </w:p>
        </w:tc>
        <w:tc>
          <w:tcPr/>
          <w:p>
            <w:pPr>
              <w:pStyle w:val="Compact"/>
              <w:spacing w:line="240" w:lineRule="auto" w:after="20"/>
              <w:ind w:firstLine="0"/>
              <w:jc w:val="left"/>
            </w:pPr>
            <w:r>
              <w:rPr>
                <w:sz w:val="17"/>
              </w:rPr>
              <w:t xml:space="preserve">% comisión + costo fijo</w:t>
            </w:r>
          </w:p>
        </w:tc>
        <w:tc>
          <w:tcPr/>
          <w:p>
            <w:pPr>
              <w:pStyle w:val="Compact"/>
              <w:spacing w:line="240" w:lineRule="auto" w:after="20"/>
              <w:ind w:firstLine="0"/>
              <w:jc w:val="left"/>
            </w:pPr>
            <w:r>
              <w:rPr>
                <w:sz w:val="17"/>
              </w:rPr>
              <w:t xml:space="preserve">condiciones vigentes Wompi</w:t>
            </w:r>
          </w:p>
        </w:tc>
        <w:tc>
          <w:tcPr/>
          <w:p>
            <w:pPr>
              <w:pStyle w:val="Compact"/>
              <w:spacing w:line="240" w:lineRule="auto" w:after="20"/>
              <w:ind w:firstLine="0"/>
              <w:jc w:val="left"/>
            </w:pPr>
            <w:r>
              <w:rPr>
                <w:sz w:val="17"/>
              </w:rPr>
              <w:t xml:space="preserve">conciliación por pedido</w:t>
            </w:r>
          </w:p>
        </w:tc>
      </w:tr>
      <w:tr>
        <w:tc>
          <w:tcPr/>
          <w:p>
            <w:pPr>
              <w:pStyle w:val="Compact"/>
              <w:spacing w:line="240" w:lineRule="auto" w:after="20"/>
              <w:ind w:firstLine="0"/>
              <w:jc w:val="left"/>
            </w:pPr>
            <w:r>
              <w:rPr>
                <w:sz w:val="17"/>
              </w:rPr>
              <w:t xml:space="preserve">Monitoreo</w:t>
            </w:r>
          </w:p>
        </w:tc>
        <w:tc>
          <w:tcPr/>
          <w:p>
            <w:pPr>
              <w:pStyle w:val="Compact"/>
              <w:spacing w:line="240" w:lineRule="auto" w:after="20"/>
              <w:ind w:firstLine="0"/>
              <w:jc w:val="left"/>
            </w:pPr>
            <w:r>
              <w:rPr>
                <w:sz w:val="17"/>
              </w:rPr>
              <w:t xml:space="preserve">retención y volumen</w:t>
            </w:r>
          </w:p>
        </w:tc>
        <w:tc>
          <w:tcPr/>
          <w:p>
            <w:pPr>
              <w:pStyle w:val="Compact"/>
              <w:spacing w:line="240" w:lineRule="auto" w:after="20"/>
              <w:ind w:firstLine="0"/>
              <w:jc w:val="left"/>
            </w:pPr>
            <w:r>
              <w:rPr>
                <w:sz w:val="17"/>
              </w:rPr>
              <w:t xml:space="preserve">proveedor telemetría</w:t>
            </w:r>
          </w:p>
        </w:tc>
        <w:tc>
          <w:tcPr/>
          <w:p>
            <w:pPr>
              <w:pStyle w:val="Compact"/>
              <w:spacing w:line="240" w:lineRule="auto" w:after="20"/>
              <w:ind w:firstLine="0"/>
              <w:jc w:val="left"/>
            </w:pPr>
            <w:r>
              <w:rPr>
                <w:sz w:val="17"/>
              </w:rPr>
              <w:t xml:space="preserve">PII minimizada</w:t>
            </w:r>
          </w:p>
        </w:tc>
      </w:tr>
      <w:tr>
        <w:tc>
          <w:tcPr/>
          <w:p>
            <w:pPr>
              <w:pStyle w:val="Compact"/>
              <w:spacing w:line="240" w:lineRule="auto" w:after="20"/>
              <w:ind w:firstLine="0"/>
              <w:jc w:val="left"/>
            </w:pPr>
            <w:r>
              <w:rPr>
                <w:sz w:val="17"/>
              </w:rPr>
              <w:t xml:space="preserve">Mano de obra</w:t>
            </w:r>
          </w:p>
        </w:tc>
        <w:tc>
          <w:tcPr/>
          <w:p>
            <w:pPr>
              <w:pStyle w:val="Compact"/>
              <w:spacing w:line="240" w:lineRule="auto" w:after="20"/>
              <w:ind w:firstLine="0"/>
              <w:jc w:val="left"/>
            </w:pPr>
            <w:r>
              <w:rPr>
                <w:sz w:val="17"/>
              </w:rPr>
              <w:t xml:space="preserve">horas-persona por rol</w:t>
            </w:r>
          </w:p>
        </w:tc>
        <w:tc>
          <w:tcPr/>
          <w:p>
            <w:pPr>
              <w:pStyle w:val="Compact"/>
              <w:spacing w:line="240" w:lineRule="auto" w:after="20"/>
              <w:ind w:firstLine="0"/>
              <w:jc w:val="left"/>
            </w:pPr>
            <w:r>
              <w:rPr>
                <w:sz w:val="17"/>
              </w:rPr>
              <w:t xml:space="preserve">tarifas del equipo</w:t>
            </w:r>
          </w:p>
        </w:tc>
        <w:tc>
          <w:tcPr/>
          <w:p>
            <w:pPr>
              <w:pStyle w:val="Compact"/>
              <w:spacing w:line="240" w:lineRule="auto" w:after="20"/>
              <w:ind w:firstLine="0"/>
              <w:jc w:val="left"/>
            </w:pPr>
            <w:r>
              <w:rPr>
                <w:sz w:val="17"/>
              </w:rPr>
              <w:t xml:space="preserve">QA, desarrollo, soporte</w:t>
            </w:r>
          </w:p>
        </w:tc>
      </w:tr>
      <w:tr>
        <w:tc>
          <w:tcPr/>
          <w:p>
            <w:pPr>
              <w:pStyle w:val="Compact"/>
              <w:spacing w:line="240" w:lineRule="auto" w:after="20"/>
              <w:ind w:firstLine="0"/>
              <w:jc w:val="left"/>
            </w:pPr>
            <w:r>
              <w:rPr>
                <w:sz w:val="17"/>
              </w:rPr>
              <w:t xml:space="preserve">Seguridad y copias</w:t>
            </w:r>
          </w:p>
        </w:tc>
        <w:tc>
          <w:tcPr/>
          <w:p>
            <w:pPr>
              <w:pStyle w:val="Compact"/>
              <w:spacing w:line="240" w:lineRule="auto" w:after="20"/>
              <w:ind w:firstLine="0"/>
              <w:jc w:val="left"/>
            </w:pPr>
            <w:r>
              <w:rPr>
                <w:sz w:val="17"/>
              </w:rPr>
              <w:t xml:space="preserve">horas y GB</w:t>
            </w:r>
          </w:p>
        </w:tc>
        <w:tc>
          <w:tcPr/>
          <w:p>
            <w:pPr>
              <w:pStyle w:val="Compact"/>
              <w:spacing w:line="240" w:lineRule="auto" w:after="20"/>
              <w:ind w:firstLine="0"/>
              <w:jc w:val="left"/>
            </w:pPr>
            <w:r>
              <w:rPr>
                <w:sz w:val="17"/>
              </w:rPr>
              <w:t xml:space="preserve">cotización y política</w:t>
            </w:r>
          </w:p>
        </w:tc>
        <w:tc>
          <w:tcPr/>
          <w:p>
            <w:pPr>
              <w:pStyle w:val="Compact"/>
              <w:spacing w:line="240" w:lineRule="auto" w:after="20"/>
              <w:ind w:firstLine="0"/>
              <w:jc w:val="left"/>
            </w:pPr>
            <w:r>
              <w:rPr>
                <w:sz w:val="17"/>
              </w:rPr>
              <w:t xml:space="preserve">simulacros periódicos</w:t>
            </w:r>
          </w:p>
        </w:tc>
      </w:tr>
    </w:tbl>
    <w:bookmarkEnd w:id="28"/>
    <w:bookmarkStart w:id="29" w:name="X762f02c76e3caa4ad3e545404d2a65666e98b4c"/>
    <w:p>
      <w:pPr>
        <w:pStyle w:val="Heading2"/>
        <w:keepNext/>
        <w:spacing w:line="264" w:lineRule="auto"/>
      </w:pPr>
      <w:r>
        <w:t xml:space="preserve">10. Comparación de alternativas de implementación</w:t>
      </w:r>
    </w:p>
    <w:p>
      <w:pPr>
        <w:pStyle w:val="FirstParagraph"/>
        <w:spacing w:line="396" w:lineRule="auto" w:after="100"/>
      </w:pPr>
      <w:r>
        <w:rPr>
          <w:b/>
          <w:bCs/>
        </w:rPr>
        <w:t xml:space="preserve">Alternativa A: monolito modular existente.</w:t>
      </w:r>
      <w:r>
        <w:t xml:space="preserve"> </w:t>
      </w:r>
      <w:r>
        <w:t xml:space="preserve">Ventajas: menor sobrecarga operativa y coherencia de transacciones en un solo backend; restricciones: crecimiento puede elevar acoplamiento. Es el patrón visible y el punto de partida recomendado para pruebas.</w:t>
      </w:r>
    </w:p>
    <w:p>
      <w:pPr>
        <w:pStyle w:val="BodyText"/>
        <w:spacing w:line="396" w:lineRule="auto" w:after="100"/>
      </w:pPr>
      <w:r>
        <w:rPr>
          <w:b/>
          <w:bCs/>
        </w:rPr>
        <w:t xml:space="preserve">Alternativa B: microservicios desde el inicio.</w:t>
      </w:r>
      <w:r>
        <w:t xml:space="preserve"> </w:t>
      </w:r>
      <w:r>
        <w:t xml:space="preserve">Ventajas potenciales: escalabilidad autónoma y despliegues separados; costos: red distribuida, observabilidad, contratos y consistencia eventual. No hay evidencia de que SaborExpressBack opere como conjunto de microservicios; no se recomienda describirlo así.</w:t>
      </w:r>
    </w:p>
    <w:p>
      <w:pPr>
        <w:pStyle w:val="BodyText"/>
        <w:spacing w:line="396" w:lineRule="auto" w:after="100"/>
      </w:pPr>
      <w:r>
        <w:rPr>
          <w:b/>
          <w:bCs/>
        </w:rPr>
        <w:t xml:space="preserve">Alternativa C: backend gestionado de terceros.</w:t>
      </w:r>
      <w:r>
        <w:t xml:space="preserve"> </w:t>
      </w:r>
      <w:r>
        <w:t xml:space="preserve">Puede simplificar alojamiento de recursos, pero implicaría rediseñar la API ya implementada. El README anterior describía Supabase y debe corregirse para mostrar el backend actual .NET.</w:t>
      </w:r>
    </w:p>
    <w:p>
      <w:pPr>
        <w:pStyle w:val="BodyText"/>
        <w:spacing w:line="396" w:lineRule="auto" w:after="100"/>
      </w:pPr>
      <w:r>
        <w:rPr>
          <w:b/>
          <w:bCs/>
        </w:rPr>
        <w:t xml:space="preserve">Decisión provisional:</w:t>
      </w:r>
      <w:r>
        <w:t xml:space="preserve"> </w:t>
      </w:r>
      <w:r>
        <w:t xml:space="preserve">estabilizar el monolito modular con pruebas, seguridad y documentación antes de reconsiderar límites de servicio.</w:t>
      </w:r>
    </w:p>
    <w:bookmarkEnd w:id="29"/>
    <w:bookmarkStart w:id="30" w:name="X4ac6311dea7c4d12534773505a1c029920602df"/>
    <w:p>
      <w:pPr>
        <w:pStyle w:val="Heading2"/>
        <w:keepNext/>
        <w:spacing w:line="264" w:lineRule="auto"/>
      </w:pPr>
      <w:r>
        <w:t xml:space="preserve">11. Riesgos, responsables y condiciones de éxito</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after="20"/>
              <w:ind w:firstLine="0"/>
              <w:jc w:val="left"/>
            </w:pPr>
            <w:r>
              <w:rPr>
                <w:b/>
                <w:sz w:val="17"/>
              </w:rPr>
              <w:t xml:space="preserve">ID</w:t>
            </w:r>
          </w:p>
        </w:tc>
        <w:tc>
          <w:tcPr/>
          <w:p>
            <w:pPr>
              <w:pStyle w:val="Compact"/>
              <w:spacing w:line="240" w:lineRule="auto" w:after="20"/>
              <w:ind w:firstLine="0"/>
              <w:jc w:val="left"/>
            </w:pPr>
            <w:r>
              <w:rPr>
                <w:b/>
                <w:sz w:val="17"/>
              </w:rPr>
              <w:t xml:space="preserve">Prob. cualitativa</w:t>
            </w:r>
          </w:p>
        </w:tc>
        <w:tc>
          <w:tcPr/>
          <w:p>
            <w:pPr>
              <w:pStyle w:val="Compact"/>
              <w:spacing w:line="240" w:lineRule="auto" w:after="20"/>
              <w:ind w:firstLine="0"/>
              <w:jc w:val="left"/>
            </w:pPr>
            <w:r>
              <w:rPr>
                <w:b/>
                <w:sz w:val="17"/>
              </w:rPr>
              <w:t xml:space="preserve">Impacto</w:t>
            </w:r>
          </w:p>
        </w:tc>
        <w:tc>
          <w:tcPr/>
          <w:p>
            <w:pPr>
              <w:pStyle w:val="Compact"/>
              <w:spacing w:line="240" w:lineRule="auto" w:after="20"/>
              <w:ind w:firstLine="0"/>
              <w:jc w:val="left"/>
            </w:pPr>
            <w:r>
              <w:rPr>
                <w:b/>
                <w:sz w:val="17"/>
              </w:rPr>
              <w:t xml:space="preserve">Mitigación</w:t>
            </w:r>
          </w:p>
        </w:tc>
        <w:tc>
          <w:tcPr/>
          <w:p>
            <w:pPr>
              <w:pStyle w:val="Compact"/>
              <w:spacing w:line="240" w:lineRule="auto" w:after="20"/>
              <w:ind w:firstLine="0"/>
              <w:jc w:val="left"/>
            </w:pPr>
            <w:r>
              <w:rPr>
                <w:b/>
                <w:sz w:val="17"/>
              </w:rPr>
              <w:t xml:space="preserve">Responsable</w:t>
            </w:r>
          </w:p>
        </w:tc>
      </w:tr>
      <w:tr>
        <w:tc>
          <w:tcPr/>
          <w:p>
            <w:pPr>
              <w:pStyle w:val="Compact"/>
              <w:spacing w:line="240" w:lineRule="auto" w:after="20"/>
              <w:ind w:firstLine="0"/>
              <w:jc w:val="left"/>
            </w:pPr>
            <w:r>
              <w:rPr>
                <w:sz w:val="17"/>
              </w:rPr>
              <w:t xml:space="preserve">R-01</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no subir secretos, monitorear cambios</w:t>
            </w:r>
          </w:p>
        </w:tc>
        <w:tc>
          <w:tcPr/>
          <w:p>
            <w:pPr>
              <w:pStyle w:val="Compact"/>
              <w:spacing w:line="240" w:lineRule="auto" w:after="20"/>
              <w:ind w:firstLine="0"/>
              <w:jc w:val="left"/>
            </w:pPr>
            <w:r>
              <w:rPr>
                <w:sz w:val="17"/>
              </w:rPr>
              <w:t xml:space="preserve">Líder técnico (designar)</w:t>
            </w:r>
          </w:p>
        </w:tc>
      </w:tr>
      <w:tr>
        <w:tc>
          <w:tcPr/>
          <w:p>
            <w:pPr>
              <w:pStyle w:val="Compact"/>
              <w:spacing w:line="240" w:lineRule="auto" w:after="20"/>
              <w:ind w:firstLine="0"/>
              <w:jc w:val="left"/>
            </w:pPr>
            <w:r>
              <w:rPr>
                <w:sz w:val="17"/>
              </w:rPr>
              <w:t xml:space="preserve">R-02</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pruebas de firma/idempotencia en Wompi</w:t>
            </w:r>
          </w:p>
        </w:tc>
        <w:tc>
          <w:tcPr/>
          <w:p>
            <w:pPr>
              <w:pStyle w:val="Compact"/>
              <w:spacing w:line="240" w:lineRule="auto" w:after="20"/>
              <w:ind w:firstLine="0"/>
              <w:jc w:val="left"/>
            </w:pPr>
            <w:r>
              <w:rPr>
                <w:sz w:val="17"/>
              </w:rPr>
              <w:t xml:space="preserve">Backend / QA (designar)</w:t>
            </w:r>
          </w:p>
        </w:tc>
      </w:tr>
      <w:tr>
        <w:tc>
          <w:tcPr/>
          <w:p>
            <w:pPr>
              <w:pStyle w:val="Compact"/>
              <w:spacing w:line="240" w:lineRule="auto" w:after="20"/>
              <w:ind w:firstLine="0"/>
              <w:jc w:val="left"/>
            </w:pPr>
            <w:r>
              <w:rPr>
                <w:sz w:val="17"/>
              </w:rPr>
              <w:t xml:space="preserve">R-03</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prueba por motor EF Core</w:t>
            </w:r>
          </w:p>
        </w:tc>
        <w:tc>
          <w:tcPr/>
          <w:p>
            <w:pPr>
              <w:pStyle w:val="Compact"/>
              <w:spacing w:line="240" w:lineRule="auto" w:after="20"/>
              <w:ind w:firstLine="0"/>
              <w:jc w:val="left"/>
            </w:pPr>
            <w:r>
              <w:rPr>
                <w:sz w:val="17"/>
              </w:rPr>
              <w:t xml:space="preserve">Backend/DBA (designar)</w:t>
            </w:r>
          </w:p>
        </w:tc>
      </w:tr>
      <w:tr>
        <w:tc>
          <w:tcPr/>
          <w:p>
            <w:pPr>
              <w:pStyle w:val="Compact"/>
              <w:spacing w:line="240" w:lineRule="auto" w:after="20"/>
              <w:ind w:firstLine="0"/>
              <w:jc w:val="left"/>
            </w:pPr>
            <w:r>
              <w:rPr>
                <w:sz w:val="17"/>
              </w:rPr>
              <w:t xml:space="preserve">R-04</w:t>
            </w:r>
          </w:p>
        </w:tc>
        <w:tc>
          <w:tcPr/>
          <w:p>
            <w:pPr>
              <w:pStyle w:val="Compact"/>
              <w:spacing w:line="240" w:lineRule="auto" w:after="20"/>
              <w:ind w:firstLine="0"/>
              <w:jc w:val="left"/>
            </w:pPr>
            <w:r>
              <w:rPr>
                <w:sz w:val="17"/>
              </w:rPr>
              <w:t xml:space="preserve">Alta</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capacitaciones cortas por rol</w:t>
            </w:r>
          </w:p>
        </w:tc>
        <w:tc>
          <w:tcPr/>
          <w:p>
            <w:pPr>
              <w:pStyle w:val="Compact"/>
              <w:spacing w:line="240" w:lineRule="auto" w:after="20"/>
              <w:ind w:firstLine="0"/>
              <w:jc w:val="left"/>
            </w:pPr>
            <w:r>
              <w:rPr>
                <w:sz w:val="17"/>
              </w:rPr>
              <w:t xml:space="preserve">Analista UX (designar)</w:t>
            </w:r>
          </w:p>
        </w:tc>
      </w:tr>
      <w:tr>
        <w:tc>
          <w:tcPr/>
          <w:p>
            <w:pPr>
              <w:pStyle w:val="Compact"/>
              <w:spacing w:line="240" w:lineRule="auto" w:after="20"/>
              <w:ind w:firstLine="0"/>
              <w:jc w:val="left"/>
            </w:pPr>
            <w:r>
              <w:rPr>
                <w:sz w:val="17"/>
              </w:rPr>
              <w:t xml:space="preserve">R-05</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plan backup/restore reproducible</w:t>
            </w:r>
          </w:p>
        </w:tc>
        <w:tc>
          <w:tcPr/>
          <w:p>
            <w:pPr>
              <w:pStyle w:val="Compact"/>
              <w:spacing w:line="240" w:lineRule="auto" w:after="20"/>
              <w:ind w:firstLine="0"/>
              <w:jc w:val="left"/>
            </w:pPr>
            <w:r>
              <w:rPr>
                <w:sz w:val="17"/>
              </w:rPr>
              <w:t xml:space="preserve">Operaciones (designar)</w:t>
            </w:r>
          </w:p>
        </w:tc>
      </w:tr>
      <w:tr>
        <w:tc>
          <w:tcPr/>
          <w:p>
            <w:pPr>
              <w:pStyle w:val="Compact"/>
              <w:spacing w:line="240" w:lineRule="auto" w:after="20"/>
              <w:ind w:firstLine="0"/>
              <w:jc w:val="left"/>
            </w:pPr>
            <w:r>
              <w:rPr>
                <w:sz w:val="17"/>
              </w:rPr>
              <w:t xml:space="preserve">R-06</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Alto</w:t>
            </w:r>
          </w:p>
        </w:tc>
        <w:tc>
          <w:tcPr/>
          <w:p>
            <w:pPr>
              <w:pStyle w:val="Compact"/>
              <w:spacing w:line="240" w:lineRule="auto" w:after="20"/>
              <w:ind w:firstLine="0"/>
              <w:jc w:val="left"/>
            </w:pPr>
            <w:r>
              <w:rPr>
                <w:sz w:val="17"/>
              </w:rPr>
              <w:t xml:space="preserve">aislamiento por sede y titular</w:t>
            </w:r>
          </w:p>
        </w:tc>
        <w:tc>
          <w:tcPr/>
          <w:p>
            <w:pPr>
              <w:pStyle w:val="Compact"/>
              <w:spacing w:line="240" w:lineRule="auto" w:after="20"/>
              <w:ind w:firstLine="0"/>
              <w:jc w:val="left"/>
            </w:pPr>
            <w:r>
              <w:rPr>
                <w:sz w:val="17"/>
              </w:rPr>
              <w:t xml:space="preserve">Seguridad (designar)</w:t>
            </w:r>
          </w:p>
        </w:tc>
      </w:tr>
      <w:tr>
        <w:tc>
          <w:tcPr/>
          <w:p>
            <w:pPr>
              <w:pStyle w:val="Compact"/>
              <w:spacing w:line="240" w:lineRule="auto" w:after="20"/>
              <w:ind w:firstLine="0"/>
              <w:jc w:val="left"/>
            </w:pPr>
            <w:r>
              <w:rPr>
                <w:sz w:val="17"/>
              </w:rPr>
              <w:t xml:space="preserve">R-07</w:t>
            </w:r>
          </w:p>
        </w:tc>
        <w:tc>
          <w:tcPr/>
          <w:p>
            <w:pPr>
              <w:pStyle w:val="Compact"/>
              <w:spacing w:line="240" w:lineRule="auto" w:after="20"/>
              <w:ind w:firstLine="0"/>
              <w:jc w:val="left"/>
            </w:pPr>
            <w:r>
              <w:rPr>
                <w:sz w:val="17"/>
              </w:rPr>
              <w:t xml:space="preserve">Media</w:t>
            </w:r>
          </w:p>
        </w:tc>
        <w:tc>
          <w:tcPr/>
          <w:p>
            <w:pPr>
              <w:pStyle w:val="Compact"/>
              <w:spacing w:line="240" w:lineRule="auto" w:after="20"/>
              <w:ind w:firstLine="0"/>
              <w:jc w:val="left"/>
            </w:pPr>
            <w:r>
              <w:rPr>
                <w:sz w:val="17"/>
              </w:rPr>
              <w:t xml:space="preserve">Medio</w:t>
            </w:r>
          </w:p>
        </w:tc>
        <w:tc>
          <w:tcPr/>
          <w:p>
            <w:pPr>
              <w:pStyle w:val="Compact"/>
              <w:spacing w:line="240" w:lineRule="auto" w:after="20"/>
              <w:ind w:firstLine="0"/>
              <w:jc w:val="left"/>
            </w:pPr>
            <w:r>
              <w:rPr>
                <w:sz w:val="17"/>
              </w:rPr>
              <w:t xml:space="preserve">versionar contratos y cliente móvil</w:t>
            </w:r>
          </w:p>
        </w:tc>
        <w:tc>
          <w:tcPr/>
          <w:p>
            <w:pPr>
              <w:pStyle w:val="Compact"/>
              <w:spacing w:line="240" w:lineRule="auto" w:after="20"/>
              <w:ind w:firstLine="0"/>
              <w:jc w:val="left"/>
            </w:pPr>
            <w:r>
              <w:rPr>
                <w:sz w:val="17"/>
              </w:rPr>
              <w:t xml:space="preserve">Frontend (designar)</w:t>
            </w:r>
          </w:p>
        </w:tc>
      </w:tr>
    </w:tbl>
    <w:bookmarkEnd w:id="30"/>
    <w:bookmarkStart w:id="31" w:name="gestión-de-entregables-y-aceptación"/>
    <w:p>
      <w:pPr>
        <w:pStyle w:val="Heading2"/>
        <w:keepNext/>
        <w:spacing w:line="264" w:lineRule="auto"/>
      </w:pPr>
      <w:r>
        <w:t xml:space="preserve">12. Gestión de entregables y aceptación</w:t>
      </w:r>
    </w:p>
    <w:p>
      <w:pPr>
        <w:pStyle w:val="FirstParagraph"/>
        <w:spacing w:line="396" w:lineRule="auto" w:after="100"/>
      </w:pPr>
      <w:r>
        <w:rPr>
          <w:b/>
          <w:bCs/>
        </w:rPr>
        <w:t xml:space="preserve">Entregas incrementales:</w:t>
      </w:r>
      <w:r>
        <w:t xml:space="preserve"> </w:t>
      </w:r>
      <w:r>
        <w:t xml:space="preserve">cada fase debe tener registro de decisión, enlace al commit, artefactos de revisión y aprobador. Sin datos de presupuesto o calendario acordado no se asignan fechas de ejecución ni compromisos económicos.</w:t>
      </w:r>
    </w:p>
    <w:p>
      <w:pPr>
        <w:pStyle w:val="BodyText"/>
        <w:spacing w:line="396" w:lineRule="auto" w:after="100"/>
      </w:pPr>
      <w:r>
        <w:rPr>
          <w:b/>
          <w:bCs/>
        </w:rPr>
        <w:t xml:space="preserve">Definición de terminado (DoD):</w:t>
      </w:r>
      <w:r>
        <w:t xml:space="preserve"> </w:t>
      </w:r>
      <w:r>
        <w:t xml:space="preserve">aceptación de alcance, pruebas positivas/negativas de funciones modificadas, cobertura de autorización sensible, manual actualizado, nota de versión, sin secretos, y reproducibilidad en ambiente limpio.</w:t>
      </w:r>
    </w:p>
    <w:p>
      <w:pPr>
        <w:pStyle w:val="BodyText"/>
        <w:spacing w:line="396" w:lineRule="auto" w:after="100"/>
      </w:pPr>
      <w:r>
        <w:rPr>
          <w:b/>
          <w:bCs/>
        </w:rPr>
        <w:t xml:space="preserve">Análisis de retorno:</w:t>
      </w:r>
      <w:r>
        <w:t xml:space="preserve"> </w:t>
      </w:r>
      <w:r>
        <w:t xml:space="preserve">calcular después de piloto con costo por pedido, tiempos, errores, cancelaciones y satisfacción, contrastados contra línea base. No afirmar ahorros que el estudio no ha medido.</w:t>
      </w:r>
    </w:p>
    <w:bookmarkEnd w:id="31"/>
    <w:bookmarkStart w:id="32" w:name="Xdedb3ea3e514d40b8edf275b0d315ca8a0ef9b8"/>
    <w:p>
      <w:pPr>
        <w:pStyle w:val="Heading2"/>
        <w:keepNext/>
        <w:spacing w:line="264" w:lineRule="auto"/>
      </w:pPr>
      <w:r>
        <w:t xml:space="preserve">10. Opciones de solución y evaluación comparada</w:t>
      </w:r>
    </w:p>
    <w:p>
      <w:pPr>
        <w:pStyle w:val="FirstParagraph"/>
        <w:spacing w:line="396" w:lineRule="auto" w:after="100"/>
      </w:pPr>
      <w:r>
        <w:t xml:space="preserve">Se consideran tres alternativas. (A) continuar con la aplicación API modular existente, reforzando pruebas, controles operativos y separación por componentes; (B) dividir dominios de negocio en microservicios independientes; y (C) reemplazar la capa de servicios por una plataforma BaaS de terceros. Las alternativas B y C implicarían migraciones de código, operación, contratos y persistencia que no están justificadas únicamente por el tamaño de la documentación. El análisis no pretende afirmar una selección oficial del equipo, sino ordenar las decisiones.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20"/>
              <w:ind w:firstLine="0"/>
              <w:jc w:val="left"/>
            </w:pPr>
            <w:r>
              <w:rPr>
                <w:b/>
                <w:sz w:val="17"/>
              </w:rPr>
              <w:t xml:space="preserve">Criterio</w:t>
            </w:r>
          </w:p>
        </w:tc>
        <w:tc>
          <w:tcPr/>
          <w:p>
            <w:pPr>
              <w:pStyle w:val="Compact"/>
              <w:spacing w:line="240" w:lineRule="auto" w:after="20"/>
              <w:ind w:firstLine="0"/>
              <w:jc w:val="left"/>
            </w:pPr>
            <w:r>
              <w:rPr>
                <w:b/>
                <w:sz w:val="17"/>
              </w:rPr>
              <w:t xml:space="preserve">A: API modular actual</w:t>
            </w:r>
          </w:p>
        </w:tc>
        <w:tc>
          <w:tcPr/>
          <w:p>
            <w:pPr>
              <w:pStyle w:val="Compact"/>
              <w:spacing w:line="240" w:lineRule="auto" w:after="20"/>
              <w:ind w:firstLine="0"/>
              <w:jc w:val="left"/>
            </w:pPr>
            <w:r>
              <w:rPr>
                <w:b/>
                <w:sz w:val="17"/>
              </w:rPr>
              <w:t xml:space="preserve">B: microservicios</w:t>
            </w:r>
          </w:p>
        </w:tc>
        <w:tc>
          <w:tcPr/>
          <w:p>
            <w:pPr>
              <w:pStyle w:val="Compact"/>
              <w:spacing w:line="240" w:lineRule="auto" w:after="20"/>
              <w:ind w:firstLine="0"/>
              <w:jc w:val="left"/>
            </w:pPr>
            <w:r>
              <w:rPr>
                <w:b/>
                <w:sz w:val="17"/>
              </w:rPr>
              <w:t xml:space="preserve">C: BaaS</w:t>
            </w:r>
          </w:p>
        </w:tc>
      </w:tr>
      <w:tr>
        <w:tc>
          <w:tcPr/>
          <w:p>
            <w:pPr>
              <w:pStyle w:val="Compact"/>
              <w:spacing w:line="240" w:lineRule="auto" w:after="20"/>
              <w:ind w:firstLine="0"/>
              <w:jc w:val="left"/>
            </w:pPr>
            <w:r>
              <w:rPr>
                <w:sz w:val="17"/>
              </w:rPr>
              <w:t xml:space="preserve">Continuidad del código</w:t>
            </w:r>
          </w:p>
        </w:tc>
        <w:tc>
          <w:tcPr/>
          <w:p>
            <w:pPr>
              <w:pStyle w:val="Compact"/>
              <w:spacing w:line="240" w:lineRule="auto" w:after="20"/>
              <w:ind w:firstLine="0"/>
              <w:jc w:val="left"/>
            </w:pPr>
            <w:r>
              <w:rPr>
                <w:sz w:val="17"/>
              </w:rPr>
              <w:t xml:space="preserve">Alta, coincide con repositorios</w:t>
            </w:r>
          </w:p>
        </w:tc>
        <w:tc>
          <w:tcPr/>
          <w:p>
            <w:pPr>
              <w:pStyle w:val="Compact"/>
              <w:spacing w:line="240" w:lineRule="auto" w:after="20"/>
              <w:ind w:firstLine="0"/>
              <w:jc w:val="left"/>
            </w:pPr>
            <w:r>
              <w:rPr>
                <w:sz w:val="17"/>
              </w:rPr>
              <w:t xml:space="preserve">Baja/media; extracción de módulos</w:t>
            </w:r>
          </w:p>
        </w:tc>
        <w:tc>
          <w:tcPr/>
          <w:p>
            <w:pPr>
              <w:pStyle w:val="Compact"/>
              <w:spacing w:line="240" w:lineRule="auto" w:after="20"/>
              <w:ind w:firstLine="0"/>
              <w:jc w:val="left"/>
            </w:pPr>
            <w:r>
              <w:rPr>
                <w:sz w:val="17"/>
              </w:rPr>
              <w:t xml:space="preserve">Baja; reescritura de reglas</w:t>
            </w:r>
          </w:p>
        </w:tc>
      </w:tr>
      <w:tr>
        <w:tc>
          <w:tcPr/>
          <w:p>
            <w:pPr>
              <w:pStyle w:val="Compact"/>
              <w:spacing w:line="240" w:lineRule="auto" w:after="20"/>
              <w:ind w:firstLine="0"/>
              <w:jc w:val="left"/>
            </w:pPr>
            <w:r>
              <w:rPr>
                <w:sz w:val="17"/>
              </w:rPr>
              <w:t xml:space="preserve">Despliegue y observabilidad</w:t>
            </w:r>
          </w:p>
        </w:tc>
        <w:tc>
          <w:tcPr/>
          <w:p>
            <w:pPr>
              <w:pStyle w:val="Compact"/>
              <w:spacing w:line="240" w:lineRule="auto" w:after="20"/>
              <w:ind w:firstLine="0"/>
              <w:jc w:val="left"/>
            </w:pPr>
            <w:r>
              <w:rPr>
                <w:sz w:val="17"/>
              </w:rPr>
              <w:t xml:space="preserve">Un servicio principal y dos clientes</w:t>
            </w:r>
          </w:p>
        </w:tc>
        <w:tc>
          <w:tcPr/>
          <w:p>
            <w:pPr>
              <w:pStyle w:val="Compact"/>
              <w:spacing w:line="240" w:lineRule="auto" w:after="20"/>
              <w:ind w:firstLine="0"/>
              <w:jc w:val="left"/>
            </w:pPr>
            <w:r>
              <w:rPr>
                <w:sz w:val="17"/>
              </w:rPr>
              <w:t xml:space="preserve">Necesita tracing y redes de servicios</w:t>
            </w:r>
          </w:p>
        </w:tc>
        <w:tc>
          <w:tcPr/>
          <w:p>
            <w:pPr>
              <w:pStyle w:val="Compact"/>
              <w:spacing w:line="240" w:lineRule="auto" w:after="20"/>
              <w:ind w:firstLine="0"/>
              <w:jc w:val="left"/>
            </w:pPr>
            <w:r>
              <w:rPr>
                <w:sz w:val="17"/>
              </w:rPr>
              <w:t xml:space="preserve">Depende de límites de proveedor</w:t>
            </w:r>
          </w:p>
        </w:tc>
      </w:tr>
      <w:tr>
        <w:tc>
          <w:tcPr/>
          <w:p>
            <w:pPr>
              <w:pStyle w:val="Compact"/>
              <w:spacing w:line="240" w:lineRule="auto" w:after="20"/>
              <w:ind w:firstLine="0"/>
              <w:jc w:val="left"/>
            </w:pPr>
            <w:r>
              <w:rPr>
                <w:sz w:val="17"/>
              </w:rPr>
              <w:t xml:space="preserve">Integridad pedido–pago</w:t>
            </w:r>
          </w:p>
        </w:tc>
        <w:tc>
          <w:tcPr/>
          <w:p>
            <w:pPr>
              <w:pStyle w:val="Compact"/>
              <w:spacing w:line="240" w:lineRule="auto" w:after="20"/>
              <w:ind w:firstLine="0"/>
              <w:jc w:val="left"/>
            </w:pPr>
            <w:r>
              <w:rPr>
                <w:sz w:val="17"/>
              </w:rPr>
              <w:t xml:space="preserve">Transacciones locales posibles</w:t>
            </w:r>
          </w:p>
        </w:tc>
        <w:tc>
          <w:tcPr/>
          <w:p>
            <w:pPr>
              <w:pStyle w:val="Compact"/>
              <w:spacing w:line="240" w:lineRule="auto" w:after="20"/>
              <w:ind w:firstLine="0"/>
              <w:jc w:val="left"/>
            </w:pPr>
            <w:r>
              <w:rPr>
                <w:sz w:val="17"/>
              </w:rPr>
              <w:t xml:space="preserve">Requiere coordinación distribuida</w:t>
            </w:r>
          </w:p>
        </w:tc>
        <w:tc>
          <w:tcPr/>
          <w:p>
            <w:pPr>
              <w:pStyle w:val="Compact"/>
              <w:spacing w:line="240" w:lineRule="auto" w:after="20"/>
              <w:ind w:firstLine="0"/>
              <w:jc w:val="left"/>
            </w:pPr>
            <w:r>
              <w:rPr>
                <w:sz w:val="17"/>
              </w:rPr>
              <w:t xml:space="preserve">Depende de APIs gestionadas</w:t>
            </w:r>
          </w:p>
        </w:tc>
      </w:tr>
      <w:tr>
        <w:tc>
          <w:tcPr/>
          <w:p>
            <w:pPr>
              <w:pStyle w:val="Compact"/>
              <w:spacing w:line="240" w:lineRule="auto" w:after="20"/>
              <w:ind w:firstLine="0"/>
              <w:jc w:val="left"/>
            </w:pPr>
            <w:r>
              <w:rPr>
                <w:sz w:val="17"/>
              </w:rPr>
              <w:t xml:space="preserve">Costo operativo inicial</w:t>
            </w:r>
          </w:p>
        </w:tc>
        <w:tc>
          <w:tcPr/>
          <w:p>
            <w:pPr>
              <w:pStyle w:val="Compact"/>
              <w:spacing w:line="240" w:lineRule="auto" w:after="20"/>
              <w:ind w:firstLine="0"/>
              <w:jc w:val="left"/>
            </w:pPr>
            <w:r>
              <w:rPr>
                <w:sz w:val="17"/>
              </w:rPr>
              <w:t xml:space="preserve">Relativamente contenido</w:t>
            </w:r>
          </w:p>
        </w:tc>
        <w:tc>
          <w:tcPr/>
          <w:p>
            <w:pPr>
              <w:pStyle w:val="Compact"/>
              <w:spacing w:line="240" w:lineRule="auto" w:after="20"/>
              <w:ind w:firstLine="0"/>
              <w:jc w:val="left"/>
            </w:pPr>
            <w:r>
              <w:rPr>
                <w:sz w:val="17"/>
              </w:rPr>
              <w:t xml:space="preserve">Más alto por servicios/infraestructura</w:t>
            </w:r>
          </w:p>
        </w:tc>
        <w:tc>
          <w:tcPr/>
          <w:p>
            <w:pPr>
              <w:pStyle w:val="Compact"/>
              <w:spacing w:line="240" w:lineRule="auto" w:after="20"/>
              <w:ind w:firstLine="0"/>
              <w:jc w:val="left"/>
            </w:pPr>
            <w:r>
              <w:rPr>
                <w:sz w:val="17"/>
              </w:rPr>
              <w:t xml:space="preserve">Variable por transacción/uso</w:t>
            </w:r>
          </w:p>
        </w:tc>
      </w:tr>
      <w:tr>
        <w:tc>
          <w:tcPr/>
          <w:p>
            <w:pPr>
              <w:pStyle w:val="Compact"/>
              <w:spacing w:line="240" w:lineRule="auto" w:after="20"/>
              <w:ind w:firstLine="0"/>
              <w:jc w:val="left"/>
            </w:pPr>
            <w:r>
              <w:rPr>
                <w:sz w:val="17"/>
              </w:rPr>
              <w:t xml:space="preserve">Escalabilidad selectiva</w:t>
            </w:r>
          </w:p>
        </w:tc>
        <w:tc>
          <w:tcPr/>
          <w:p>
            <w:pPr>
              <w:pStyle w:val="Compact"/>
              <w:spacing w:line="240" w:lineRule="auto" w:after="20"/>
              <w:ind w:firstLine="0"/>
              <w:jc w:val="left"/>
            </w:pPr>
            <w:r>
              <w:rPr>
                <w:sz w:val="17"/>
              </w:rPr>
              <w:t xml:space="preserve">Limitada por despliegue único</w:t>
            </w:r>
          </w:p>
        </w:tc>
        <w:tc>
          <w:tcPr/>
          <w:p>
            <w:pPr>
              <w:pStyle w:val="Compact"/>
              <w:spacing w:line="240" w:lineRule="auto" w:after="20"/>
              <w:ind w:firstLine="0"/>
              <w:jc w:val="left"/>
            </w:pPr>
            <w:r>
              <w:rPr>
                <w:sz w:val="17"/>
              </w:rPr>
              <w:t xml:space="preserve">Granular por dominio</w:t>
            </w:r>
          </w:p>
        </w:tc>
        <w:tc>
          <w:tcPr/>
          <w:p>
            <w:pPr>
              <w:pStyle w:val="Compact"/>
              <w:spacing w:line="240" w:lineRule="auto" w:after="20"/>
              <w:ind w:firstLine="0"/>
              <w:jc w:val="left"/>
            </w:pPr>
            <w:r>
              <w:rPr>
                <w:sz w:val="17"/>
              </w:rPr>
              <w:t xml:space="preserve">Acotada por proveedor</w:t>
            </w:r>
          </w:p>
        </w:tc>
      </w:tr>
      <w:tr>
        <w:tc>
          <w:tcPr/>
          <w:p>
            <w:pPr>
              <w:pStyle w:val="Compact"/>
              <w:spacing w:line="240" w:lineRule="auto" w:after="20"/>
              <w:ind w:firstLine="0"/>
              <w:jc w:val="left"/>
            </w:pPr>
            <w:r>
              <w:rPr>
                <w:sz w:val="17"/>
              </w:rPr>
              <w:t xml:space="preserve">Adecuación actual</w:t>
            </w:r>
          </w:p>
        </w:tc>
        <w:tc>
          <w:tcPr/>
          <w:p>
            <w:pPr>
              <w:pStyle w:val="Compact"/>
              <w:spacing w:line="240" w:lineRule="auto" w:after="20"/>
              <w:ind w:firstLine="0"/>
              <w:jc w:val="left"/>
            </w:pPr>
            <w:r>
              <w:rPr>
                <w:sz w:val="17"/>
              </w:rPr>
              <w:t xml:space="preserve">Recomendación condicionada a QA</w:t>
            </w:r>
          </w:p>
        </w:tc>
        <w:tc>
          <w:tcPr/>
          <w:p>
            <w:pPr>
              <w:pStyle w:val="Compact"/>
              <w:spacing w:line="240" w:lineRule="auto" w:after="20"/>
              <w:ind w:firstLine="0"/>
              <w:jc w:val="left"/>
            </w:pPr>
            <w:r>
              <w:rPr>
                <w:sz w:val="17"/>
              </w:rPr>
              <w:t xml:space="preserve">No se justifica sin cargas demostradas</w:t>
            </w:r>
          </w:p>
        </w:tc>
        <w:tc>
          <w:tcPr/>
          <w:p>
            <w:pPr>
              <w:pStyle w:val="Compact"/>
              <w:spacing w:line="240" w:lineRule="auto" w:after="20"/>
              <w:ind w:firstLine="0"/>
              <w:jc w:val="left"/>
            </w:pPr>
            <w:r>
              <w:rPr>
                <w:sz w:val="17"/>
              </w:rPr>
              <w:t xml:space="preserve">No coincide con stack existente</w:t>
            </w:r>
          </w:p>
        </w:tc>
      </w:tr>
    </w:tbl>
    <w:bookmarkEnd w:id="32"/>
    <w:bookmarkStart w:id="33" w:name="X4de7adc837a7c806f368471cfd8f791bffd7ef0"/>
    <w:p>
      <w:pPr>
        <w:pStyle w:val="Heading2"/>
        <w:keepNext/>
        <w:spacing w:line="264" w:lineRule="auto"/>
      </w:pPr>
      <w:r>
        <w:t xml:space="preserve">11. Fundamentos de la arquitectura seleccionable</w:t>
      </w:r>
    </w:p>
    <w:p>
      <w:pPr>
        <w:pStyle w:val="FirstParagraph"/>
        <w:spacing w:line="396" w:lineRule="auto" w:after="100"/>
      </w:pPr>
      <w:r>
        <w:t xml:space="preserve">La API ASP.NET Core concentra contratos REST que consumen dos interfaces. Los controladores implementan entrada HTTP y delegan operaciones a módulos y servicios. Entity Framework Core configura el contexto y modelos relacionales; SignalR agrega un canal para notificaciones que no sustituye consultas de estado persistente. El módulo de pagos incorpora flujos de iniciación Wompi, recepción de webhook y conciliación. La coexistencia de tareas en segundo plano requiere distinguir su ciclo de vida de la respuesta HTTP de un pedido.</w:t>
      </w:r>
    </w:p>
    <w:p>
      <w:pPr>
        <w:pStyle w:val="BodyText"/>
        <w:spacing w:line="396" w:lineRule="auto" w:after="100"/>
      </w:pPr>
      <w:r>
        <w:t xml:space="preserve">Las políticas de autenticación, autorización, turnos y visibilidad de sede se aplicarán en cada frontera de recurso. Un cliente que reciba un identificador no adquiere por ello facultad para consultarlo; la API debe comprobar propiedad o relación laboral explícita. El backend será fuente de verdad para importes, impuestos, estados de pedido y estado financiero, nunca el contenido modificable de una app.</w:t>
      </w:r>
    </w:p>
    <w:bookmarkEnd w:id="33"/>
    <w:bookmarkStart w:id="34" w:name="estrategia-de-implementación-incremental"/>
    <w:p>
      <w:pPr>
        <w:pStyle w:val="Heading2"/>
        <w:keepNext/>
        <w:spacing w:line="264" w:lineRule="auto"/>
      </w:pPr>
      <w:r>
        <w:t xml:space="preserve">12. Estrategia de implementación incremental</w:t>
      </w:r>
    </w:p>
    <w:p>
      <w:pPr>
        <w:pStyle w:val="FirstParagraph"/>
        <w:spacing w:line="396" w:lineRule="auto" w:after="100"/>
      </w:pPr>
      <w:r>
        <w:rPr>
          <w:b/>
          <w:bCs/>
        </w:rPr>
        <w:t xml:space="preserve">Iteración 1 – línea base:</w:t>
      </w:r>
      <w:r>
        <w:t xml:space="preserve"> </w:t>
      </w:r>
      <w:r>
        <w:t xml:space="preserve">congelar el SHA de cada repositorio, documentar y compilar, corregir errores de configuración y controlar secretos.</w:t>
      </w:r>
      <w:r>
        <w:t xml:space="preserve"> </w:t>
      </w:r>
      <w:r>
        <w:rPr>
          <w:b/>
          <w:bCs/>
        </w:rPr>
        <w:t xml:space="preserve">Iteración 2 – contratos:</w:t>
      </w:r>
      <w:r>
        <w:t xml:space="preserve"> </w:t>
      </w:r>
      <w:r>
        <w:t xml:space="preserve">exportar OpenAPI, contrastar DTOs y mapear errores, incluir pruebas de autenticación, sedes y catálogo.</w:t>
      </w:r>
      <w:r>
        <w:t xml:space="preserve"> </w:t>
      </w:r>
      <w:r>
        <w:rPr>
          <w:b/>
          <w:bCs/>
        </w:rPr>
        <w:t xml:space="preserve">Iteración 3 – integridad:</w:t>
      </w:r>
      <w:r>
        <w:t xml:space="preserve"> </w:t>
      </w:r>
      <w:r>
        <w:t xml:space="preserve">cubrir pedido y sus detalles, transición de estados, Wompi sandbox y conciliación de pagos.</w:t>
      </w:r>
      <w:r>
        <w:t xml:space="preserve"> </w:t>
      </w:r>
      <w:r>
        <w:rPr>
          <w:b/>
          <w:bCs/>
        </w:rPr>
        <w:t xml:space="preserve">Iteración 4 – operación:</w:t>
      </w:r>
      <w:r>
        <w:t xml:space="preserve"> </w:t>
      </w:r>
      <w:r>
        <w:t xml:space="preserve">entregas, cocina, notificaciones y recuperación de conectividad.</w:t>
      </w:r>
      <w:r>
        <w:t xml:space="preserve"> </w:t>
      </w:r>
      <w:r>
        <w:rPr>
          <w:b/>
          <w:bCs/>
        </w:rPr>
        <w:t xml:space="preserve">Iteración 5 – liberación:</w:t>
      </w:r>
      <w:r>
        <w:t xml:space="preserve"> </w:t>
      </w:r>
      <w:r>
        <w:t xml:space="preserve">monitoreo, accesibilidad, respaldo y restauración. Cada iteración requiere criterios de aceptación observables antes de promover cambios.</w:t>
      </w:r>
    </w:p>
    <w:bookmarkEnd w:id="34"/>
    <w:bookmarkStart w:id="35" w:name="Xbae0da83e65677edf8ca8d9f0ab2d24499da4ed"/>
    <w:p>
      <w:pPr>
        <w:pStyle w:val="Heading2"/>
        <w:keepNext/>
        <w:spacing w:line="264" w:lineRule="auto"/>
      </w:pPr>
      <w:r>
        <w:t xml:space="preserve">13. Arquitectura de infraestructura propuesta</w:t>
      </w:r>
    </w:p>
    <w:p>
      <w:pPr>
        <w:pStyle w:val="FirstParagraph"/>
        <w:spacing w:line="396" w:lineRule="auto" w:after="100"/>
      </w:pPr>
      <w:r>
        <w:t xml:space="preserve">En desarrollo se permite ejecución local: .NET SDK para API, Node para web, Expo para móvil y un motor de base de datos elegido. En una eventual producción se propone red privada para la DB, proxy inverso HTTPS, terminación TLS, firewall, rotación de secretos, cuentas de servicio de mínimos privilegios y copias cifradas. La selección de VPS/PaaS y sus costos no se presentan como decisión efectivamente ejecutada. Los precios de mercado varían y deben presupuestarse con cotizaciones vigentes, carga prevista y objetivos de recuperación establecidos.</w:t>
      </w:r>
    </w:p>
    <w:p>
      <w:pPr>
        <w:pStyle w:val="BodyText"/>
        <w:spacing w:line="396" w:lineRule="auto" w:after="100"/>
      </w:pPr>
      <w:r>
        <w:t xml:space="preserve">El despliegue móvil se versionaría aparte, porque actualizaciones de clientes instalados pueden convivir con contratos viejos de API. Esa realidad exige ventanas de compatibilidad, cambios aditivos en DTO y un plan de versión mínima soportada. El front web puede liberarse de forma independiente siempre que la interfaz de servicios permanezca compatible.</w:t>
      </w:r>
    </w:p>
    <w:bookmarkEnd w:id="35"/>
    <w:bookmarkStart w:id="36" w:name="evaluación-de-seguridad-y-privacidad"/>
    <w:p>
      <w:pPr>
        <w:pStyle w:val="Heading2"/>
        <w:keepNext/>
        <w:spacing w:line="264" w:lineRule="auto"/>
      </w:pPr>
      <w:r>
        <w:t xml:space="preserve">14. Evaluación de seguridad y privacidad</w:t>
      </w:r>
    </w:p>
    <w:p>
      <w:pPr>
        <w:pStyle w:val="FirstParagraph"/>
        <w:spacing w:line="396" w:lineRule="auto" w:after="100"/>
      </w:pPr>
      <w:r>
        <w:t xml:space="preserve">Se recomienda matriz de amenazas que incluya elevación de privilegios, exposición entre sedes, manipulación del importe total, webhook suplantado, repetición del mismo pago, publicación de tokens y filtración de direcciones o documentos personales. Para cada amenaza deben definirse activo, actor, superficie de ataque, impacto, probabilidad razonada, mitigación, prueba y responsable. Los registros de operación deben conservar identificadores de correlación, no credenciales ni cuerpos completos con información sensible.</w:t>
      </w:r>
    </w:p>
    <w:p>
      <w:pPr>
        <w:pStyle w:val="BodyText"/>
        <w:spacing w:line="396" w:lineRule="auto" w:after="100"/>
      </w:pPr>
      <w:r>
        <w:t xml:space="preserve">Se usarán OWASP API Security Top 10 (2023) y NIST SP 800-63B-4 (2025) como referentes; esto no significa certificación de cumplimiento. Las pruebas recomendadas incluyen ausencia de token, token expirado, empleado de otra sede, cliente ajeno, webhook de firma incorrecta, reintentos duplicados, denegación por turno inactivo y subida de imágenes con tipo inválido. El cumplimiento se consigna únicamente después de ejecutar controles y conservar evidencia.</w:t>
      </w:r>
    </w:p>
    <w:bookmarkEnd w:id="36"/>
    <w:bookmarkStart w:id="37" w:name="X71968121070acd927889f69ee01a52d9400c355"/>
    <w:p>
      <w:pPr>
        <w:pStyle w:val="Heading2"/>
        <w:keepNext/>
        <w:spacing w:line="264" w:lineRule="auto"/>
      </w:pPr>
      <w:r>
        <w:t xml:space="preserve">15. Entregables verificables y criterios de aceptación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after="20"/>
              <w:ind w:firstLine="0"/>
              <w:jc w:val="left"/>
            </w:pPr>
            <w:r>
              <w:rPr>
                <w:b/>
                <w:sz w:val="17"/>
              </w:rPr>
              <w:t xml:space="preserve">Entregable</w:t>
            </w:r>
          </w:p>
        </w:tc>
        <w:tc>
          <w:tcPr/>
          <w:p>
            <w:pPr>
              <w:pStyle w:val="Compact"/>
              <w:spacing w:line="240" w:lineRule="auto" w:after="20"/>
              <w:ind w:firstLine="0"/>
              <w:jc w:val="left"/>
            </w:pPr>
            <w:r>
              <w:rPr>
                <w:b/>
                <w:sz w:val="17"/>
              </w:rPr>
              <w:t xml:space="preserve">Criterio verificable</w:t>
            </w:r>
          </w:p>
        </w:tc>
        <w:tc>
          <w:tcPr/>
          <w:p>
            <w:pPr>
              <w:pStyle w:val="Compact"/>
              <w:spacing w:line="240" w:lineRule="auto" w:after="20"/>
              <w:ind w:firstLine="0"/>
              <w:jc w:val="left"/>
            </w:pPr>
            <w:r>
              <w:rPr>
                <w:b/>
                <w:sz w:val="17"/>
              </w:rPr>
              <w:t xml:space="preserve">Medio de comprobación</w:t>
            </w:r>
          </w:p>
        </w:tc>
      </w:tr>
      <w:tr>
        <w:tc>
          <w:tcPr/>
          <w:p>
            <w:pPr>
              <w:pStyle w:val="Compact"/>
              <w:spacing w:line="240" w:lineRule="auto" w:after="20"/>
              <w:ind w:firstLine="0"/>
              <w:jc w:val="left"/>
            </w:pPr>
            <w:r>
              <w:rPr>
                <w:sz w:val="17"/>
              </w:rPr>
              <w:t xml:space="preserve">API documentada</w:t>
            </w:r>
          </w:p>
        </w:tc>
        <w:tc>
          <w:tcPr/>
          <w:p>
            <w:pPr>
              <w:pStyle w:val="Compact"/>
              <w:spacing w:line="240" w:lineRule="auto" w:after="20"/>
              <w:ind w:firstLine="0"/>
              <w:jc w:val="left"/>
            </w:pPr>
            <w:r>
              <w:rPr>
                <w:sz w:val="17"/>
              </w:rPr>
              <w:t xml:space="preserve">OpenAPI coincide con build versionado</w:t>
            </w:r>
          </w:p>
        </w:tc>
        <w:tc>
          <w:tcPr/>
          <w:p>
            <w:pPr>
              <w:pStyle w:val="Compact"/>
              <w:spacing w:line="240" w:lineRule="auto" w:after="20"/>
              <w:ind w:firstLine="0"/>
              <w:jc w:val="left"/>
            </w:pPr>
            <w:r>
              <w:rPr>
                <w:sz w:val="17"/>
              </w:rPr>
              <w:t xml:space="preserve">Export JSON + diff + QA</w:t>
            </w:r>
          </w:p>
        </w:tc>
      </w:tr>
      <w:tr>
        <w:tc>
          <w:tcPr/>
          <w:p>
            <w:pPr>
              <w:pStyle w:val="Compact"/>
              <w:spacing w:line="240" w:lineRule="auto" w:after="20"/>
              <w:ind w:firstLine="0"/>
              <w:jc w:val="left"/>
            </w:pPr>
            <w:r>
              <w:rPr>
                <w:sz w:val="17"/>
              </w:rPr>
              <w:t xml:space="preserve">SRS</w:t>
            </w:r>
          </w:p>
        </w:tc>
        <w:tc>
          <w:tcPr/>
          <w:p>
            <w:pPr>
              <w:pStyle w:val="Compact"/>
              <w:spacing w:line="240" w:lineRule="auto" w:after="20"/>
              <w:ind w:firstLine="0"/>
              <w:jc w:val="left"/>
            </w:pPr>
            <w:r>
              <w:rPr>
                <w:sz w:val="17"/>
              </w:rPr>
              <w:t xml:space="preserve">RF/RNF y matriz de aceptación aprobada</w:t>
            </w:r>
          </w:p>
        </w:tc>
        <w:tc>
          <w:tcPr/>
          <w:p>
            <w:pPr>
              <w:pStyle w:val="Compact"/>
              <w:spacing w:line="240" w:lineRule="auto" w:after="20"/>
              <w:ind w:firstLine="0"/>
              <w:jc w:val="left"/>
            </w:pPr>
            <w:r>
              <w:rPr>
                <w:sz w:val="17"/>
              </w:rPr>
              <w:t xml:space="preserve">Acta y trazabilidad</w:t>
            </w:r>
          </w:p>
        </w:tc>
      </w:tr>
      <w:tr>
        <w:tc>
          <w:tcPr/>
          <w:p>
            <w:pPr>
              <w:pStyle w:val="Compact"/>
              <w:spacing w:line="240" w:lineRule="auto" w:after="20"/>
              <w:ind w:firstLine="0"/>
              <w:jc w:val="left"/>
            </w:pPr>
            <w:r>
              <w:rPr>
                <w:sz w:val="17"/>
              </w:rPr>
              <w:t xml:space="preserve">Base de datos</w:t>
            </w:r>
          </w:p>
        </w:tc>
        <w:tc>
          <w:tcPr/>
          <w:p>
            <w:pPr>
              <w:pStyle w:val="Compact"/>
              <w:spacing w:line="240" w:lineRule="auto" w:after="20"/>
              <w:ind w:firstLine="0"/>
              <w:jc w:val="left"/>
            </w:pPr>
            <w:r>
              <w:rPr>
                <w:sz w:val="17"/>
              </w:rPr>
              <w:t xml:space="preserve">Migraciones, DDL y relaciones reproducibles</w:t>
            </w:r>
          </w:p>
        </w:tc>
        <w:tc>
          <w:tcPr/>
          <w:p>
            <w:pPr>
              <w:pStyle w:val="Compact"/>
              <w:spacing w:line="240" w:lineRule="auto" w:after="20"/>
              <w:ind w:firstLine="0"/>
              <w:jc w:val="left"/>
            </w:pPr>
            <w:r>
              <w:rPr>
                <w:sz w:val="17"/>
              </w:rPr>
              <w:t xml:space="preserve">Base efímera y respaldo</w:t>
            </w:r>
          </w:p>
        </w:tc>
      </w:tr>
      <w:tr>
        <w:tc>
          <w:tcPr/>
          <w:p>
            <w:pPr>
              <w:pStyle w:val="Compact"/>
              <w:spacing w:line="240" w:lineRule="auto" w:after="20"/>
              <w:ind w:firstLine="0"/>
              <w:jc w:val="left"/>
            </w:pPr>
            <w:r>
              <w:rPr>
                <w:sz w:val="17"/>
              </w:rPr>
              <w:t xml:space="preserve">Pagos</w:t>
            </w:r>
          </w:p>
        </w:tc>
        <w:tc>
          <w:tcPr/>
          <w:p>
            <w:pPr>
              <w:pStyle w:val="Compact"/>
              <w:spacing w:line="240" w:lineRule="auto" w:after="20"/>
              <w:ind w:firstLine="0"/>
              <w:jc w:val="left"/>
            </w:pPr>
            <w:r>
              <w:rPr>
                <w:sz w:val="17"/>
              </w:rPr>
              <w:t xml:space="preserve">Sandbox, checksum e idempotencia comprobados</w:t>
            </w:r>
          </w:p>
        </w:tc>
        <w:tc>
          <w:tcPr/>
          <w:p>
            <w:pPr>
              <w:pStyle w:val="Compact"/>
              <w:spacing w:line="240" w:lineRule="auto" w:after="20"/>
              <w:ind w:firstLine="0"/>
              <w:jc w:val="left"/>
            </w:pPr>
            <w:r>
              <w:rPr>
                <w:sz w:val="17"/>
              </w:rPr>
              <w:t xml:space="preserve">Logs anonimizados y evidencia</w:t>
            </w:r>
          </w:p>
        </w:tc>
      </w:tr>
      <w:tr>
        <w:tc>
          <w:tcPr/>
          <w:p>
            <w:pPr>
              <w:pStyle w:val="Compact"/>
              <w:spacing w:line="240" w:lineRule="auto" w:after="20"/>
              <w:ind w:firstLine="0"/>
              <w:jc w:val="left"/>
            </w:pPr>
            <w:r>
              <w:rPr>
                <w:sz w:val="17"/>
              </w:rPr>
              <w:t xml:space="preserve">Web</w:t>
            </w:r>
          </w:p>
        </w:tc>
        <w:tc>
          <w:tcPr/>
          <w:p>
            <w:pPr>
              <w:pStyle w:val="Compact"/>
              <w:spacing w:line="240" w:lineRule="auto" w:after="20"/>
              <w:ind w:firstLine="0"/>
              <w:jc w:val="left"/>
            </w:pPr>
            <w:r>
              <w:rPr>
                <w:sz w:val="17"/>
              </w:rPr>
              <w:t xml:space="preserve">Rutas y roles críticos ejercitados</w:t>
            </w:r>
          </w:p>
        </w:tc>
        <w:tc>
          <w:tcPr/>
          <w:p>
            <w:pPr>
              <w:pStyle w:val="Compact"/>
              <w:spacing w:line="240" w:lineRule="auto" w:after="20"/>
              <w:ind w:firstLine="0"/>
              <w:jc w:val="left"/>
            </w:pPr>
            <w:r>
              <w:rPr>
                <w:sz w:val="17"/>
              </w:rPr>
              <w:t xml:space="preserve">Capturas/test automatizado</w:t>
            </w:r>
          </w:p>
        </w:tc>
      </w:tr>
      <w:tr>
        <w:tc>
          <w:tcPr/>
          <w:p>
            <w:pPr>
              <w:pStyle w:val="Compact"/>
              <w:spacing w:line="240" w:lineRule="auto" w:after="20"/>
              <w:ind w:firstLine="0"/>
              <w:jc w:val="left"/>
            </w:pPr>
            <w:r>
              <w:rPr>
                <w:sz w:val="17"/>
              </w:rPr>
              <w:t xml:space="preserve">Móvil</w:t>
            </w:r>
          </w:p>
        </w:tc>
        <w:tc>
          <w:tcPr/>
          <w:p>
            <w:pPr>
              <w:pStyle w:val="Compact"/>
              <w:spacing w:line="240" w:lineRule="auto" w:after="20"/>
              <w:ind w:firstLine="0"/>
              <w:jc w:val="left"/>
            </w:pPr>
            <w:r>
              <w:rPr>
                <w:sz w:val="17"/>
              </w:rPr>
              <w:t xml:space="preserve">Flujos por perfil y red móvil ejercitados</w:t>
            </w:r>
          </w:p>
        </w:tc>
        <w:tc>
          <w:tcPr/>
          <w:p>
            <w:pPr>
              <w:pStyle w:val="Compact"/>
              <w:spacing w:line="240" w:lineRule="auto" w:after="20"/>
              <w:ind w:firstLine="0"/>
              <w:jc w:val="left"/>
            </w:pPr>
            <w:r>
              <w:rPr>
                <w:sz w:val="17"/>
              </w:rPr>
              <w:t xml:space="preserve">Build + ensayo de dispositivo</w:t>
            </w:r>
          </w:p>
        </w:tc>
      </w:tr>
      <w:tr>
        <w:tc>
          <w:tcPr/>
          <w:p>
            <w:pPr>
              <w:pStyle w:val="Compact"/>
              <w:spacing w:line="240" w:lineRule="auto" w:after="20"/>
              <w:ind w:firstLine="0"/>
              <w:jc w:val="left"/>
            </w:pPr>
            <w:r>
              <w:rPr>
                <w:sz w:val="17"/>
              </w:rPr>
              <w:t xml:space="preserve">Manual técnico</w:t>
            </w:r>
          </w:p>
        </w:tc>
        <w:tc>
          <w:tcPr/>
          <w:p>
            <w:pPr>
              <w:pStyle w:val="Compact"/>
              <w:spacing w:line="240" w:lineRule="auto" w:after="20"/>
              <w:ind w:firstLine="0"/>
              <w:jc w:val="left"/>
            </w:pPr>
            <w:r>
              <w:rPr>
                <w:sz w:val="17"/>
              </w:rPr>
              <w:t xml:space="preserve">Permite ejecutar y diagnosticar</w:t>
            </w:r>
          </w:p>
        </w:tc>
        <w:tc>
          <w:tcPr/>
          <w:p>
            <w:pPr>
              <w:pStyle w:val="Compact"/>
              <w:spacing w:line="240" w:lineRule="auto" w:after="20"/>
              <w:ind w:firstLine="0"/>
              <w:jc w:val="left"/>
            </w:pPr>
            <w:r>
              <w:rPr>
                <w:sz w:val="17"/>
              </w:rPr>
              <w:t xml:space="preserve">Revisión de operador</w:t>
            </w:r>
          </w:p>
        </w:tc>
      </w:tr>
      <w:tr>
        <w:tc>
          <w:tcPr/>
          <w:p>
            <w:pPr>
              <w:pStyle w:val="Compact"/>
              <w:spacing w:line="240" w:lineRule="auto" w:after="20"/>
              <w:ind w:firstLine="0"/>
              <w:jc w:val="left"/>
            </w:pPr>
            <w:r>
              <w:rPr>
                <w:sz w:val="17"/>
              </w:rPr>
              <w:t xml:space="preserve">Investigación</w:t>
            </w:r>
          </w:p>
        </w:tc>
        <w:tc>
          <w:tcPr/>
          <w:p>
            <w:pPr>
              <w:pStyle w:val="Compact"/>
              <w:spacing w:line="240" w:lineRule="auto" w:after="20"/>
              <w:ind w:firstLine="0"/>
              <w:jc w:val="left"/>
            </w:pPr>
            <w:r>
              <w:rPr>
                <w:sz w:val="17"/>
              </w:rPr>
              <w:t xml:space="preserve">Fuentes correctas y limitaciones explícitas</w:t>
            </w:r>
          </w:p>
        </w:tc>
        <w:tc>
          <w:tcPr/>
          <w:p>
            <w:pPr>
              <w:pStyle w:val="Compact"/>
              <w:spacing w:line="240" w:lineRule="auto" w:after="20"/>
              <w:ind w:firstLine="0"/>
              <w:jc w:val="left"/>
            </w:pPr>
            <w:r>
              <w:rPr>
                <w:sz w:val="17"/>
              </w:rPr>
              <w:t xml:space="preserve">Revisión editorial</w:t>
            </w:r>
          </w:p>
        </w:tc>
      </w:tr>
    </w:tbl>
    <w:bookmarkEnd w:id="37"/>
    <w:bookmarkStart w:id="38" w:name="presupuesto-y-riesgos-de-viabilidad"/>
    <w:p>
      <w:pPr>
        <w:pStyle w:val="Heading2"/>
        <w:keepNext/>
        <w:spacing w:line="264" w:lineRule="auto"/>
      </w:pPr>
      <w:r>
        <w:t xml:space="preserve">16. Presupuesto y riesgos de viabilidad</w:t>
      </w:r>
    </w:p>
    <w:p>
      <w:pPr>
        <w:pStyle w:val="FirstParagraph"/>
        <w:spacing w:line="396" w:lineRule="auto" w:after="100"/>
      </w:pPr>
      <w:r>
        <w:t xml:space="preserve">Los costos deben expresarse como intervalos con hipótesis explícitas: alojamiento de API, base de datos, dominio y TLS, almacenamiento y retención, correo/notificaciones, servicios externos, pruebas, soporte y mantenimiento. No se incluye un precio cerrado sin proveedor, moneda, plazo ni número de transacciones acordado. El presupuesto académico puede usar una hoja de estimación, separando CAPEX inicial de OPEX mensual; el costo de pasarela y mensajería se estimará mediante tarifa oficial vigente y escenario de volumen.</w:t>
      </w:r>
    </w:p>
    <w:p>
      <w:pPr>
        <w:pStyle w:val="BodyText"/>
        <w:spacing w:line="396" w:lineRule="auto" w:after="100"/>
      </w:pPr>
      <w:r>
        <w:t xml:space="preserve">Los riesgos principales son dependencia de un integrador de pagos, cambios contractuales entre tres clientes, configuración inadecuada de CORS, recursos limitados para pruebas de regresión, seguridad de datos sensibles y falta de métricas operativas. Cada riesgo debe ligarse a una acción concreta y a un indicador de cierre, evitando afirmaciones vagas como</w:t>
      </w:r>
      <w:r>
        <w:t xml:space="preserve"> </w:t>
      </w:r>
      <w:r>
        <w:t xml:space="preserve">“</w:t>
      </w:r>
      <w:r>
        <w:t xml:space="preserve">la solución es segura y escalable</w:t>
      </w:r>
      <w:r>
        <w:t xml:space="preserve">”</w:t>
      </w:r>
      <w:r>
        <w:t xml:space="preserve">.</w:t>
      </w:r>
    </w:p>
    <w:bookmarkEnd w:id="38"/>
    <w:bookmarkStart w:id="39" w:name="fuentes-primarias-de-implementación"/>
    <w:p>
      <w:pPr>
        <w:pStyle w:val="Heading2"/>
        <w:keepNext/>
        <w:spacing w:line="264" w:lineRule="auto"/>
      </w:pPr>
      <w:r>
        <w:t xml:space="preserve">Fuentes primarias de implementación</w:t>
      </w:r>
    </w:p>
    <w:p>
      <w:pPr>
        <w:pStyle w:val="Compact"/>
        <w:numPr>
          <w:ilvl w:val="0"/>
          <w:numId w:val="1001"/>
        </w:numPr>
        <w:spacing w:line="396" w:lineRule="auto" w:after="100"/>
      </w:pPr>
      <w:r>
        <w:t xml:space="preserve">API: https://github.com/yersonct/SaborExpressBack/tree/main</w:t>
      </w:r>
    </w:p>
    <w:p>
      <w:pPr>
        <w:pStyle w:val="Compact"/>
        <w:numPr>
          <w:ilvl w:val="0"/>
          <w:numId w:val="1001"/>
        </w:numPr>
        <w:spacing w:line="396" w:lineRule="auto" w:after="100"/>
      </w:pPr>
      <w:r>
        <w:t xml:space="preserve">Web: https://github.com/yersonct/SaborExpressWeb/tree/main</w:t>
      </w:r>
    </w:p>
    <w:p>
      <w:pPr>
        <w:pStyle w:val="Compact"/>
        <w:numPr>
          <w:ilvl w:val="0"/>
          <w:numId w:val="1001"/>
        </w:numPr>
        <w:spacing w:line="396" w:lineRule="auto" w:after="100"/>
      </w:pPr>
      <w:r>
        <w:t xml:space="preserve">Móvil: https://github.com/yersonct/SaborExpressMovil/tree/main</w:t>
      </w:r>
    </w:p>
    <w:p>
      <w:pPr>
        <w:pStyle w:val="Compact"/>
        <w:numPr>
          <w:ilvl w:val="0"/>
          <w:numId w:val="1001"/>
        </w:numPr>
        <w:spacing w:line="396" w:lineRule="auto" w:after="100"/>
      </w:pPr>
      <w:r>
        <w:t xml:space="preserve">Referencia de presentación: https://github.com/jsgh1/SRD-v1/tree/dev/docs/docs-SRD</w:t>
      </w:r>
    </w:p>
    <w:p>
      <w:pPr>
        <w:pStyle w:val="FirstParagraph"/>
        <w:spacing w:line="396" w:lineRule="auto" w:after="10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39"/>
    <w:bookmarkStart w:id="40" w:name="Xf2f4d4f21f4378b1a752ab30982a81f90f09255"/>
    <w:p>
      <w:pPr>
        <w:pStyle w:val="Heading2"/>
        <w:keepNext/>
        <w:spacing w:line="264" w:lineRule="auto"/>
      </w:pPr>
      <w:r>
        <w:t xml:space="preserve">17. Topología recomendada y decisiones justificadas</w:t>
      </w:r>
    </w:p>
    <w:p>
      <w:pPr>
        <w:pStyle w:val="FirstParagraph"/>
        <w:spacing w:line="396" w:lineRule="auto" w:after="100"/>
      </w:pPr>
      <w:r>
        <w:t xml:space="preserve">La arquitectura identificada es un</w:t>
      </w:r>
      <w:r>
        <w:t xml:space="preserve"> </w:t>
      </w:r>
      <w:r>
        <w:rPr>
          <w:b/>
          <w:bCs/>
        </w:rPr>
        <w:t xml:space="preserve">backend modular</w:t>
      </w:r>
      <w:r>
        <w:t xml:space="preserve">; no hay evidencia de que sea una arquitectura de microservicios desplegados por separado. Mantenerla permite aprovechar controladores, módulos y contexto de EF Core sin una migración de alto costo. Se recomienda aislar las dependencias externas detrás de interfaces, practicar autorización por operación y entidad, centralizar contratos OpenAPI y efectuar migraciones de manera controlada.</w:t>
      </w:r>
    </w:p>
    <w:p>
      <w:pPr>
        <w:pStyle w:val="BodyText"/>
        <w:spacing w:line="396" w:lineRule="auto" w:after="100"/>
      </w:pPr>
      <w:r>
        <w:rPr>
          <w:b/>
          <w:bCs/>
        </w:rPr>
        <w:t xml:space="preserve">Despliegue sugerido:</w:t>
      </w:r>
      <w:r>
        <w:t xml:space="preserve"> </w:t>
      </w:r>
      <w:r>
        <w:t xml:space="preserve">cliente web Next.js, API .NET 8, motor relacional privado, terminación TLS, backup probado, logs centralizados y servicio Wompi externo. No se fija región, presupuesto ni proveedor sin cotizaciones y decisión formal. Para Node y Expo se recomienda una matriz de versiones derivada de package-lock y herramientas realmente instaladas.</w:t>
      </w:r>
    </w:p>
    <w:bookmarkEnd w:id="40"/>
    <w:bookmarkStart w:id="47" w:name="diagramas-de-soluciones"/>
    <w:p>
      <w:pPr>
        <w:pStyle w:val="Heading2"/>
        <w:keepNext/>
        <w:spacing w:line="264" w:lineRule="auto"/>
      </w:pPr>
      <w:r>
        <w:t xml:space="preserve">18. Diagramas de soluciones</w:t>
      </w:r>
    </w:p>
    <w:p>
      <w:pPr>
        <w:pStyle w:val="CaptionedFigure"/>
        <w:spacing w:line="396" w:lineRule="auto" w:after="100"/>
      </w:pPr>
      <w:r>
        <w:drawing>
          <wp:inline>
            <wp:extent cx="5943600" cy="6036999"/>
            <wp:effectExtent b="0" l="0" r="0" t="0"/>
            <wp:docPr descr="02_COMPONENTES" title="" id="42" name="Picture"/>
            <a:graphic>
              <a:graphicData uri="http://schemas.openxmlformats.org/drawingml/2006/picture">
                <pic:pic>
                  <pic:nvPicPr>
                    <pic:cNvPr descr="recursos/02_COMPONENTES.png" id="43" name="Picture"/>
                    <pic:cNvPicPr>
                      <a:picLocks noChangeArrowheads="1" noChangeAspect="1"/>
                    </pic:cNvPicPr>
                  </pic:nvPicPr>
                  <pic:blipFill>
                    <a:blip r:embed="rId41"/>
                    <a:stretch>
                      <a:fillRect/>
                    </a:stretch>
                  </pic:blipFill>
                  <pic:spPr bwMode="auto">
                    <a:xfrm>
                      <a:off x="0" y="0"/>
                      <a:ext cx="5943600" cy="6036999"/>
                    </a:xfrm>
                    <a:prstGeom prst="rect">
                      <a:avLst/>
                    </a:prstGeom>
                    <a:noFill/>
                    <a:ln w="9525">
                      <a:noFill/>
                      <a:headEnd/>
                      <a:tailEnd/>
                    </a:ln>
                  </pic:spPr>
                </pic:pic>
              </a:graphicData>
            </a:graphic>
          </wp:inline>
        </w:drawing>
      </w:r>
    </w:p>
    <w:p>
      <w:pPr>
        <w:pStyle w:val="ImageCaption"/>
        <w:spacing w:line="396" w:lineRule="auto" w:after="100"/>
      </w:pPr>
      <w:r>
        <w:t xml:space="preserve">02_COMPONENTES</w:t>
      </w:r>
    </w:p>
    <w:p>
      <w:pPr>
        <w:pStyle w:val="BodyText"/>
        <w:spacing w:line="396" w:lineRule="auto" w:after="100"/>
      </w:pPr>
      <w:r>
        <w:rPr>
          <w:i/>
          <w:iCs/>
        </w:rPr>
        <w:t xml:space="preserve">Nota. Elaboración para el estudio de caso SaborExpress; las figuras no certifican operaciones desplegadas.</w:t>
      </w:r>
    </w:p>
    <w:p>
      <w:pPr>
        <w:pStyle w:val="CaptionedFigure"/>
        <w:spacing w:line="396" w:lineRule="auto" w:after="100"/>
      </w:pPr>
      <w:r>
        <w:drawing>
          <wp:inline>
            <wp:extent cx="5943600" cy="4433733"/>
            <wp:effectExtent b="0" l="0" r="0" t="0"/>
            <wp:docPr descr="07_DESPLIEGUE_PROPUESTO" title="" id="45" name="Picture"/>
            <a:graphic>
              <a:graphicData uri="http://schemas.openxmlformats.org/drawingml/2006/picture">
                <pic:pic>
                  <pic:nvPicPr>
                    <pic:cNvPr descr="recursos/07_DESPLIEGUE_PROPUESTO.png" id="46" name="Picture"/>
                    <pic:cNvPicPr>
                      <a:picLocks noChangeArrowheads="1" noChangeAspect="1"/>
                    </pic:cNvPicPr>
                  </pic:nvPicPr>
                  <pic:blipFill>
                    <a:blip r:embed="rId44"/>
                    <a:stretch>
                      <a:fillRect/>
                    </a:stretch>
                  </pic:blipFill>
                  <pic:spPr bwMode="auto">
                    <a:xfrm>
                      <a:off x="0" y="0"/>
                      <a:ext cx="5943600" cy="4433733"/>
                    </a:xfrm>
                    <a:prstGeom prst="rect">
                      <a:avLst/>
                    </a:prstGeom>
                    <a:noFill/>
                    <a:ln w="9525">
                      <a:noFill/>
                      <a:headEnd/>
                      <a:tailEnd/>
                    </a:ln>
                  </pic:spPr>
                </pic:pic>
              </a:graphicData>
            </a:graphic>
          </wp:inline>
        </w:drawing>
      </w:r>
    </w:p>
    <w:p>
      <w:pPr>
        <w:pStyle w:val="ImageCaption"/>
        <w:spacing w:line="396" w:lineRule="auto" w:after="100"/>
      </w:pPr>
      <w:r>
        <w:t xml:space="preserve">07_DESPLIEGUE_PROPUESTO</w:t>
      </w:r>
    </w:p>
    <w:p>
      <w:pPr>
        <w:pStyle w:val="BodyText"/>
        <w:spacing w:line="396" w:lineRule="auto" w:after="100"/>
      </w:pPr>
      <w:r>
        <w:rPr>
          <w:i/>
          <w:iCs/>
        </w:rPr>
        <w:t xml:space="preserve">Nota. Elaboración para el estudio de caso SaborExpress; las figuras no certifican operaciones desplegadas.</w:t>
      </w:r>
      <w:r>
        <w:t xml:space="preserve"> </w:t>
      </w:r>
      <w:r>
        <w:t xml:space="preserve">## 19. Criterios de adquisición y costo total de propiedad</w:t>
      </w:r>
    </w:p>
    <w:p>
      <w:pPr>
        <w:pStyle w:val="BodyText"/>
        <w:spacing w:line="396" w:lineRule="auto" w:after="100"/>
      </w:pPr>
      <w:r>
        <w:t xml:space="preserve">Las ofertas de hosting se comparan por disponibilidad, costo de renovación, ancho de banda, soporte TLS, backups, residencia de datos, recursos de CPU/RAM, latencia, costo por transacción de pagos y soporte requerido. El costo total de propiedad incluye licencias si aplican, horas de ingeniería, monitoreo, incidentes, backups, dominio y cambios regulatorios. Las tarifas de proveedores fluctúan: una captura de precio no es presupuesto vigente.</w:t>
      </w:r>
    </w:p>
    <w:bookmarkEnd w:id="47"/>
    <w:bookmarkEnd w:id="48"/>
    <w:sectPr>
      <w:footerReference w:type="default" r:id="rId10"/>
      <w:pgSz w:h="15840" w:w="12240"/>
      <w:pgMar w:bottom="1440" w:left="1440" w:right="1440" w:top="1440" w:header="691"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SaborExpress | Yerson Stiven Cuellar Rubiano | Ficha 3145555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60" w:lineRule="auto"/>
    </w:pPr>
    <w:rPr>
      <w:rFonts w:ascii="Times New Roman" w:hAnsi="Times New Roman"/>
      <w:color w:val="191E28"/>
      <w:sz w:val="24"/>
    </w:rPr>
  </w:style>
  <w:style w:styleId="BodyText" w:type="paragraph">
    <w:name w:val="Body Text"/>
    <w:basedOn w:val="Normal"/>
    <w:link w:val="BodyTextChar"/>
    <w:qFormat/>
    <w:pPr>
      <w:spacing w:after="60" w:before="180" w:line="360" w:lineRule="auto"/>
    </w:pPr>
    <w:rPr>
      <w:rFonts w:ascii="Times New Roman" w:hAnsi="Times New Roman"/>
      <w:color w:val="191E28"/>
      <w:sz w:val="24"/>
    </w:rPr>
  </w:style>
  <w:style w:customStyle="1" w:styleId="FirstParagraph" w:type="paragraph">
    <w:name w:val="First Paragraph"/>
    <w:basedOn w:val="BodyText"/>
    <w:next w:val="BodyText"/>
    <w:qFormat/>
    <w:pPr>
      <w:spacing w:after="60" w:line="360" w:lineRule="auto"/>
    </w:pPr>
    <w:rPr>
      <w:rFonts w:ascii="Times New Roman" w:hAnsi="Times New Roman"/>
      <w:color w:val="191E28"/>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44" Type="http://schemas.openxmlformats.org/officeDocument/2006/relationships/image" Target="media/rId44.png"/><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2026-10-15T01:17:09Z</dcterms:created>
  <dcterms:modified xsi:type="dcterms:W3CDTF">2026-10-15T01:17:09Z</dcterms:modified>
</cp:coreProperties>
</file>

<file path=docProps/custom.xml><?xml version="1.0" encoding="utf-8"?>
<Properties xmlns="http://schemas.openxmlformats.org/officeDocument/2006/custom-properties" xmlns:vt="http://schemas.openxmlformats.org/officeDocument/2006/docPropsVTypes"/>
</file>