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100"/>
        <w:jc w:val="center"/>
      </w:pPr>
      <w:r>
        <w:drawing>
          <wp:inline>
            <wp:extent cx="4389120" cy="2501042"/>
            <wp:docPr id="72" name="Picture 72"/>
            <wp:cNvGraphicFramePr>
              <a:graphicFrameLocks noChangeAspect="1"/>
            </wp:cNvGraphicFramePr>
            <a:graphic>
              <a:graphicData uri="http://schemas.openxmlformats.org/drawingml/2006/picture">
                <pic:pic>
                  <pic:nvPicPr>
                    <pic:cNvPr id="0" name="SaborExpress_logo_transparente.png"/>
                    <pic:cNvPicPr/>
                  </pic:nvPicPr>
                  <pic:blipFill>
                    <a:blip r:embed="rId9"/>
                    <a:stretch>
                      <a:fillRect/>
                    </a:stretch>
                  </pic:blipFill>
                  <pic:spPr>
                    <a:xfrm>
                      <a:off x="0" y="0"/>
                      <a:ext cx="4389120" cy="2501042"/>
                    </a:xfrm>
                    <a:prstGeom prst="rect"/>
                  </pic:spPr>
                </pic:pic>
              </a:graphicData>
            </a:graphic>
          </wp:inline>
        </w:drawing>
      </w:r>
    </w:p>
    <w:p>
      <w:pPr>
        <w:spacing w:before="900" w:after="500"/>
        <w:jc w:val="center"/>
      </w:pPr>
      <w:r>
        <w:rPr>
          <w:rFonts w:ascii="Times New Roman" w:hAnsi="Times New Roman"/>
          <w:b/>
          <w:sz w:val="34"/>
        </w:rPr>
        <w:t>04 Manual tecnico SaborExpress</w:t>
      </w:r>
    </w:p>
    <w:p>
      <w:pPr>
        <w:spacing w:after="160"/>
        <w:jc w:val="center"/>
      </w:pPr>
      <w:r>
        <w:rPr>
          <w:rFonts w:ascii="Times New Roman" w:hAnsi="Times New Roman"/>
          <w:b/>
          <w:sz w:val="24"/>
        </w:rPr>
        <w:t>SABOREXPRESS — PROYECTO DE SOFTWARE</w:t>
      </w:r>
    </w:p>
    <w:p>
      <w:pPr>
        <w:spacing w:after="160"/>
        <w:jc w:val="center"/>
      </w:pPr>
      <w:r>
        <w:rPr>
          <w:rFonts w:ascii="Times New Roman" w:hAnsi="Times New Roman"/>
          <w:sz w:val="24"/>
        </w:rPr>
        <w:t>Yerson Stiven Cuellar Rubiano</w:t>
      </w:r>
    </w:p>
    <w:p>
      <w:pPr>
        <w:spacing w:after="160"/>
        <w:jc w:val="center"/>
      </w:pPr>
      <w:r>
        <w:rPr>
          <w:rFonts w:ascii="Times New Roman" w:hAnsi="Times New Roman"/>
          <w:sz w:val="24"/>
        </w:rPr>
        <w:t>Ficha de formación: 3145555</w:t>
      </w:r>
    </w:p>
    <w:p>
      <w:pPr>
        <w:spacing w:after="160"/>
        <w:jc w:val="center"/>
      </w:pPr>
      <w:r>
        <w:rPr>
          <w:rFonts w:ascii="Times New Roman" w:hAnsi="Times New Roman"/>
          <w:sz w:val="24"/>
        </w:rPr>
        <w:t>Expediente técnico y académico — APA 7</w:t>
      </w:r>
    </w:p>
    <w:p>
      <w:pPr>
        <w:spacing w:after="160"/>
        <w:jc w:val="center"/>
      </w:pPr>
      <w:r>
        <w:rPr>
          <w:rFonts w:ascii="Times New Roman" w:hAnsi="Times New Roman"/>
          <w:sz w:val="24"/>
        </w:rPr>
        <w:t>14 de octubre de 2026</w:t>
      </w:r>
    </w:p>
    <w:p>
      <w:pPr>
        <w:spacing w:before="600"/>
        <w:jc w:val="center"/>
      </w:pPr>
      <w:r>
        <w:rPr>
          <w:i/>
        </w:rPr>
        <w:t>Fuente documental: repositorios SaborExpressBack, SaborExpressWeb y SaborExpressMovil.</w:t>
        <w:br/>
        <w:t>Las pruebas no ejecutadas se identifican como pendientes.</w:t>
      </w:r>
    </w:p>
    <w:p>
      <w:r>
        <w:br w:type="page"/>
      </w:r>
    </w:p>
    <w:bookmarkStart w:id="73" w:name="manual-técnico-y-operación-del-sistema"/>
    <w:p>
      <w:pPr>
        <w:pStyle w:val="Heading1"/>
        <w:keepNext/>
        <w:spacing w:line="264" w:lineRule="auto"/>
      </w:pPr>
      <w:r>
        <w:t xml:space="preserve">Manual técnico y operación del sistema</w:t>
      </w:r>
    </w:p>
    <w:p>
      <w:pPr>
        <w:pStyle w:val="FirstParagraph"/>
        <w:spacing w:line="396" w:lineRule="auto" w:after="100"/>
      </w:pPr>
      <w:r>
        <w:rPr>
          <w:b/>
          <w:bCs/>
        </w:rPr>
        <w:t xml:space="preserve">Proyecto:</w:t>
      </w:r>
      <w:r>
        <w:t xml:space="preserve"> </w:t>
      </w:r>
      <w:r>
        <w:t xml:space="preserve">SaborExpress |</w:t>
      </w:r>
      <w:r>
        <w:t xml:space="preserve"> </w:t>
      </w:r>
      <w:r>
        <w:rPr>
          <w:b/>
          <w:bCs/>
        </w:rPr>
        <w:t xml:space="preserve">Autor / integrante:</w:t>
      </w:r>
      <w:r>
        <w:t xml:space="preserve"> </w:t>
      </w:r>
      <w:r>
        <w:t xml:space="preserve">Yerson Stiven Cuellar Rubiano |</w:t>
      </w:r>
      <w:r>
        <w:t xml:space="preserve"> </w:t>
      </w:r>
      <w:r>
        <w:rPr>
          <w:b/>
          <w:bCs/>
        </w:rPr>
        <w:t xml:space="preserve">Ficha:</w:t>
      </w:r>
      <w:r>
        <w:t xml:space="preserve"> </w:t>
      </w:r>
      <w:r>
        <w:t xml:space="preserve">3145555 |</w:t>
      </w:r>
      <w:r>
        <w:t xml:space="preserve"> </w:t>
      </w:r>
      <w:r>
        <w:rPr>
          <w:b/>
          <w:bCs/>
        </w:rPr>
        <w:t xml:space="preserve">Fecha:</w:t>
      </w:r>
      <w:r>
        <w:t xml:space="preserve"> </w:t>
      </w:r>
      <w:r>
        <w:t xml:space="preserve">14 de octubre de 2026 |</w:t>
      </w:r>
      <w:r>
        <w:t xml:space="preserve"> </w:t>
      </w:r>
      <w:r>
        <w:rPr>
          <w:b/>
          <w:bCs/>
        </w:rPr>
        <w:t xml:space="preserve">Versión documental:</w:t>
      </w:r>
      <w:r>
        <w:t xml:space="preserve"> </w:t>
      </w:r>
      <w:r>
        <w:t xml:space="preserve">4.0</w:t>
      </w:r>
    </w:p>
    <w:p>
      <w:pPr>
        <w:pStyle w:val="BodyText"/>
        <w:spacing w:line="396" w:lineRule="auto" w:after="100"/>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visión-operativa"/>
    <w:p>
      <w:pPr>
        <w:pStyle w:val="Heading2"/>
        <w:keepNext/>
        <w:spacing w:line="264" w:lineRule="auto"/>
      </w:pPr>
      <w:r>
        <w:t xml:space="preserve">1. Visión operativa</w:t>
      </w:r>
    </w:p>
    <w:p>
      <w:pPr>
        <w:pStyle w:val="FirstParagraph"/>
        <w:spacing w:line="396" w:lineRule="auto" w:after="100"/>
      </w:pPr>
      <w:r>
        <w:t xml:space="preserve">La solución consta de repositorios independientes para API, web, móvil y documentación. Las fronteras entre interfaz, lógica y persistencia siguen una orientación feature-first: controladores delegan a servicios y repositorios; EF Core mantiene las entidades; Next y Expo presentan flujos por rol.</w:t>
      </w:r>
    </w:p>
    <w:bookmarkEnd w:id="20"/>
    <w:bookmarkStart w:id="21" w:name="referencia-de-carpetas-y-módulos"/>
    <w:p>
      <w:pPr>
        <w:pStyle w:val="Heading2"/>
        <w:keepNext/>
        <w:spacing w:line="264" w:lineRule="auto"/>
      </w:pPr>
      <w:r>
        <w:t xml:space="preserve">2. Referencia de carpetas y módulos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Repositorio</w:t>
            </w:r>
          </w:p>
        </w:tc>
        <w:tc>
          <w:tcPr/>
          <w:p>
            <w:pPr>
              <w:pStyle w:val="Compact"/>
              <w:spacing w:line="240" w:lineRule="auto" w:after="20"/>
              <w:ind w:firstLine="0"/>
              <w:jc w:val="left"/>
            </w:pPr>
            <w:r>
              <w:rPr>
                <w:b/>
                <w:sz w:val="17"/>
              </w:rPr>
              <w:t xml:space="preserve">Ruta</w:t>
            </w:r>
          </w:p>
        </w:tc>
        <w:tc>
          <w:tcPr/>
          <w:p>
            <w:pPr>
              <w:pStyle w:val="Compact"/>
              <w:spacing w:line="240" w:lineRule="auto" w:after="20"/>
              <w:ind w:firstLine="0"/>
              <w:jc w:val="left"/>
            </w:pPr>
            <w:r>
              <w:rPr>
                <w:b/>
                <w:sz w:val="17"/>
              </w:rPr>
              <w:t xml:space="preserve">Propósito</w:t>
            </w:r>
          </w:p>
        </w:tc>
      </w:tr>
      <w:tr>
        <w:tc>
          <w:tcPr/>
          <w:p>
            <w:pPr>
              <w:pStyle w:val="Compact"/>
              <w:spacing w:line="240" w:lineRule="auto" w:after="20"/>
              <w:ind w:firstLine="0"/>
              <w:jc w:val="left"/>
            </w:pPr>
            <w:r>
              <w:rPr>
                <w:sz w:val="17"/>
              </w:rPr>
              <w:t xml:space="preserve">Back</w:t>
            </w:r>
          </w:p>
        </w:tc>
        <w:tc>
          <w:tcPr/>
          <w:p>
            <w:pPr>
              <w:pStyle w:val="Compact"/>
              <w:spacing w:line="240" w:lineRule="auto" w:after="20"/>
              <w:ind w:firstLine="0"/>
              <w:jc w:val="left"/>
            </w:pPr>
            <w:r>
              <w:rPr>
                <w:sz w:val="17"/>
              </w:rPr>
              <w:t xml:space="preserve">Program.cs</w:t>
            </w:r>
          </w:p>
        </w:tc>
        <w:tc>
          <w:tcPr/>
          <w:p>
            <w:pPr>
              <w:pStyle w:val="Compact"/>
              <w:spacing w:line="240" w:lineRule="auto" w:after="20"/>
              <w:ind w:firstLine="0"/>
              <w:jc w:val="left"/>
            </w:pPr>
            <w:r>
              <w:rPr>
                <w:sz w:val="17"/>
              </w:rPr>
              <w:t xml:space="preserve">Bootstrap HTTP, auth, SignalR, servicios hospedados</w:t>
            </w:r>
          </w:p>
        </w:tc>
      </w:tr>
      <w:tr>
        <w:tc>
          <w:tcPr/>
          <w:p>
            <w:pPr>
              <w:pStyle w:val="Compact"/>
              <w:spacing w:line="240" w:lineRule="auto" w:after="20"/>
              <w:ind w:firstLine="0"/>
              <w:jc w:val="left"/>
            </w:pPr>
            <w:r>
              <w:rPr>
                <w:sz w:val="17"/>
              </w:rPr>
              <w:t xml:space="preserve">Back</w:t>
            </w:r>
          </w:p>
        </w:tc>
        <w:tc>
          <w:tcPr/>
          <w:p>
            <w:pPr>
              <w:pStyle w:val="Compact"/>
              <w:spacing w:line="240" w:lineRule="auto" w:after="20"/>
              <w:ind w:firstLine="0"/>
              <w:jc w:val="left"/>
            </w:pPr>
            <w:r>
              <w:rPr>
                <w:sz w:val="17"/>
              </w:rPr>
              <w:t xml:space="preserve">Configuration/</w:t>
            </w:r>
          </w:p>
        </w:tc>
        <w:tc>
          <w:tcPr/>
          <w:p>
            <w:pPr>
              <w:pStyle w:val="Compact"/>
              <w:spacing w:line="240" w:lineRule="auto" w:after="20"/>
              <w:ind w:firstLine="0"/>
              <w:jc w:val="left"/>
            </w:pPr>
            <w:r>
              <w:rPr>
                <w:sz w:val="17"/>
              </w:rPr>
              <w:t xml:space="preserve">Dependencias, CORS, JWT, DB y Swagger</w:t>
            </w:r>
          </w:p>
        </w:tc>
      </w:tr>
      <w:tr>
        <w:tc>
          <w:tcPr/>
          <w:p>
            <w:pPr>
              <w:pStyle w:val="Compact"/>
              <w:spacing w:line="240" w:lineRule="auto" w:after="20"/>
              <w:ind w:firstLine="0"/>
              <w:jc w:val="left"/>
            </w:pPr>
            <w:r>
              <w:rPr>
                <w:sz w:val="17"/>
              </w:rPr>
              <w:t xml:space="preserve">Back</w:t>
            </w:r>
          </w:p>
        </w:tc>
        <w:tc>
          <w:tcPr/>
          <w:p>
            <w:pPr>
              <w:pStyle w:val="Compact"/>
              <w:spacing w:line="240" w:lineRule="auto" w:after="20"/>
              <w:ind w:firstLine="0"/>
              <w:jc w:val="left"/>
            </w:pPr>
            <w:r>
              <w:rPr>
                <w:sz w:val="17"/>
              </w:rPr>
              <w:t xml:space="preserve">Controllers/</w:t>
            </w:r>
          </w:p>
        </w:tc>
        <w:tc>
          <w:tcPr/>
          <w:p>
            <w:pPr>
              <w:pStyle w:val="Compact"/>
              <w:spacing w:line="240" w:lineRule="auto" w:after="20"/>
              <w:ind w:firstLine="0"/>
              <w:jc w:val="left"/>
            </w:pPr>
            <w:r>
              <w:rPr>
                <w:sz w:val="17"/>
              </w:rPr>
              <w:t xml:space="preserve">Endpoints</w:t>
            </w:r>
          </w:p>
        </w:tc>
      </w:tr>
      <w:tr>
        <w:tc>
          <w:tcPr/>
          <w:p>
            <w:pPr>
              <w:pStyle w:val="Compact"/>
              <w:spacing w:line="240" w:lineRule="auto" w:after="20"/>
              <w:ind w:firstLine="0"/>
              <w:jc w:val="left"/>
            </w:pPr>
            <w:r>
              <w:rPr>
                <w:sz w:val="17"/>
              </w:rPr>
              <w:t xml:space="preserve">Back</w:t>
            </w:r>
          </w:p>
        </w:tc>
        <w:tc>
          <w:tcPr/>
          <w:p>
            <w:pPr>
              <w:pStyle w:val="Compact"/>
              <w:spacing w:line="240" w:lineRule="auto" w:after="20"/>
              <w:ind w:firstLine="0"/>
              <w:jc w:val="left"/>
            </w:pPr>
            <w:r>
              <w:rPr>
                <w:sz w:val="17"/>
              </w:rPr>
              <w:t xml:space="preserve">Modules/*/Services</w:t>
            </w:r>
          </w:p>
        </w:tc>
        <w:tc>
          <w:tcPr/>
          <w:p>
            <w:pPr>
              <w:pStyle w:val="Compact"/>
              <w:spacing w:line="240" w:lineRule="auto" w:after="20"/>
              <w:ind w:firstLine="0"/>
              <w:jc w:val="left"/>
            </w:pPr>
            <w:r>
              <w:rPr>
                <w:sz w:val="17"/>
              </w:rPr>
              <w:t xml:space="preserve">Reglas de aplicación</w:t>
            </w:r>
          </w:p>
        </w:tc>
      </w:tr>
      <w:tr>
        <w:tc>
          <w:tcPr/>
          <w:p>
            <w:pPr>
              <w:pStyle w:val="Compact"/>
              <w:spacing w:line="240" w:lineRule="auto" w:after="20"/>
              <w:ind w:firstLine="0"/>
              <w:jc w:val="left"/>
            </w:pPr>
            <w:r>
              <w:rPr>
                <w:sz w:val="17"/>
              </w:rPr>
              <w:t xml:space="preserve">Back</w:t>
            </w:r>
          </w:p>
        </w:tc>
        <w:tc>
          <w:tcPr/>
          <w:p>
            <w:pPr>
              <w:pStyle w:val="Compact"/>
              <w:spacing w:line="240" w:lineRule="auto" w:after="20"/>
              <w:ind w:firstLine="0"/>
              <w:jc w:val="left"/>
            </w:pPr>
            <w:r>
              <w:rPr>
                <w:sz w:val="17"/>
              </w:rPr>
              <w:t xml:space="preserve">Modules/*/Repositories</w:t>
            </w:r>
          </w:p>
        </w:tc>
        <w:tc>
          <w:tcPr/>
          <w:p>
            <w:pPr>
              <w:pStyle w:val="Compact"/>
              <w:spacing w:line="240" w:lineRule="auto" w:after="20"/>
              <w:ind w:firstLine="0"/>
              <w:jc w:val="left"/>
            </w:pPr>
            <w:r>
              <w:rPr>
                <w:sz w:val="17"/>
              </w:rPr>
              <w:t xml:space="preserve">Acceso de dominio a BD</w:t>
            </w:r>
          </w:p>
        </w:tc>
      </w:tr>
      <w:tr>
        <w:tc>
          <w:tcPr/>
          <w:p>
            <w:pPr>
              <w:pStyle w:val="Compact"/>
              <w:spacing w:line="240" w:lineRule="auto" w:after="20"/>
              <w:ind w:firstLine="0"/>
              <w:jc w:val="left"/>
            </w:pPr>
            <w:r>
              <w:rPr>
                <w:sz w:val="17"/>
              </w:rPr>
              <w:t xml:space="preserve">Back</w:t>
            </w:r>
          </w:p>
        </w:tc>
        <w:tc>
          <w:tcPr/>
          <w:p>
            <w:pPr>
              <w:pStyle w:val="Compact"/>
              <w:spacing w:line="240" w:lineRule="auto" w:after="20"/>
              <w:ind w:firstLine="0"/>
              <w:jc w:val="left"/>
            </w:pPr>
            <w:r>
              <w:rPr>
                <w:sz w:val="17"/>
              </w:rPr>
              <w:t xml:space="preserve">Data/Configurations</w:t>
            </w:r>
          </w:p>
        </w:tc>
        <w:tc>
          <w:tcPr/>
          <w:p>
            <w:pPr>
              <w:pStyle w:val="Compact"/>
              <w:spacing w:line="240" w:lineRule="auto" w:after="20"/>
              <w:ind w:firstLine="0"/>
              <w:jc w:val="left"/>
            </w:pPr>
            <w:r>
              <w:rPr>
                <w:sz w:val="17"/>
              </w:rPr>
              <w:t xml:space="preserve">EF Fluent API</w:t>
            </w:r>
          </w:p>
        </w:tc>
      </w:tr>
      <w:tr>
        <w:tc>
          <w:tcPr/>
          <w:p>
            <w:pPr>
              <w:pStyle w:val="Compact"/>
              <w:spacing w:line="240" w:lineRule="auto" w:after="20"/>
              <w:ind w:firstLine="0"/>
              <w:jc w:val="left"/>
            </w:pPr>
            <w:r>
              <w:rPr>
                <w:sz w:val="17"/>
              </w:rPr>
              <w:t xml:space="preserve">Back</w:t>
            </w:r>
          </w:p>
        </w:tc>
        <w:tc>
          <w:tcPr/>
          <w:p>
            <w:pPr>
              <w:pStyle w:val="Compact"/>
              <w:spacing w:line="240" w:lineRule="auto" w:after="20"/>
              <w:ind w:firstLine="0"/>
              <w:jc w:val="left"/>
            </w:pPr>
            <w:r>
              <w:rPr>
                <w:sz w:val="17"/>
              </w:rPr>
              <w:t xml:space="preserve">Migrations/</w:t>
            </w:r>
          </w:p>
        </w:tc>
        <w:tc>
          <w:tcPr/>
          <w:p>
            <w:pPr>
              <w:pStyle w:val="Compact"/>
              <w:spacing w:line="240" w:lineRule="auto" w:after="20"/>
              <w:ind w:firstLine="0"/>
              <w:jc w:val="left"/>
            </w:pPr>
            <w:r>
              <w:rPr>
                <w:sz w:val="17"/>
              </w:rPr>
              <w:t xml:space="preserve">Evolución relacional</w:t>
            </w:r>
          </w:p>
        </w:tc>
      </w:tr>
      <w:tr>
        <w:tc>
          <w:tcPr/>
          <w:p>
            <w:pPr>
              <w:pStyle w:val="Compact"/>
              <w:spacing w:line="240" w:lineRule="auto" w:after="20"/>
              <w:ind w:firstLine="0"/>
              <w:jc w:val="left"/>
            </w:pPr>
            <w:r>
              <w:rPr>
                <w:sz w:val="17"/>
              </w:rPr>
              <w:t xml:space="preserve">Web</w:t>
            </w:r>
          </w:p>
        </w:tc>
        <w:tc>
          <w:tcPr/>
          <w:p>
            <w:pPr>
              <w:pStyle w:val="Compact"/>
              <w:spacing w:line="240" w:lineRule="auto" w:after="20"/>
              <w:ind w:firstLine="0"/>
              <w:jc w:val="left"/>
            </w:pPr>
            <w:r>
              <w:rPr>
                <w:sz w:val="17"/>
              </w:rPr>
              <w:t xml:space="preserve">src/app</w:t>
            </w:r>
          </w:p>
        </w:tc>
        <w:tc>
          <w:tcPr/>
          <w:p>
            <w:pPr>
              <w:pStyle w:val="Compact"/>
              <w:spacing w:line="240" w:lineRule="auto" w:after="20"/>
              <w:ind w:firstLine="0"/>
              <w:jc w:val="left"/>
            </w:pPr>
            <w:r>
              <w:rPr>
                <w:sz w:val="17"/>
              </w:rPr>
              <w:t xml:space="preserve">Rutas Next.js</w:t>
            </w:r>
          </w:p>
        </w:tc>
      </w:tr>
      <w:tr>
        <w:tc>
          <w:tcPr/>
          <w:p>
            <w:pPr>
              <w:pStyle w:val="Compact"/>
              <w:spacing w:line="240" w:lineRule="auto" w:after="20"/>
              <w:ind w:firstLine="0"/>
              <w:jc w:val="left"/>
            </w:pPr>
            <w:r>
              <w:rPr>
                <w:sz w:val="17"/>
              </w:rPr>
              <w:t xml:space="preserve">Web</w:t>
            </w:r>
          </w:p>
        </w:tc>
        <w:tc>
          <w:tcPr/>
          <w:p>
            <w:pPr>
              <w:pStyle w:val="Compact"/>
              <w:spacing w:line="240" w:lineRule="auto" w:after="20"/>
              <w:ind w:firstLine="0"/>
              <w:jc w:val="left"/>
            </w:pPr>
            <w:r>
              <w:rPr>
                <w:sz w:val="17"/>
              </w:rPr>
              <w:t xml:space="preserve">src/features</w:t>
            </w:r>
          </w:p>
        </w:tc>
        <w:tc>
          <w:tcPr/>
          <w:p>
            <w:pPr>
              <w:pStyle w:val="Compact"/>
              <w:spacing w:line="240" w:lineRule="auto" w:after="20"/>
              <w:ind w:firstLine="0"/>
              <w:jc w:val="left"/>
            </w:pPr>
            <w:r>
              <w:rPr>
                <w:sz w:val="17"/>
              </w:rPr>
              <w:t xml:space="preserve">Servicios/hooks por feature</w:t>
            </w:r>
          </w:p>
        </w:tc>
      </w:tr>
      <w:tr>
        <w:tc>
          <w:tcPr/>
          <w:p>
            <w:pPr>
              <w:pStyle w:val="Compact"/>
              <w:spacing w:line="240" w:lineRule="auto" w:after="20"/>
              <w:ind w:firstLine="0"/>
              <w:jc w:val="left"/>
            </w:pPr>
            <w:r>
              <w:rPr>
                <w:sz w:val="17"/>
              </w:rPr>
              <w:t xml:space="preserve">Movil</w:t>
            </w:r>
          </w:p>
        </w:tc>
        <w:tc>
          <w:tcPr/>
          <w:p>
            <w:pPr>
              <w:pStyle w:val="Compact"/>
              <w:spacing w:line="240" w:lineRule="auto" w:after="20"/>
              <w:ind w:firstLine="0"/>
              <w:jc w:val="left"/>
            </w:pPr>
            <w:r>
              <w:rPr>
                <w:sz w:val="17"/>
              </w:rPr>
              <w:t xml:space="preserve">src/features</w:t>
            </w:r>
          </w:p>
        </w:tc>
        <w:tc>
          <w:tcPr/>
          <w:p>
            <w:pPr>
              <w:pStyle w:val="Compact"/>
              <w:spacing w:line="240" w:lineRule="auto" w:after="20"/>
              <w:ind w:firstLine="0"/>
              <w:jc w:val="left"/>
            </w:pPr>
            <w:r>
              <w:rPr>
                <w:sz w:val="17"/>
              </w:rPr>
              <w:t xml:space="preserve">Vistas/servicios/hooks</w:t>
            </w:r>
          </w:p>
        </w:tc>
      </w:tr>
      <w:tr>
        <w:tc>
          <w:tcPr/>
          <w:p>
            <w:pPr>
              <w:pStyle w:val="Compact"/>
              <w:spacing w:line="240" w:lineRule="auto" w:after="20"/>
              <w:ind w:firstLine="0"/>
              <w:jc w:val="left"/>
            </w:pPr>
            <w:r>
              <w:rPr>
                <w:sz w:val="17"/>
              </w:rPr>
              <w:t xml:space="preserve">Movil</w:t>
            </w:r>
          </w:p>
        </w:tc>
        <w:tc>
          <w:tcPr/>
          <w:p>
            <w:pPr>
              <w:pStyle w:val="Compact"/>
              <w:spacing w:line="240" w:lineRule="auto" w:after="20"/>
              <w:ind w:firstLine="0"/>
              <w:jc w:val="left"/>
            </w:pPr>
            <w:r>
              <w:rPr>
                <w:sz w:val="17"/>
              </w:rPr>
              <w:t xml:space="preserve">app.json y eas.json</w:t>
            </w:r>
          </w:p>
        </w:tc>
        <w:tc>
          <w:tcPr/>
          <w:p>
            <w:pPr>
              <w:pStyle w:val="Compact"/>
              <w:spacing w:line="240" w:lineRule="auto" w:after="20"/>
              <w:ind w:firstLine="0"/>
              <w:jc w:val="left"/>
            </w:pPr>
            <w:r>
              <w:rPr>
                <w:sz w:val="17"/>
              </w:rPr>
              <w:t xml:space="preserve">Configuración Expo y builds</w:t>
            </w:r>
          </w:p>
        </w:tc>
      </w:tr>
    </w:tbl>
    <w:bookmarkEnd w:id="21"/>
    <w:bookmarkStart w:id="22" w:name="modelo-de-autenticación-y-autorización"/>
    <w:p>
      <w:pPr>
        <w:pStyle w:val="Heading2"/>
        <w:keepNext/>
        <w:spacing w:line="264" w:lineRule="auto"/>
      </w:pPr>
      <w:r>
        <w:t xml:space="preserve">3. Modelo de autenticación y autorización</w:t>
      </w:r>
    </w:p>
    <w:p>
      <w:pPr>
        <w:pStyle w:val="FirstParagraph"/>
        <w:spacing w:line="396" w:lineRule="auto" w:after="100"/>
      </w:pPr>
      <w:r>
        <w:t xml:space="preserve">El backend registra JWT Bearer, políticas de autorización y usuarios/roles. El rol debe comprobarse en servidor y complementarse con acceso a recurso concreto.</w:t>
      </w:r>
      <w:r>
        <w:t xml:space="preserve"> </w:t>
      </w:r>
      <w:r>
        <w:rPr>
          <w:rStyle w:val="VerbatimChar"/>
        </w:rPr>
        <w:t xml:space="preserve">ActiveShiftHandler</w:t>
      </w:r>
      <w:r>
        <w:t xml:space="preserve"> </w:t>
      </w:r>
      <w:r>
        <w:t xml:space="preserve">introduce comprobaciones de turno en acciones designadas. Para login se identifican casos de bloqueo por intentos fallidos, correo sin confirmar y activación inicial. Asegurar expiración/revocación de sesiones.</w:t>
      </w:r>
    </w:p>
    <w:bookmarkEnd w:id="22"/>
    <w:bookmarkStart w:id="23" w:name="integraciones-de-datos"/>
    <w:p>
      <w:pPr>
        <w:pStyle w:val="Heading2"/>
        <w:keepNext/>
        <w:spacing w:line="264" w:lineRule="auto"/>
      </w:pPr>
      <w:r>
        <w:t xml:space="preserve">4. Integraciones de datos</w:t>
      </w:r>
    </w:p>
    <w:p>
      <w:pPr>
        <w:pStyle w:val="FirstParagraph"/>
        <w:spacing w:line="396" w:lineRule="auto" w:after="100"/>
      </w:pPr>
      <w:r>
        <w:rPr>
          <w:rStyle w:val="VerbatimChar"/>
        </w:rPr>
        <w:t xml:space="preserve">AppDbContext</w:t>
      </w:r>
      <w:r>
        <w:t xml:space="preserve"> </w:t>
      </w:r>
      <w:r>
        <w:t xml:space="preserve">define DbSets por módulo y ejecuta configuraciones EF desde el ensamblado.</w:t>
      </w:r>
      <w:r>
        <w:t xml:space="preserve"> </w:t>
      </w:r>
      <w:r>
        <w:rPr>
          <w:rStyle w:val="VerbatimChar"/>
        </w:rPr>
        <w:t xml:space="preserve">DatabaseConfiguration.cs</w:t>
      </w:r>
      <w:r>
        <w:t xml:space="preserve"> </w:t>
      </w:r>
      <w:r>
        <w:t xml:space="preserve">elige proveedor por valor literal; SQL Server, MySQL y PostgreSQL tienen diferencias semánticas, por lo que las migraciones requieren validación propia en el proveedor activo. Seeders iniciales: permisos, rol cliente y gerente inicial. Antes de usarlos en producción, revisar cuentas por defecto, reejecución y seguridad de secretos.</w:t>
      </w:r>
    </w:p>
    <w:bookmarkEnd w:id="23"/>
    <w:bookmarkStart w:id="24" w:name="integración-de-cobros"/>
    <w:p>
      <w:pPr>
        <w:pStyle w:val="Heading2"/>
        <w:keepNext/>
        <w:spacing w:line="264" w:lineRule="auto"/>
      </w:pPr>
      <w:r>
        <w:t xml:space="preserve">5. Integración de cobros</w:t>
      </w:r>
    </w:p>
    <w:p>
      <w:pPr>
        <w:pStyle w:val="FirstParagraph"/>
        <w:spacing w:line="396" w:lineRule="auto" w:after="100"/>
      </w:pPr>
      <w:r>
        <w:rPr>
          <w:rStyle w:val="VerbatimChar"/>
        </w:rPr>
        <w:t xml:space="preserve">PaymentsController</w:t>
      </w:r>
      <w:r>
        <w:t xml:space="preserve"> </w:t>
      </w:r>
      <w:r>
        <w:t xml:space="preserve">distingue pago manual, inicio Wompi para cliente, inicio QR de cajero, consulta por orden, sincronización y webhook externo.</w:t>
      </w:r>
      <w:r>
        <w:t xml:space="preserve"> </w:t>
      </w:r>
      <w:r>
        <w:rPr>
          <w:rStyle w:val="VerbatimChar"/>
        </w:rPr>
        <w:t xml:space="preserve">WompiPendingPaymentsSyncService</w:t>
      </w:r>
      <w:r>
        <w:t xml:space="preserve"> </w:t>
      </w:r>
      <w:r>
        <w:t xml:space="preserve">aparece registrado en</w:t>
      </w:r>
      <w:r>
        <w:t xml:space="preserve"> </w:t>
      </w:r>
      <w:r>
        <w:rPr>
          <w:rStyle w:val="VerbatimChar"/>
        </w:rPr>
        <w:t xml:space="preserve">Program.cs</w:t>
      </w:r>
      <w:r>
        <w:t xml:space="preserve">. Operacionalmente, las referencias y transacciones deben reconciliarse sin duplicaciones. El body del webhook aparece registrado por el controlador; antes de operación real, evaluar si el log podría contener información sensible y aplicar filtrado apropiado.</w:t>
      </w:r>
    </w:p>
    <w:bookmarkEnd w:id="24"/>
    <w:bookmarkStart w:id="25" w:name="notificaciones-y-tiempo-real"/>
    <w:p>
      <w:pPr>
        <w:pStyle w:val="Heading2"/>
        <w:keepNext/>
        <w:spacing w:line="264" w:lineRule="auto"/>
      </w:pPr>
      <w:r>
        <w:t xml:space="preserve">6. Notificaciones y tiempo real</w:t>
      </w:r>
    </w:p>
    <w:p>
      <w:pPr>
        <w:pStyle w:val="FirstParagraph"/>
        <w:spacing w:line="396" w:lineRule="auto" w:after="100"/>
      </w:pPr>
      <w:r>
        <w:t xml:space="preserve">El Hub</w:t>
      </w:r>
      <w:r>
        <w:t xml:space="preserve"> </w:t>
      </w:r>
      <w:r>
        <w:rPr>
          <w:rStyle w:val="VerbatimChar"/>
        </w:rPr>
        <w:t xml:space="preserve">/hubs/notifications</w:t>
      </w:r>
      <w:r>
        <w:t xml:space="preserve"> </w:t>
      </w:r>
      <w:r>
        <w:t xml:space="preserve">es parte de la API, no un microservicio aislado. Clientes web y móvil declaran</w:t>
      </w:r>
      <w:r>
        <w:t xml:space="preserve"> </w:t>
      </w:r>
      <w:r>
        <w:rPr>
          <w:rStyle w:val="VerbatimChar"/>
        </w:rPr>
        <w:t xml:space="preserve">@microsoft/signalr</w:t>
      </w:r>
      <w:r>
        <w:t xml:space="preserve">; se requiere probar negociación, reconexión, permisos de grupos/canales y coherencia con consulta REST. No se afirma una garantía de mensajes exactamente una vez.</w:t>
      </w:r>
    </w:p>
    <w:bookmarkEnd w:id="25"/>
    <w:bookmarkStart w:id="26" w:name="variables-sensibles-y-despliegue"/>
    <w:p>
      <w:pPr>
        <w:pStyle w:val="Heading2"/>
        <w:keepNext/>
        <w:spacing w:line="264" w:lineRule="auto"/>
      </w:pPr>
      <w:r>
        <w:t xml:space="preserve">7. Variables sensibles y despliegue</w:t>
      </w:r>
    </w:p>
    <w:p>
      <w:pPr>
        <w:pStyle w:val="FirstParagraph"/>
        <w:spacing w:line="396" w:lineRule="auto" w:after="100"/>
      </w:pPr>
      <w:r>
        <w:t xml:space="preserve">No guardar valores de</w:t>
      </w:r>
      <w:r>
        <w:t xml:space="preserve"> </w:t>
      </w:r>
      <w:r>
        <w:rPr>
          <w:rStyle w:val="VerbatimChar"/>
        </w:rPr>
        <w:t xml:space="preserve">ConnectionStrings</w:t>
      </w:r>
      <w:r>
        <w:t xml:space="preserve">, claves JWT, tokens Wompi, conexiones SMTP ni credenciales de servicio en el repositorio. Recomendación:</w:t>
      </w:r>
      <w:r>
        <w:t xml:space="preserve"> </w:t>
      </w:r>
      <w:r>
        <w:rPr>
          <w:rStyle w:val="VerbatimChar"/>
        </w:rPr>
        <w:t xml:space="preserve">appsettings.json</w:t>
      </w:r>
      <w:r>
        <w:t xml:space="preserve"> </w:t>
      </w:r>
      <w:r>
        <w:t xml:space="preserve">sin secretos,</w:t>
      </w:r>
      <w:r>
        <w:t xml:space="preserve"> </w:t>
      </w:r>
      <w:r>
        <w:rPr>
          <w:rStyle w:val="VerbatimChar"/>
        </w:rPr>
        <w:t xml:space="preserve">.env.example</w:t>
      </w:r>
      <w:r>
        <w:t xml:space="preserve"> </w:t>
      </w:r>
      <w:r>
        <w:t xml:space="preserve">redactado, pipeline con secret store, HTTPS, rotación de claves y administración de dominios permitidos.</w:t>
      </w:r>
    </w:p>
    <w:bookmarkEnd w:id="26"/>
    <w:bookmarkStart w:id="27" w:name="logs-monitoreo-y-soporte"/>
    <w:p>
      <w:pPr>
        <w:pStyle w:val="Heading2"/>
        <w:keepNext/>
        <w:spacing w:line="264" w:lineRule="auto"/>
      </w:pPr>
      <w:r>
        <w:t xml:space="preserve">8. Logs, monitoreo y soporte</w:t>
      </w:r>
    </w:p>
    <w:p>
      <w:pPr>
        <w:pStyle w:val="FirstParagraph"/>
        <w:spacing w:line="396" w:lineRule="auto" w:after="100"/>
      </w:pPr>
      <w:r>
        <w:t xml:space="preserve">Registrar ID de correlación, ruta, estado HTTP, duración y evento de pago sin datos financieros; separar logs de auditoría. Métricas a implementar: error rate, latencia p95, fallas de transacción, colas de pago pendiente, SignalR reconnections, fallos de migración, recuperación tras backup. Registrar incidentes con versión/commit.</w:t>
      </w:r>
    </w:p>
    <w:bookmarkEnd w:id="27"/>
    <w:bookmarkStart w:id="28" w:name="seguridad-y-mantenimiento"/>
    <w:p>
      <w:pPr>
        <w:pStyle w:val="Heading2"/>
        <w:keepNext/>
        <w:spacing w:line="264" w:lineRule="auto"/>
      </w:pPr>
      <w:r>
        <w:t xml:space="preserve">9. Seguridad y mantenimiento</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Área</w:t>
            </w:r>
          </w:p>
        </w:tc>
        <w:tc>
          <w:tcPr/>
          <w:p>
            <w:pPr>
              <w:pStyle w:val="Compact"/>
              <w:spacing w:line="240" w:lineRule="auto" w:after="20"/>
              <w:ind w:firstLine="0"/>
              <w:jc w:val="left"/>
            </w:pPr>
            <w:r>
              <w:rPr>
                <w:b/>
                <w:sz w:val="17"/>
              </w:rPr>
              <w:t xml:space="preserve">Control recomendado</w:t>
            </w:r>
          </w:p>
        </w:tc>
        <w:tc>
          <w:tcPr/>
          <w:p>
            <w:pPr>
              <w:pStyle w:val="Compact"/>
              <w:spacing w:line="240" w:lineRule="auto" w:after="20"/>
              <w:ind w:firstLine="0"/>
              <w:jc w:val="left"/>
            </w:pPr>
            <w:r>
              <w:rPr>
                <w:b/>
                <w:sz w:val="17"/>
              </w:rPr>
              <w:t xml:space="preserve">Evidencia a entregar</w:t>
            </w:r>
          </w:p>
        </w:tc>
      </w:tr>
      <w:tr>
        <w:tc>
          <w:tcPr/>
          <w:p>
            <w:pPr>
              <w:pStyle w:val="Compact"/>
              <w:spacing w:line="240" w:lineRule="auto" w:after="20"/>
              <w:ind w:firstLine="0"/>
              <w:jc w:val="left"/>
            </w:pPr>
            <w:r>
              <w:rPr>
                <w:sz w:val="17"/>
              </w:rPr>
              <w:t xml:space="preserve">JWT/roles</w:t>
            </w:r>
          </w:p>
        </w:tc>
        <w:tc>
          <w:tcPr/>
          <w:p>
            <w:pPr>
              <w:pStyle w:val="Compact"/>
              <w:spacing w:line="240" w:lineRule="auto" w:after="20"/>
              <w:ind w:firstLine="0"/>
              <w:jc w:val="left"/>
            </w:pPr>
            <w:r>
              <w:rPr>
                <w:sz w:val="17"/>
              </w:rPr>
              <w:t xml:space="preserve">Tests 401/403, acceso por objeto</w:t>
            </w:r>
          </w:p>
        </w:tc>
        <w:tc>
          <w:tcPr/>
          <w:p>
            <w:pPr>
              <w:pStyle w:val="Compact"/>
              <w:spacing w:line="240" w:lineRule="auto" w:after="20"/>
              <w:ind w:firstLine="0"/>
              <w:jc w:val="left"/>
            </w:pPr>
            <w:r>
              <w:rPr>
                <w:sz w:val="17"/>
              </w:rPr>
              <w:t xml:space="preserve">Matriz negativa</w:t>
            </w:r>
          </w:p>
        </w:tc>
      </w:tr>
      <w:tr>
        <w:tc>
          <w:tcPr/>
          <w:p>
            <w:pPr>
              <w:pStyle w:val="Compact"/>
              <w:spacing w:line="240" w:lineRule="auto" w:after="20"/>
              <w:ind w:firstLine="0"/>
              <w:jc w:val="left"/>
            </w:pPr>
            <w:r>
              <w:rPr>
                <w:sz w:val="17"/>
              </w:rPr>
              <w:t xml:space="preserve">Wompi</w:t>
            </w:r>
          </w:p>
        </w:tc>
        <w:tc>
          <w:tcPr/>
          <w:p>
            <w:pPr>
              <w:pStyle w:val="Compact"/>
              <w:spacing w:line="240" w:lineRule="auto" w:after="20"/>
              <w:ind w:firstLine="0"/>
              <w:jc w:val="left"/>
            </w:pPr>
            <w:r>
              <w:rPr>
                <w:sz w:val="17"/>
              </w:rPr>
              <w:t xml:space="preserve">Validación firma, replay, duplicados</w:t>
            </w:r>
          </w:p>
        </w:tc>
        <w:tc>
          <w:tcPr/>
          <w:p>
            <w:pPr>
              <w:pStyle w:val="Compact"/>
              <w:spacing w:line="240" w:lineRule="auto" w:after="20"/>
              <w:ind w:firstLine="0"/>
              <w:jc w:val="left"/>
            </w:pPr>
            <w:r>
              <w:rPr>
                <w:sz w:val="17"/>
              </w:rPr>
              <w:t xml:space="preserve">Sandbox con IDs censurados</w:t>
            </w:r>
          </w:p>
        </w:tc>
      </w:tr>
      <w:tr>
        <w:tc>
          <w:tcPr/>
          <w:p>
            <w:pPr>
              <w:pStyle w:val="Compact"/>
              <w:spacing w:line="240" w:lineRule="auto" w:after="20"/>
              <w:ind w:firstLine="0"/>
              <w:jc w:val="left"/>
            </w:pPr>
            <w:r>
              <w:rPr>
                <w:sz w:val="17"/>
              </w:rPr>
              <w:t xml:space="preserve">Base de datos</w:t>
            </w:r>
          </w:p>
        </w:tc>
        <w:tc>
          <w:tcPr/>
          <w:p>
            <w:pPr>
              <w:pStyle w:val="Compact"/>
              <w:spacing w:line="240" w:lineRule="auto" w:after="20"/>
              <w:ind w:firstLine="0"/>
              <w:jc w:val="left"/>
            </w:pPr>
            <w:r>
              <w:rPr>
                <w:sz w:val="17"/>
              </w:rPr>
              <w:t xml:space="preserve">Backup/restore y migración idempotente</w:t>
            </w:r>
          </w:p>
        </w:tc>
        <w:tc>
          <w:tcPr/>
          <w:p>
            <w:pPr>
              <w:pStyle w:val="Compact"/>
              <w:spacing w:line="240" w:lineRule="auto" w:after="20"/>
              <w:ind w:firstLine="0"/>
              <w:jc w:val="left"/>
            </w:pPr>
            <w:r>
              <w:rPr>
                <w:sz w:val="17"/>
              </w:rPr>
              <w:t xml:space="preserve">Log de restauración</w:t>
            </w:r>
          </w:p>
        </w:tc>
      </w:tr>
      <w:tr>
        <w:tc>
          <w:tcPr/>
          <w:p>
            <w:pPr>
              <w:pStyle w:val="Compact"/>
              <w:spacing w:line="240" w:lineRule="auto" w:after="20"/>
              <w:ind w:firstLine="0"/>
              <w:jc w:val="left"/>
            </w:pPr>
            <w:r>
              <w:rPr>
                <w:sz w:val="17"/>
              </w:rPr>
              <w:t xml:space="preserve">DevOps</w:t>
            </w:r>
          </w:p>
        </w:tc>
        <w:tc>
          <w:tcPr/>
          <w:p>
            <w:pPr>
              <w:pStyle w:val="Compact"/>
              <w:spacing w:line="240" w:lineRule="auto" w:after="20"/>
              <w:ind w:firstLine="0"/>
              <w:jc w:val="left"/>
            </w:pPr>
            <w:r>
              <w:rPr>
                <w:sz w:val="17"/>
              </w:rPr>
              <w:t xml:space="preserve">Escaneo secrets/deps y CI</w:t>
            </w:r>
          </w:p>
        </w:tc>
        <w:tc>
          <w:tcPr/>
          <w:p>
            <w:pPr>
              <w:pStyle w:val="Compact"/>
              <w:spacing w:line="240" w:lineRule="auto" w:after="20"/>
              <w:ind w:firstLine="0"/>
              <w:jc w:val="left"/>
            </w:pPr>
            <w:r>
              <w:rPr>
                <w:sz w:val="17"/>
              </w:rPr>
              <w:t xml:space="preserve">Reporte de workflow</w:t>
            </w:r>
          </w:p>
        </w:tc>
      </w:tr>
      <w:tr>
        <w:tc>
          <w:tcPr/>
          <w:p>
            <w:pPr>
              <w:pStyle w:val="Compact"/>
              <w:spacing w:line="240" w:lineRule="auto" w:after="20"/>
              <w:ind w:firstLine="0"/>
              <w:jc w:val="left"/>
            </w:pPr>
            <w:r>
              <w:rPr>
                <w:sz w:val="17"/>
              </w:rPr>
              <w:t xml:space="preserve">Frontend</w:t>
            </w:r>
          </w:p>
        </w:tc>
        <w:tc>
          <w:tcPr/>
          <w:p>
            <w:pPr>
              <w:pStyle w:val="Compact"/>
              <w:spacing w:line="240" w:lineRule="auto" w:after="20"/>
              <w:ind w:firstLine="0"/>
              <w:jc w:val="left"/>
            </w:pPr>
            <w:r>
              <w:rPr>
                <w:sz w:val="17"/>
              </w:rPr>
              <w:t xml:space="preserve">A11y, validación y errores</w:t>
            </w:r>
          </w:p>
        </w:tc>
        <w:tc>
          <w:tcPr/>
          <w:p>
            <w:pPr>
              <w:pStyle w:val="Compact"/>
              <w:spacing w:line="240" w:lineRule="auto" w:after="20"/>
              <w:ind w:firstLine="0"/>
              <w:jc w:val="left"/>
            </w:pPr>
            <w:r>
              <w:rPr>
                <w:sz w:val="17"/>
              </w:rPr>
              <w:t xml:space="preserve">Checklist por pantalla</w:t>
            </w:r>
          </w:p>
        </w:tc>
      </w:tr>
      <w:tr>
        <w:tc>
          <w:tcPr/>
          <w:p>
            <w:pPr>
              <w:pStyle w:val="Compact"/>
              <w:spacing w:line="240" w:lineRule="auto" w:after="20"/>
              <w:ind w:firstLine="0"/>
              <w:jc w:val="left"/>
            </w:pPr>
            <w:r>
              <w:rPr>
                <w:sz w:val="17"/>
              </w:rPr>
              <w:t xml:space="preserve">Puesta en producción</w:t>
            </w:r>
          </w:p>
        </w:tc>
        <w:tc>
          <w:tcPr/>
          <w:p>
            <w:pPr>
              <w:pStyle w:val="Compact"/>
              <w:spacing w:line="240" w:lineRule="auto" w:after="20"/>
              <w:ind w:firstLine="0"/>
              <w:jc w:val="left"/>
            </w:pPr>
            <w:r>
              <w:rPr>
                <w:sz w:val="17"/>
              </w:rPr>
              <w:t xml:space="preserve">HTTPS, CORS restringido</w:t>
            </w:r>
          </w:p>
        </w:tc>
        <w:tc>
          <w:tcPr/>
          <w:p>
            <w:pPr>
              <w:pStyle w:val="Compact"/>
              <w:spacing w:line="240" w:lineRule="auto" w:after="20"/>
              <w:ind w:firstLine="0"/>
              <w:jc w:val="left"/>
            </w:pPr>
            <w:r>
              <w:rPr>
                <w:sz w:val="17"/>
              </w:rPr>
              <w:t xml:space="preserve">Config redactada revisada</w:t>
            </w:r>
          </w:p>
        </w:tc>
      </w:tr>
    </w:tbl>
    <w:bookmarkEnd w:id="28"/>
    <w:bookmarkStart w:id="29" w:name="procedimiento-de-liberación-sugerido"/>
    <w:p>
      <w:pPr>
        <w:pStyle w:val="Heading2"/>
        <w:keepNext/>
        <w:spacing w:line="264" w:lineRule="auto"/>
      </w:pPr>
      <w:r>
        <w:t xml:space="preserve">10. Procedimiento de liberación sugerido</w:t>
      </w:r>
    </w:p>
    <w:p>
      <w:pPr>
        <w:pStyle w:val="FirstParagraph"/>
        <w:spacing w:line="396" w:lineRule="auto" w:after="100"/>
      </w:pPr>
      <w:r>
        <w:t xml:space="preserve">Crear rama → revisión por pares → compilar API/web/móvil → ejecutar pruebas unitarias/integración → verificar migrations dry run y sandbox de pagos → respaldar → desplegar en ventana acordada → smoke tests → monitorear → cerrar acta. Rollback debe restaurar binarios y estado coherente, no solo ejecutar</w:t>
      </w:r>
      <w:r>
        <w:t xml:space="preserve"> </w:t>
      </w:r>
      <w:r>
        <w:rPr>
          <w:rStyle w:val="VerbatimChar"/>
        </w:rPr>
        <w:t xml:space="preserve">git revert</w:t>
      </w:r>
      <w:r>
        <w:t xml:space="preserve">.</w:t>
      </w:r>
    </w:p>
    <w:bookmarkEnd w:id="29"/>
    <w:bookmarkStart w:id="52" w:name="X632b2c09586132b214644fb7f1ed683a5789d8a"/>
    <w:p>
      <w:pPr>
        <w:pStyle w:val="Heading2"/>
        <w:keepNext/>
        <w:spacing w:line="264" w:lineRule="auto"/>
      </w:pPr>
      <w:r>
        <w:t xml:space="preserve">8. Inventario detallado de módulos del backend</w:t>
      </w:r>
    </w:p>
    <w:p>
      <w:pPr>
        <w:pStyle w:val="FirstParagraph"/>
        <w:spacing w:line="396" w:lineRule="auto" w:after="100"/>
      </w:pPr>
      <w:r>
        <w:t xml:space="preserve">Los directorios siguientes fueron identificados bajo</w:t>
      </w:r>
      <w:r>
        <w:t xml:space="preserve"> </w:t>
      </w:r>
      <w:r>
        <w:rPr>
          <w:rStyle w:val="VerbatimChar"/>
        </w:rPr>
        <w:t xml:space="preserve">Modules/</w:t>
      </w:r>
      <w:r>
        <w:t xml:space="preserve"> </w:t>
      </w:r>
      <w:r>
        <w:t xml:space="preserve">en el backend. La columna de funcionamiento describe su responsabilidad inferida por el nombre y las rutas inspeccionadas; funciones no verificadas deben validarse en servicio/controlador.</w:t>
      </w:r>
    </w:p>
    <w:bookmarkStart w:id="30" w:name="m01.-addresses"/>
    <w:p>
      <w:pPr>
        <w:pStyle w:val="Heading3"/>
        <w:keepNext/>
        <w:spacing w:line="264" w:lineRule="auto"/>
      </w:pPr>
      <w:r>
        <w:t xml:space="preserve">M01. Addresses</w:t>
      </w:r>
    </w:p>
    <w:p>
      <w:pPr>
        <w:pStyle w:val="FirstParagraph"/>
        <w:spacing w:line="396" w:lineRule="auto" w:after="100"/>
      </w:pPr>
      <w:r>
        <w:rPr>
          <w:b/>
          <w:bCs/>
        </w:rPr>
        <w:t xml:space="preserve">Responsabilidad funcional:</w:t>
      </w:r>
      <w:r>
        <w:t xml:space="preserve"> </w:t>
      </w:r>
      <w:r>
        <w:t xml:space="preserve">Direcciones del cliente.</w:t>
      </w:r>
      <w:r>
        <w:t xml:space="preserve"> </w:t>
      </w:r>
      <w:r>
        <w:rPr>
          <w:b/>
          <w:bCs/>
        </w:rPr>
        <w:t xml:space="preserve">Ruta de código:</w:t>
      </w:r>
      <w:r>
        <w:t xml:space="preserve"> </w:t>
      </w:r>
      <w:r>
        <w:rPr>
          <w:rStyle w:val="VerbatimChar"/>
        </w:rPr>
        <w:t xml:space="preserve">SaborExpressBack/Modules/Addresses/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validación de propiedad y campos de geocodificación. Documentar transacción y error con correlación sin copiar información personal en los logs.</w:t>
      </w:r>
    </w:p>
    <w:bookmarkEnd w:id="30"/>
    <w:bookmarkStart w:id="31" w:name="m02.-auth"/>
    <w:p>
      <w:pPr>
        <w:pStyle w:val="Heading3"/>
        <w:keepNext/>
        <w:spacing w:line="264" w:lineRule="auto"/>
      </w:pPr>
      <w:r>
        <w:t xml:space="preserve">M02. Auth</w:t>
      </w:r>
    </w:p>
    <w:p>
      <w:pPr>
        <w:pStyle w:val="FirstParagraph"/>
        <w:spacing w:line="396" w:lineRule="auto" w:after="100"/>
      </w:pPr>
      <w:r>
        <w:rPr>
          <w:b/>
          <w:bCs/>
        </w:rPr>
        <w:t xml:space="preserve">Responsabilidad funcional:</w:t>
      </w:r>
      <w:r>
        <w:t xml:space="preserve"> </w:t>
      </w:r>
      <w:r>
        <w:t xml:space="preserve">Inicio de sesión, tokens, recuperación y activación.</w:t>
      </w:r>
      <w:r>
        <w:t xml:space="preserve"> </w:t>
      </w:r>
      <w:r>
        <w:rPr>
          <w:b/>
          <w:bCs/>
        </w:rPr>
        <w:t xml:space="preserve">Ruta de código:</w:t>
      </w:r>
      <w:r>
        <w:t xml:space="preserve"> </w:t>
      </w:r>
      <w:r>
        <w:rPr>
          <w:rStyle w:val="VerbatimChar"/>
        </w:rPr>
        <w:t xml:space="preserve">SaborExpressBack/Modules/Auth/</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protección de credenciales, bloqueo y revocación. Documentar transacción y error con correlación sin copiar información personal en los logs.</w:t>
      </w:r>
    </w:p>
    <w:bookmarkEnd w:id="31"/>
    <w:bookmarkStart w:id="32" w:name="m03.-branches"/>
    <w:p>
      <w:pPr>
        <w:pStyle w:val="Heading3"/>
        <w:keepNext/>
        <w:spacing w:line="264" w:lineRule="auto"/>
      </w:pPr>
      <w:r>
        <w:t xml:space="preserve">M03. Branches</w:t>
      </w:r>
    </w:p>
    <w:p>
      <w:pPr>
        <w:pStyle w:val="FirstParagraph"/>
        <w:spacing w:line="396" w:lineRule="auto" w:after="100"/>
      </w:pPr>
      <w:r>
        <w:rPr>
          <w:b/>
          <w:bCs/>
        </w:rPr>
        <w:t xml:space="preserve">Responsabilidad funcional:</w:t>
      </w:r>
      <w:r>
        <w:t xml:space="preserve"> </w:t>
      </w:r>
      <w:r>
        <w:t xml:space="preserve">Sedes y consultas geográficas.</w:t>
      </w:r>
      <w:r>
        <w:t xml:space="preserve"> </w:t>
      </w:r>
      <w:r>
        <w:rPr>
          <w:b/>
          <w:bCs/>
        </w:rPr>
        <w:t xml:space="preserve">Ruta de código:</w:t>
      </w:r>
      <w:r>
        <w:t xml:space="preserve"> </w:t>
      </w:r>
      <w:r>
        <w:rPr>
          <w:rStyle w:val="VerbatimChar"/>
        </w:rPr>
        <w:t xml:space="preserve">SaborExpressBack/Modules/Branches/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aislamiento entre sucursales y coordenadas. Documentar transacción y error con correlación sin copiar información personal en los logs.</w:t>
      </w:r>
    </w:p>
    <w:bookmarkEnd w:id="32"/>
    <w:bookmarkStart w:id="33" w:name="m04.-categories"/>
    <w:p>
      <w:pPr>
        <w:pStyle w:val="Heading3"/>
        <w:keepNext/>
        <w:spacing w:line="264" w:lineRule="auto"/>
      </w:pPr>
      <w:r>
        <w:t xml:space="preserve">M04. Categories</w:t>
      </w:r>
    </w:p>
    <w:p>
      <w:pPr>
        <w:pStyle w:val="FirstParagraph"/>
        <w:spacing w:line="396" w:lineRule="auto" w:after="100"/>
      </w:pPr>
      <w:r>
        <w:rPr>
          <w:b/>
          <w:bCs/>
        </w:rPr>
        <w:t xml:space="preserve">Responsabilidad funcional:</w:t>
      </w:r>
      <w:r>
        <w:t xml:space="preserve"> </w:t>
      </w:r>
      <w:r>
        <w:t xml:space="preserve">Clasificación del catálogo.</w:t>
      </w:r>
      <w:r>
        <w:t xml:space="preserve"> </w:t>
      </w:r>
      <w:r>
        <w:rPr>
          <w:b/>
          <w:bCs/>
        </w:rPr>
        <w:t xml:space="preserve">Ruta de código:</w:t>
      </w:r>
      <w:r>
        <w:t xml:space="preserve"> </w:t>
      </w:r>
      <w:r>
        <w:rPr>
          <w:rStyle w:val="VerbatimChar"/>
        </w:rPr>
        <w:t xml:space="preserve">SaborExpressBack/Modules/Categories/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consistencia de categoría al editar/eliminar. Documentar transacción y error con correlación sin copiar información personal en los logs.</w:t>
      </w:r>
    </w:p>
    <w:bookmarkEnd w:id="33"/>
    <w:bookmarkStart w:id="34" w:name="m05.-configurations"/>
    <w:p>
      <w:pPr>
        <w:pStyle w:val="Heading3"/>
        <w:keepNext/>
        <w:spacing w:line="264" w:lineRule="auto"/>
      </w:pPr>
      <w:r>
        <w:t xml:space="preserve">M05. Configurations</w:t>
      </w:r>
    </w:p>
    <w:p>
      <w:pPr>
        <w:pStyle w:val="FirstParagraph"/>
        <w:spacing w:line="396" w:lineRule="auto" w:after="100"/>
      </w:pPr>
      <w:r>
        <w:rPr>
          <w:b/>
          <w:bCs/>
        </w:rPr>
        <w:t xml:space="preserve">Responsabilidad funcional:</w:t>
      </w:r>
      <w:r>
        <w:t xml:space="preserve"> </w:t>
      </w:r>
      <w:r>
        <w:t xml:space="preserve">Ajustes operativos por sede y usuario.</w:t>
      </w:r>
      <w:r>
        <w:t xml:space="preserve"> </w:t>
      </w:r>
      <w:r>
        <w:rPr>
          <w:b/>
          <w:bCs/>
        </w:rPr>
        <w:t xml:space="preserve">Ruta de código:</w:t>
      </w:r>
      <w:r>
        <w:t xml:space="preserve"> </w:t>
      </w:r>
      <w:r>
        <w:rPr>
          <w:rStyle w:val="VerbatimChar"/>
        </w:rPr>
        <w:t xml:space="preserve">SaborExpressBack/Modules/Configurations/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evitar exposición de configuración entre sedes. Documentar transacción y error con correlación sin copiar información personal en los logs.</w:t>
      </w:r>
    </w:p>
    <w:bookmarkEnd w:id="34"/>
    <w:bookmarkStart w:id="35" w:name="m06.-customers"/>
    <w:p>
      <w:pPr>
        <w:pStyle w:val="Heading3"/>
        <w:keepNext/>
        <w:spacing w:line="264" w:lineRule="auto"/>
      </w:pPr>
      <w:r>
        <w:t xml:space="preserve">M06. Customers</w:t>
      </w:r>
    </w:p>
    <w:p>
      <w:pPr>
        <w:pStyle w:val="FirstParagraph"/>
        <w:spacing w:line="396" w:lineRule="auto" w:after="100"/>
      </w:pPr>
      <w:r>
        <w:rPr>
          <w:b/>
          <w:bCs/>
        </w:rPr>
        <w:t xml:space="preserve">Responsabilidad funcional:</w:t>
      </w:r>
      <w:r>
        <w:t xml:space="preserve"> </w:t>
      </w:r>
      <w:r>
        <w:t xml:space="preserve">Perfil de compradores.</w:t>
      </w:r>
      <w:r>
        <w:t xml:space="preserve"> </w:t>
      </w:r>
      <w:r>
        <w:rPr>
          <w:b/>
          <w:bCs/>
        </w:rPr>
        <w:t xml:space="preserve">Ruta de código:</w:t>
      </w:r>
      <w:r>
        <w:t xml:space="preserve"> </w:t>
      </w:r>
      <w:r>
        <w:rPr>
          <w:rStyle w:val="VerbatimChar"/>
        </w:rPr>
        <w:t xml:space="preserve">SaborExpressBack/Modules/Customers/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identidad, privacidad y vinculación a usuario. Documentar transacción y error con correlación sin copiar información personal en los logs.</w:t>
      </w:r>
    </w:p>
    <w:bookmarkEnd w:id="35"/>
    <w:bookmarkStart w:id="36" w:name="m07.-dailymenu"/>
    <w:p>
      <w:pPr>
        <w:pStyle w:val="Heading3"/>
        <w:keepNext/>
        <w:spacing w:line="264" w:lineRule="auto"/>
      </w:pPr>
      <w:r>
        <w:t xml:space="preserve">M07. DailyMenu</w:t>
      </w:r>
    </w:p>
    <w:p>
      <w:pPr>
        <w:pStyle w:val="FirstParagraph"/>
        <w:spacing w:line="396" w:lineRule="auto" w:after="100"/>
      </w:pPr>
      <w:r>
        <w:rPr>
          <w:b/>
          <w:bCs/>
        </w:rPr>
        <w:t xml:space="preserve">Responsabilidad funcional:</w:t>
      </w:r>
      <w:r>
        <w:t xml:space="preserve"> </w:t>
      </w:r>
      <w:r>
        <w:t xml:space="preserve">Disponibilidad y menú diario.</w:t>
      </w:r>
      <w:r>
        <w:t xml:space="preserve"> </w:t>
      </w:r>
      <w:r>
        <w:rPr>
          <w:b/>
          <w:bCs/>
        </w:rPr>
        <w:t xml:space="preserve">Ruta de código:</w:t>
      </w:r>
      <w:r>
        <w:t xml:space="preserve"> </w:t>
      </w:r>
      <w:r>
        <w:rPr>
          <w:rStyle w:val="VerbatimChar"/>
        </w:rPr>
        <w:t xml:space="preserve">SaborExpressBack/Modules/DailyMenu/</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sincronizar productos, fecha y sede. Documentar transacción y error con correlación sin copiar información personal en los logs.</w:t>
      </w:r>
    </w:p>
    <w:bookmarkEnd w:id="36"/>
    <w:bookmarkStart w:id="37" w:name="m08.-deliveries"/>
    <w:p>
      <w:pPr>
        <w:pStyle w:val="Heading3"/>
        <w:keepNext/>
        <w:spacing w:line="264" w:lineRule="auto"/>
      </w:pPr>
      <w:r>
        <w:t xml:space="preserve">M08. Deliveries</w:t>
      </w:r>
    </w:p>
    <w:p>
      <w:pPr>
        <w:pStyle w:val="FirstParagraph"/>
        <w:spacing w:line="396" w:lineRule="auto" w:after="100"/>
      </w:pPr>
      <w:r>
        <w:rPr>
          <w:b/>
          <w:bCs/>
        </w:rPr>
        <w:t xml:space="preserve">Responsabilidad funcional:</w:t>
      </w:r>
      <w:r>
        <w:t xml:space="preserve"> </w:t>
      </w:r>
      <w:r>
        <w:t xml:space="preserve">Asignación, estado y calificación de reparto.</w:t>
      </w:r>
      <w:r>
        <w:t xml:space="preserve"> </w:t>
      </w:r>
      <w:r>
        <w:rPr>
          <w:b/>
          <w:bCs/>
        </w:rPr>
        <w:t xml:space="preserve">Ruta de código:</w:t>
      </w:r>
      <w:r>
        <w:t xml:space="preserve"> </w:t>
      </w:r>
      <w:r>
        <w:rPr>
          <w:rStyle w:val="VerbatimChar"/>
        </w:rPr>
        <w:t xml:space="preserve">SaborExpressBack/Modules/Deliveries/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autorización por conductor/cliente/sede. Documentar transacción y error con correlación sin copiar información personal en los logs.</w:t>
      </w:r>
    </w:p>
    <w:bookmarkEnd w:id="37"/>
    <w:bookmarkStart w:id="38" w:name="m09.-employeeschedules"/>
    <w:p>
      <w:pPr>
        <w:pStyle w:val="Heading3"/>
        <w:keepNext/>
        <w:spacing w:line="264" w:lineRule="auto"/>
      </w:pPr>
      <w:r>
        <w:t xml:space="preserve">M09. EmployeeSchedules</w:t>
      </w:r>
    </w:p>
    <w:p>
      <w:pPr>
        <w:pStyle w:val="FirstParagraph"/>
        <w:spacing w:line="396" w:lineRule="auto" w:after="100"/>
      </w:pPr>
      <w:r>
        <w:rPr>
          <w:b/>
          <w:bCs/>
        </w:rPr>
        <w:t xml:space="preserve">Responsabilidad funcional:</w:t>
      </w:r>
      <w:r>
        <w:t xml:space="preserve"> </w:t>
      </w:r>
      <w:r>
        <w:t xml:space="preserve">Turnos y cobertura del personal.</w:t>
      </w:r>
      <w:r>
        <w:t xml:space="preserve"> </w:t>
      </w:r>
      <w:r>
        <w:rPr>
          <w:b/>
          <w:bCs/>
        </w:rPr>
        <w:t xml:space="preserve">Ruta de código:</w:t>
      </w:r>
      <w:r>
        <w:t xml:space="preserve"> </w:t>
      </w:r>
      <w:r>
        <w:rPr>
          <w:rStyle w:val="VerbatimChar"/>
        </w:rPr>
        <w:t xml:space="preserve">SaborExpressBack/Modules/EmployeeSchedules/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autoridad de turno para acciones protegidas. Documentar transacción y error con correlación sin copiar información personal en los logs.</w:t>
      </w:r>
    </w:p>
    <w:bookmarkEnd w:id="38"/>
    <w:bookmarkStart w:id="39" w:name="m10.-employees"/>
    <w:p>
      <w:pPr>
        <w:pStyle w:val="Heading3"/>
        <w:keepNext/>
        <w:spacing w:line="264" w:lineRule="auto"/>
      </w:pPr>
      <w:r>
        <w:t xml:space="preserve">M10. Employees</w:t>
      </w:r>
    </w:p>
    <w:p>
      <w:pPr>
        <w:pStyle w:val="FirstParagraph"/>
        <w:spacing w:line="396" w:lineRule="auto" w:after="100"/>
      </w:pPr>
      <w:r>
        <w:rPr>
          <w:b/>
          <w:bCs/>
        </w:rPr>
        <w:t xml:space="preserve">Responsabilidad funcional:</w:t>
      </w:r>
      <w:r>
        <w:t xml:space="preserve"> </w:t>
      </w:r>
      <w:r>
        <w:t xml:space="preserve">Registro y perfiles de personal.</w:t>
      </w:r>
      <w:r>
        <w:t xml:space="preserve"> </w:t>
      </w:r>
      <w:r>
        <w:rPr>
          <w:b/>
          <w:bCs/>
        </w:rPr>
        <w:t xml:space="preserve">Ruta de código:</w:t>
      </w:r>
      <w:r>
        <w:t xml:space="preserve"> </w:t>
      </w:r>
      <w:r>
        <w:rPr>
          <w:rStyle w:val="VerbatimChar"/>
        </w:rPr>
        <w:t xml:space="preserve">SaborExpressBack/Modules/Employees/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protección de documento, CV y teléfono. Documentar transacción y error con correlación sin copiar información personal en los logs.</w:t>
      </w:r>
    </w:p>
    <w:bookmarkEnd w:id="39"/>
    <w:bookmarkStart w:id="40" w:name="m11.-invoices"/>
    <w:p>
      <w:pPr>
        <w:pStyle w:val="Heading3"/>
        <w:keepNext/>
        <w:spacing w:line="264" w:lineRule="auto"/>
      </w:pPr>
      <w:r>
        <w:t xml:space="preserve">M11. Invoices</w:t>
      </w:r>
    </w:p>
    <w:p>
      <w:pPr>
        <w:pStyle w:val="FirstParagraph"/>
        <w:spacing w:line="396" w:lineRule="auto" w:after="100"/>
      </w:pPr>
      <w:r>
        <w:rPr>
          <w:b/>
          <w:bCs/>
        </w:rPr>
        <w:t xml:space="preserve">Responsabilidad funcional:</w:t>
      </w:r>
      <w:r>
        <w:t xml:space="preserve"> </w:t>
      </w:r>
      <w:r>
        <w:t xml:space="preserve">Comprobantes y facturas.</w:t>
      </w:r>
      <w:r>
        <w:t xml:space="preserve"> </w:t>
      </w:r>
      <w:r>
        <w:rPr>
          <w:b/>
          <w:bCs/>
        </w:rPr>
        <w:t xml:space="preserve">Ruta de código:</w:t>
      </w:r>
      <w:r>
        <w:t xml:space="preserve"> </w:t>
      </w:r>
      <w:r>
        <w:rPr>
          <w:rStyle w:val="VerbatimChar"/>
        </w:rPr>
        <w:t xml:space="preserve">SaborExpressBack/Modules/Invoices/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integridad financiera y folios. Documentar transacción y error con correlación sin copiar información personal en los logs.</w:t>
      </w:r>
    </w:p>
    <w:bookmarkEnd w:id="40"/>
    <w:bookmarkStart w:id="41" w:name="m12.-notifications"/>
    <w:p>
      <w:pPr>
        <w:pStyle w:val="Heading3"/>
        <w:keepNext/>
        <w:spacing w:line="264" w:lineRule="auto"/>
      </w:pPr>
      <w:r>
        <w:t xml:space="preserve">M12. Notifications</w:t>
      </w:r>
    </w:p>
    <w:p>
      <w:pPr>
        <w:pStyle w:val="FirstParagraph"/>
        <w:spacing w:line="396" w:lineRule="auto" w:after="100"/>
      </w:pPr>
      <w:r>
        <w:rPr>
          <w:b/>
          <w:bCs/>
        </w:rPr>
        <w:t xml:space="preserve">Responsabilidad funcional:</w:t>
      </w:r>
      <w:r>
        <w:t xml:space="preserve"> </w:t>
      </w:r>
      <w:r>
        <w:t xml:space="preserve">Notificaciones y hub.</w:t>
      </w:r>
      <w:r>
        <w:t xml:space="preserve"> </w:t>
      </w:r>
      <w:r>
        <w:rPr>
          <w:b/>
          <w:bCs/>
        </w:rPr>
        <w:t xml:space="preserve">Ruta de código:</w:t>
      </w:r>
      <w:r>
        <w:t xml:space="preserve"> </w:t>
      </w:r>
      <w:r>
        <w:rPr>
          <w:rStyle w:val="VerbatimChar"/>
        </w:rPr>
        <w:t xml:space="preserve">SaborExpressBack/Modules/Notifications/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canales autorizados y reconexión. Documentar transacción y error con correlación sin copiar información personal en los logs.</w:t>
      </w:r>
    </w:p>
    <w:bookmarkEnd w:id="41"/>
    <w:bookmarkStart w:id="42" w:name="m13.-orders"/>
    <w:p>
      <w:pPr>
        <w:pStyle w:val="Heading3"/>
        <w:keepNext/>
        <w:spacing w:line="264" w:lineRule="auto"/>
      </w:pPr>
      <w:r>
        <w:t xml:space="preserve">M13. Orders</w:t>
      </w:r>
    </w:p>
    <w:p>
      <w:pPr>
        <w:pStyle w:val="FirstParagraph"/>
        <w:spacing w:line="396" w:lineRule="auto" w:after="100"/>
      </w:pPr>
      <w:r>
        <w:rPr>
          <w:b/>
          <w:bCs/>
        </w:rPr>
        <w:t xml:space="preserve">Responsabilidad funcional:</w:t>
      </w:r>
      <w:r>
        <w:t xml:space="preserve"> </w:t>
      </w:r>
      <w:r>
        <w:t xml:space="preserve">Pedidos, detalles e historia.</w:t>
      </w:r>
      <w:r>
        <w:t xml:space="preserve"> </w:t>
      </w:r>
      <w:r>
        <w:rPr>
          <w:b/>
          <w:bCs/>
        </w:rPr>
        <w:t xml:space="preserve">Ruta de código:</w:t>
      </w:r>
      <w:r>
        <w:t xml:space="preserve"> </w:t>
      </w:r>
      <w:r>
        <w:rPr>
          <w:rStyle w:val="VerbatimChar"/>
        </w:rPr>
        <w:t xml:space="preserve">SaborExpressBack/Modules/Orders/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cálculo de totales y transiciones. Documentar transacción y error con correlación sin copiar información personal en los logs.</w:t>
      </w:r>
    </w:p>
    <w:bookmarkEnd w:id="42"/>
    <w:bookmarkStart w:id="43" w:name="m14.-payments"/>
    <w:p>
      <w:pPr>
        <w:pStyle w:val="Heading3"/>
        <w:keepNext/>
        <w:spacing w:line="264" w:lineRule="auto"/>
      </w:pPr>
      <w:r>
        <w:t xml:space="preserve">M14. Payments</w:t>
      </w:r>
    </w:p>
    <w:p>
      <w:pPr>
        <w:pStyle w:val="FirstParagraph"/>
        <w:spacing w:line="396" w:lineRule="auto" w:after="100"/>
      </w:pPr>
      <w:r>
        <w:rPr>
          <w:b/>
          <w:bCs/>
        </w:rPr>
        <w:t xml:space="preserve">Responsabilidad funcional:</w:t>
      </w:r>
      <w:r>
        <w:t xml:space="preserve"> </w:t>
      </w:r>
      <w:r>
        <w:t xml:space="preserve">Cobros, Wompi y devoluciones.</w:t>
      </w:r>
      <w:r>
        <w:t xml:space="preserve"> </w:t>
      </w:r>
      <w:r>
        <w:rPr>
          <w:b/>
          <w:bCs/>
        </w:rPr>
        <w:t xml:space="preserve">Ruta de código:</w:t>
      </w:r>
      <w:r>
        <w:t xml:space="preserve"> </w:t>
      </w:r>
      <w:r>
        <w:rPr>
          <w:rStyle w:val="VerbatimChar"/>
        </w:rPr>
        <w:t xml:space="preserve">SaborExpressBack/Modules/Payments/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checksum, referencias y idempotencia. Documentar transacción y error con correlación sin copiar información personal en los logs.</w:t>
      </w:r>
    </w:p>
    <w:bookmarkEnd w:id="43"/>
    <w:bookmarkStart w:id="44" w:name="m15.-permissions"/>
    <w:p>
      <w:pPr>
        <w:pStyle w:val="Heading3"/>
        <w:keepNext/>
        <w:spacing w:line="264" w:lineRule="auto"/>
      </w:pPr>
      <w:r>
        <w:t xml:space="preserve">M15. Permissions</w:t>
      </w:r>
    </w:p>
    <w:p>
      <w:pPr>
        <w:pStyle w:val="FirstParagraph"/>
        <w:spacing w:line="396" w:lineRule="auto" w:after="100"/>
      </w:pPr>
      <w:r>
        <w:rPr>
          <w:b/>
          <w:bCs/>
        </w:rPr>
        <w:t xml:space="preserve">Responsabilidad funcional:</w:t>
      </w:r>
      <w:r>
        <w:t xml:space="preserve"> </w:t>
      </w:r>
      <w:r>
        <w:t xml:space="preserve">Permisos nominales.</w:t>
      </w:r>
      <w:r>
        <w:t xml:space="preserve"> </w:t>
      </w:r>
      <w:r>
        <w:rPr>
          <w:b/>
          <w:bCs/>
        </w:rPr>
        <w:t xml:space="preserve">Ruta de código:</w:t>
      </w:r>
      <w:r>
        <w:t xml:space="preserve"> </w:t>
      </w:r>
      <w:r>
        <w:rPr>
          <w:rStyle w:val="VerbatimChar"/>
        </w:rPr>
        <w:t xml:space="preserve">SaborExpressBack/Modules/Permissions/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denegación de privilegios no otorgados. Documentar transacción y error con correlación sin copiar información personal en los logs.</w:t>
      </w:r>
    </w:p>
    <w:bookmarkEnd w:id="44"/>
    <w:bookmarkStart w:id="45" w:name="m16.-products"/>
    <w:p>
      <w:pPr>
        <w:pStyle w:val="Heading3"/>
        <w:keepNext/>
        <w:spacing w:line="264" w:lineRule="auto"/>
      </w:pPr>
      <w:r>
        <w:t xml:space="preserve">M16. Products</w:t>
      </w:r>
    </w:p>
    <w:p>
      <w:pPr>
        <w:pStyle w:val="FirstParagraph"/>
        <w:spacing w:line="396" w:lineRule="auto" w:after="100"/>
      </w:pPr>
      <w:r>
        <w:rPr>
          <w:b/>
          <w:bCs/>
        </w:rPr>
        <w:t xml:space="preserve">Responsabilidad funcional:</w:t>
      </w:r>
      <w:r>
        <w:t xml:space="preserve"> </w:t>
      </w:r>
      <w:r>
        <w:t xml:space="preserve">Catálogo por categoría y sede.</w:t>
      </w:r>
      <w:r>
        <w:t xml:space="preserve"> </w:t>
      </w:r>
      <w:r>
        <w:rPr>
          <w:b/>
          <w:bCs/>
        </w:rPr>
        <w:t xml:space="preserve">Ruta de código:</w:t>
      </w:r>
      <w:r>
        <w:t xml:space="preserve"> </w:t>
      </w:r>
      <w:r>
        <w:rPr>
          <w:rStyle w:val="VerbatimChar"/>
        </w:rPr>
        <w:t xml:space="preserve">SaborExpressBack/Modules/Products/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precio global/local y desactivación. Documentar transacción y error con correlación sin copiar información personal en los logs.</w:t>
      </w:r>
    </w:p>
    <w:bookmarkEnd w:id="45"/>
    <w:bookmarkStart w:id="46" w:name="m17.-reviews"/>
    <w:p>
      <w:pPr>
        <w:pStyle w:val="Heading3"/>
        <w:keepNext/>
        <w:spacing w:line="264" w:lineRule="auto"/>
      </w:pPr>
      <w:r>
        <w:t xml:space="preserve">M17. Reviews</w:t>
      </w:r>
    </w:p>
    <w:p>
      <w:pPr>
        <w:pStyle w:val="FirstParagraph"/>
        <w:spacing w:line="396" w:lineRule="auto" w:after="100"/>
      </w:pPr>
      <w:r>
        <w:rPr>
          <w:b/>
          <w:bCs/>
        </w:rPr>
        <w:t xml:space="preserve">Responsabilidad funcional:</w:t>
      </w:r>
      <w:r>
        <w:t xml:space="preserve"> </w:t>
      </w:r>
      <w:r>
        <w:t xml:space="preserve">Opiniones del servicio.</w:t>
      </w:r>
      <w:r>
        <w:t xml:space="preserve"> </w:t>
      </w:r>
      <w:r>
        <w:rPr>
          <w:b/>
          <w:bCs/>
        </w:rPr>
        <w:t xml:space="preserve">Ruta de código:</w:t>
      </w:r>
      <w:r>
        <w:t xml:space="preserve"> </w:t>
      </w:r>
      <w:r>
        <w:rPr>
          <w:rStyle w:val="VerbatimChar"/>
        </w:rPr>
        <w:t xml:space="preserve">SaborExpressBack/Modules/Reviews/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derecho del autor y moderación. Documentar transacción y error con correlación sin copiar información personal en los logs.</w:t>
      </w:r>
    </w:p>
    <w:bookmarkEnd w:id="46"/>
    <w:bookmarkStart w:id="47" w:name="m18.-rolepermissions"/>
    <w:p>
      <w:pPr>
        <w:pStyle w:val="Heading3"/>
        <w:keepNext/>
        <w:spacing w:line="264" w:lineRule="auto"/>
      </w:pPr>
      <w:r>
        <w:t xml:space="preserve">M18. RolePermissions</w:t>
      </w:r>
    </w:p>
    <w:p>
      <w:pPr>
        <w:pStyle w:val="FirstParagraph"/>
        <w:spacing w:line="396" w:lineRule="auto" w:after="100"/>
      </w:pPr>
      <w:r>
        <w:rPr>
          <w:b/>
          <w:bCs/>
        </w:rPr>
        <w:t xml:space="preserve">Responsabilidad funcional:</w:t>
      </w:r>
      <w:r>
        <w:t xml:space="preserve"> </w:t>
      </w:r>
      <w:r>
        <w:t xml:space="preserve">Relación roles-permisos.</w:t>
      </w:r>
      <w:r>
        <w:t xml:space="preserve"> </w:t>
      </w:r>
      <w:r>
        <w:rPr>
          <w:b/>
          <w:bCs/>
        </w:rPr>
        <w:t xml:space="preserve">Ruta de código:</w:t>
      </w:r>
      <w:r>
        <w:t xml:space="preserve"> </w:t>
      </w:r>
      <w:r>
        <w:rPr>
          <w:rStyle w:val="VerbatimChar"/>
        </w:rPr>
        <w:t xml:space="preserve">SaborExpressBack/Modules/RolePermissions/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elevación no autorizada. Documentar transacción y error con correlación sin copiar información personal en los logs.</w:t>
      </w:r>
    </w:p>
    <w:bookmarkEnd w:id="47"/>
    <w:bookmarkStart w:id="48" w:name="m19.-roles"/>
    <w:p>
      <w:pPr>
        <w:pStyle w:val="Heading3"/>
        <w:keepNext/>
        <w:spacing w:line="264" w:lineRule="auto"/>
      </w:pPr>
      <w:r>
        <w:t xml:space="preserve">M19. Roles</w:t>
      </w:r>
    </w:p>
    <w:p>
      <w:pPr>
        <w:pStyle w:val="FirstParagraph"/>
        <w:spacing w:line="396" w:lineRule="auto" w:after="100"/>
      </w:pPr>
      <w:r>
        <w:rPr>
          <w:b/>
          <w:bCs/>
        </w:rPr>
        <w:t xml:space="preserve">Responsabilidad funcional:</w:t>
      </w:r>
      <w:r>
        <w:t xml:space="preserve"> </w:t>
      </w:r>
      <w:r>
        <w:t xml:space="preserve">Catálogo de roles.</w:t>
      </w:r>
      <w:r>
        <w:t xml:space="preserve"> </w:t>
      </w:r>
      <w:r>
        <w:rPr>
          <w:b/>
          <w:bCs/>
        </w:rPr>
        <w:t xml:space="preserve">Ruta de código:</w:t>
      </w:r>
      <w:r>
        <w:t xml:space="preserve"> </w:t>
      </w:r>
      <w:r>
        <w:rPr>
          <w:rStyle w:val="VerbatimChar"/>
        </w:rPr>
        <w:t xml:space="preserve">SaborExpressBack/Modules/Roles/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jerarquía y asignación. Documentar transacción y error con correlación sin copiar información personal en los logs.</w:t>
      </w:r>
    </w:p>
    <w:bookmarkEnd w:id="48"/>
    <w:bookmarkStart w:id="49" w:name="m20.-tables"/>
    <w:p>
      <w:pPr>
        <w:pStyle w:val="Heading3"/>
        <w:keepNext/>
        <w:spacing w:line="264" w:lineRule="auto"/>
      </w:pPr>
      <w:r>
        <w:t xml:space="preserve">M20. Tables</w:t>
      </w:r>
    </w:p>
    <w:p>
      <w:pPr>
        <w:pStyle w:val="FirstParagraph"/>
        <w:spacing w:line="396" w:lineRule="auto" w:after="100"/>
      </w:pPr>
      <w:r>
        <w:rPr>
          <w:b/>
          <w:bCs/>
        </w:rPr>
        <w:t xml:space="preserve">Responsabilidad funcional:</w:t>
      </w:r>
      <w:r>
        <w:t xml:space="preserve"> </w:t>
      </w:r>
      <w:r>
        <w:t xml:space="preserve">Mesas y ocupación.</w:t>
      </w:r>
      <w:r>
        <w:t xml:space="preserve"> </w:t>
      </w:r>
      <w:r>
        <w:rPr>
          <w:b/>
          <w:bCs/>
        </w:rPr>
        <w:t xml:space="preserve">Ruta de código:</w:t>
      </w:r>
      <w:r>
        <w:t xml:space="preserve"> </w:t>
      </w:r>
      <w:r>
        <w:rPr>
          <w:rStyle w:val="VerbatimChar"/>
        </w:rPr>
        <w:t xml:space="preserve">SaborExpressBack/Modules/Tables/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concurrencia y sede de la mesa. Documentar transacción y error con correlación sin copiar información personal en los logs.</w:t>
      </w:r>
    </w:p>
    <w:bookmarkEnd w:id="49"/>
    <w:bookmarkStart w:id="50" w:name="m21.-userpreferences"/>
    <w:p>
      <w:pPr>
        <w:pStyle w:val="Heading3"/>
        <w:keepNext/>
        <w:spacing w:line="264" w:lineRule="auto"/>
      </w:pPr>
      <w:r>
        <w:t xml:space="preserve">M21. UserPreferences</w:t>
      </w:r>
    </w:p>
    <w:p>
      <w:pPr>
        <w:pStyle w:val="FirstParagraph"/>
        <w:spacing w:line="396" w:lineRule="auto" w:after="100"/>
      </w:pPr>
      <w:r>
        <w:rPr>
          <w:b/>
          <w:bCs/>
        </w:rPr>
        <w:t xml:space="preserve">Responsabilidad funcional:</w:t>
      </w:r>
      <w:r>
        <w:t xml:space="preserve"> </w:t>
      </w:r>
      <w:r>
        <w:t xml:space="preserve">Idioma y preferencias.</w:t>
      </w:r>
      <w:r>
        <w:t xml:space="preserve"> </w:t>
      </w:r>
      <w:r>
        <w:rPr>
          <w:b/>
          <w:bCs/>
        </w:rPr>
        <w:t xml:space="preserve">Ruta de código:</w:t>
      </w:r>
      <w:r>
        <w:t xml:space="preserve"> </w:t>
      </w:r>
      <w:r>
        <w:rPr>
          <w:rStyle w:val="VerbatimChar"/>
        </w:rPr>
        <w:t xml:space="preserve">SaborExpressBack/Modules/UserPreferences/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perfiles propios y coherencia del locale. Documentar transacción y error con correlación sin copiar información personal en los logs.</w:t>
      </w:r>
    </w:p>
    <w:bookmarkEnd w:id="50"/>
    <w:bookmarkStart w:id="51" w:name="m22.-usersroles"/>
    <w:p>
      <w:pPr>
        <w:pStyle w:val="Heading3"/>
        <w:keepNext/>
        <w:spacing w:line="264" w:lineRule="auto"/>
      </w:pPr>
      <w:r>
        <w:t xml:space="preserve">M22. UsersRoles</w:t>
      </w:r>
    </w:p>
    <w:p>
      <w:pPr>
        <w:pStyle w:val="FirstParagraph"/>
        <w:spacing w:line="396" w:lineRule="auto" w:after="100"/>
      </w:pPr>
      <w:r>
        <w:rPr>
          <w:b/>
          <w:bCs/>
        </w:rPr>
        <w:t xml:space="preserve">Responsabilidad funcional:</w:t>
      </w:r>
      <w:r>
        <w:t xml:space="preserve"> </w:t>
      </w:r>
      <w:r>
        <w:t xml:space="preserve">Vinculación de usuarios y roles.</w:t>
      </w:r>
      <w:r>
        <w:t xml:space="preserve"> </w:t>
      </w:r>
      <w:r>
        <w:rPr>
          <w:b/>
          <w:bCs/>
        </w:rPr>
        <w:t xml:space="preserve">Ruta de código:</w:t>
      </w:r>
      <w:r>
        <w:t xml:space="preserve"> </w:t>
      </w:r>
      <w:r>
        <w:rPr>
          <w:rStyle w:val="VerbatimChar"/>
        </w:rPr>
        <w:t xml:space="preserve">SaborExpressBack/Modules/UsersRoles/</w:t>
      </w:r>
      <w:r>
        <w:t xml:space="preserve">.</w:t>
      </w:r>
    </w:p>
    <w:p>
      <w:pPr>
        <w:pStyle w:val="BodyText"/>
        <w:spacing w:line="396" w:lineRule="auto" w:after="100"/>
      </w:pPr>
      <w:r>
        <w:rPr>
          <w:b/>
          <w:bCs/>
        </w:rPr>
        <w:t xml:space="preserve">Patrón de integración:</w:t>
      </w:r>
      <w:r>
        <w:t xml:space="preserve"> </w:t>
      </w:r>
      <w:r>
        <w:t xml:space="preserve">controlador HTTP o servicio correspondiente → interfaces → servicio de aplicación → repositorios EF Core. Verificar implementación exacta y evitar llamadas directas a entidades desde la vista.</w:t>
      </w:r>
    </w:p>
    <w:p>
      <w:pPr>
        <w:pStyle w:val="BodyText"/>
        <w:spacing w:line="396" w:lineRule="auto" w:after="100"/>
      </w:pPr>
      <w:r>
        <w:rPr>
          <w:b/>
          <w:bCs/>
        </w:rPr>
        <w:t xml:space="preserve">Prueba principal:</w:t>
      </w:r>
      <w:r>
        <w:t xml:space="preserve"> </w:t>
      </w:r>
      <w:r>
        <w:t xml:space="preserve">aislar la característica con datos ficticios, comprobar resultado permitido y excepción de seguridad.</w:t>
      </w:r>
      <w:r>
        <w:t xml:space="preserve"> </w:t>
      </w:r>
      <w:r>
        <w:rPr>
          <w:b/>
          <w:bCs/>
        </w:rPr>
        <w:t xml:space="preserve">Riesgo prioritario:</w:t>
      </w:r>
      <w:r>
        <w:t xml:space="preserve"> </w:t>
      </w:r>
      <w:r>
        <w:t xml:space="preserve">actualización y revocación efectiva. Documentar transacción y error con correlación sin copiar información personal en los logs.</w:t>
      </w:r>
    </w:p>
    <w:bookmarkEnd w:id="51"/>
    <w:bookmarkEnd w:id="52"/>
    <w:bookmarkStart w:id="53" w:name="Xf987003445be2d8f83a84e876687b69ae2520e8"/>
    <w:p>
      <w:pPr>
        <w:pStyle w:val="Heading2"/>
        <w:keepNext/>
        <w:spacing w:line="264" w:lineRule="auto"/>
      </w:pPr>
      <w:r>
        <w:t xml:space="preserve">9. Contratos, autenticación y ciclo de petición</w:t>
      </w:r>
    </w:p>
    <w:p>
      <w:pPr>
        <w:pStyle w:val="FirstParagraph"/>
        <w:spacing w:line="396" w:lineRule="auto" w:after="100"/>
      </w:pPr>
      <w:r>
        <w:rPr>
          <w:b/>
          <w:bCs/>
        </w:rPr>
        <w:t xml:space="preserve">ASP.NET Core</w:t>
      </w:r>
      <w:r>
        <w:rPr>
          <w:b/>
          <w:bCs/>
        </w:rPr>
        <w:t xml:space="preserve"> </w:t>
      </w:r>
      <w:r>
        <w:rPr>
          <w:rStyle w:val="VerbatimChar"/>
          <w:b/>
          <w:bCs/>
        </w:rPr>
        <w:t xml:space="preserve">Program.cs</w:t>
      </w:r>
      <w:r>
        <w:rPr>
          <w:b/>
          <w:bCs/>
        </w:rPr>
        <w:t xml:space="preserve">:</w:t>
      </w:r>
      <w:r>
        <w:t xml:space="preserve"> </w:t>
      </w:r>
      <w:r>
        <w:t xml:space="preserve">registro de controladores con ApiExceptionFilter y conversión de enum a cadenas, CORS, DbContext, JWT, autenticación, autorización, Swagger, SignalR, hosted services y migración/semillas. Verificar orden de middleware: UseCors, UseAuthentication, UseAuthorization, MapControllers, MapHub.</w:t>
      </w:r>
    </w:p>
    <w:p>
      <w:pPr>
        <w:pStyle w:val="BodyText"/>
        <w:spacing w:line="396" w:lineRule="auto" w:after="100"/>
      </w:pPr>
      <w:r>
        <w:rPr>
          <w:b/>
          <w:bCs/>
        </w:rPr>
        <w:t xml:space="preserve">Token:</w:t>
      </w:r>
      <w:r>
        <w:t xml:space="preserve"> </w:t>
      </w:r>
      <w:r>
        <w:t xml:space="preserve">esquema HTTP Authorization: Bearer; se requiere comprobar firma, emisor, audiencia, expiración y manejo de refresh. No se debe copiar un token real a documentación o capturas. Los clientes deben invalidar sesión cuando el servidor rechaza un token y reducir almacenamiento de secretos en el dispositivo.</w:t>
      </w:r>
    </w:p>
    <w:p>
      <w:pPr>
        <w:pStyle w:val="BodyText"/>
        <w:spacing w:line="396" w:lineRule="auto" w:after="100"/>
      </w:pPr>
      <w:r>
        <w:rPr>
          <w:b/>
          <w:bCs/>
        </w:rPr>
        <w:t xml:space="preserve">Roles:</w:t>
      </w:r>
      <w:r>
        <w:t xml:space="preserve"> </w:t>
      </w:r>
      <w:r>
        <w:t xml:space="preserve">etiquetas</w:t>
      </w:r>
      <w:r>
        <w:t xml:space="preserve"> </w:t>
      </w:r>
      <w:r>
        <w:rPr>
          <w:rStyle w:val="VerbatimChar"/>
        </w:rPr>
        <w:t xml:space="preserve">Authorize(Roles=...)</w:t>
      </w:r>
      <w:r>
        <w:t xml:space="preserve"> </w:t>
      </w:r>
      <w:r>
        <w:t xml:space="preserve">y</w:t>
      </w:r>
      <w:r>
        <w:t xml:space="preserve"> </w:t>
      </w:r>
      <w:r>
        <w:rPr>
          <w:rStyle w:val="VerbatimChar"/>
        </w:rPr>
        <w:t xml:space="preserve">ActiveShift</w:t>
      </w:r>
      <w:r>
        <w:t xml:space="preserve"> </w:t>
      </w:r>
      <w:r>
        <w:t xml:space="preserve">son un nivel inicial; la autorización de objeto exige recuperar sede/propietario desde BD y compararlos con el actor. En</w:t>
      </w:r>
      <w:r>
        <w:t xml:space="preserve"> </w:t>
      </w:r>
      <w:r>
        <w:rPr>
          <w:rStyle w:val="VerbatimChar"/>
        </w:rPr>
        <w:t xml:space="preserve">DeliveriesController</w:t>
      </w:r>
      <w:r>
        <w:t xml:space="preserve"> </w:t>
      </w:r>
      <w:r>
        <w:t xml:space="preserve">hay comprobaciones por repartidor y sede explícitas. Debe inspeccionarse el resto de controladores para garantizar paridad.</w:t>
      </w:r>
    </w:p>
    <w:p>
      <w:pPr>
        <w:pStyle w:val="BodyText"/>
        <w:spacing w:line="396" w:lineRule="auto" w:after="100"/>
      </w:pPr>
      <w:r>
        <w:rPr>
          <w:b/>
          <w:bCs/>
        </w:rPr>
        <w:t xml:space="preserve">Códigos HTTP:</w:t>
      </w:r>
      <w:r>
        <w:t xml:space="preserve"> </w:t>
      </w:r>
      <w:r>
        <w:t xml:space="preserve">200 consulta válida, 201 creación, 204 actualización sin cuerpo, 400 solicitud inválida, 401 sin autenticación, 403 sin permisos, 404 no encontrado, 409 conflicto cuando aplique, 500 error inesperado. Son convenciones recomendadas; verificar el filtro real antes de fijar un contrato OpenAPI.</w:t>
      </w:r>
    </w:p>
    <w:bookmarkEnd w:id="53"/>
    <w:bookmarkStart w:id="54" w:name="persistencia-migraciones-y-proveedores"/>
    <w:p>
      <w:pPr>
        <w:pStyle w:val="Heading2"/>
        <w:keepNext/>
        <w:spacing w:line="264" w:lineRule="auto"/>
      </w:pPr>
      <w:r>
        <w:t xml:space="preserve">10. Persistencia, migraciones y proveedores</w:t>
      </w:r>
    </w:p>
    <w:p>
      <w:pPr>
        <w:pStyle w:val="FirstParagraph"/>
        <w:spacing w:line="396" w:lineRule="auto" w:after="100"/>
      </w:pPr>
      <w:r>
        <w:rPr>
          <w:rStyle w:val="VerbatimChar"/>
        </w:rPr>
        <w:t xml:space="preserve">AppDbContext.cs.cs</w:t>
      </w:r>
      <w:r>
        <w:t xml:space="preserve"> </w:t>
      </w:r>
      <w:r>
        <w:t xml:space="preserve">identifica entidades y aplica automáticamente configuraciones del ensamblado.</w:t>
      </w:r>
      <w:r>
        <w:t xml:space="preserve"> </w:t>
      </w:r>
      <w:r>
        <w:rPr>
          <w:rStyle w:val="VerbatimChar"/>
        </w:rPr>
        <w:t xml:space="preserve">DatabaseConfiguration.cs</w:t>
      </w:r>
      <w:r>
        <w:t xml:space="preserve"> </w:t>
      </w:r>
      <w:r>
        <w:t xml:space="preserve">enruta entre MySQL, SqlServer y PostgreSQL mediante</w:t>
      </w:r>
      <w:r>
        <w:t xml:space="preserve"> </w:t>
      </w:r>
      <w:r>
        <w:rPr>
          <w:rStyle w:val="VerbatimChar"/>
        </w:rPr>
        <w:t xml:space="preserve">DatabaseProvider</w:t>
      </w:r>
      <w:r>
        <w:t xml:space="preserve"> </w:t>
      </w:r>
      <w:r>
        <w:t xml:space="preserve">y cadenas de conexión nombradas.</w:t>
      </w:r>
      <w:r>
        <w:t xml:space="preserve"> </w:t>
      </w:r>
      <w:r>
        <w:rPr>
          <w:rStyle w:val="VerbatimChar"/>
        </w:rPr>
        <w:t xml:space="preserve">Program.cs</w:t>
      </w:r>
      <w:r>
        <w:t xml:space="preserve"> </w:t>
      </w:r>
      <w:r>
        <w:t xml:space="preserve">invoca</w:t>
      </w:r>
      <w:r>
        <w:t xml:space="preserve"> </w:t>
      </w:r>
      <w:r>
        <w:rPr>
          <w:rStyle w:val="VerbatimChar"/>
        </w:rPr>
        <w:t xml:space="preserve">MigrateAsync()</w:t>
      </w:r>
      <w:r>
        <w:t xml:space="preserve"> </w:t>
      </w:r>
      <w:r>
        <w:t xml:space="preserve">al arranque y posteriormente PermissionSeeder, ClienteRoleSeeder e InitialManagerSeeder.</w:t>
      </w:r>
    </w:p>
    <w:p>
      <w:pPr>
        <w:pStyle w:val="BodyText"/>
        <w:spacing w:line="396" w:lineRule="auto" w:after="100"/>
      </w:pPr>
      <w:r>
        <w:rPr>
          <w:b/>
          <w:bCs/>
        </w:rPr>
        <w:t xml:space="preserve">Riesgo operativo:</w:t>
      </w:r>
      <w:r>
        <w:t xml:space="preserve"> </w:t>
      </w:r>
      <w:r>
        <w:t xml:space="preserve">ejecutar migración automática en cada réplica y reinicio puede alterar producción inesperadamente. Propuesta profesional: ejecutar migraciones aprobadas en paso único de despliegue con backup previo; comparar estado EF y esquema; ejecutar smoke tests y habilitar tráfico después.</w:t>
      </w:r>
    </w:p>
    <w:p>
      <w:pPr>
        <w:pStyle w:val="BodyText"/>
        <w:spacing w:line="396" w:lineRule="auto" w:after="100"/>
      </w:pPr>
      <w:r>
        <w:rPr>
          <w:b/>
          <w:bCs/>
        </w:rPr>
        <w:t xml:space="preserve">Compatibilidad:</w:t>
      </w:r>
      <w:r>
        <w:t xml:space="preserve"> </w:t>
      </w:r>
      <w:r>
        <w:t xml:space="preserve">las migraciones EF podrían contener sintaxis o tipos exclusivos de un motor; aunque el código declara tres proveedores, solo un ensayo real por cada uno permite declarar soporte efectivo. Elegir oficialmente un motor para producción y documentarlo.</w:t>
      </w:r>
    </w:p>
    <w:p>
      <w:pPr>
        <w:pStyle w:val="BodyText"/>
        <w:spacing w:line="396" w:lineRule="auto" w:after="100"/>
      </w:pPr>
      <w:r>
        <w:rPr>
          <w:b/>
          <w:bCs/>
        </w:rPr>
        <w:t xml:space="preserve">Rendimiento:</w:t>
      </w:r>
      <w:r>
        <w:t xml:space="preserve"> </w:t>
      </w:r>
      <w:r>
        <w:t xml:space="preserve">registrar planes de consulta y medir consultas repetidas para Orders por fecha/sede, Payments por orderId, Deliveries por empleado y Products por branchId; los índices exactos deben evaluarse desde el esquema desplegado, no inventarse.</w:t>
      </w:r>
    </w:p>
    <w:bookmarkEnd w:id="54"/>
    <w:bookmarkStart w:id="55" w:name="integración-financiera-y-reconciliación"/>
    <w:p>
      <w:pPr>
        <w:pStyle w:val="Heading2"/>
        <w:keepNext/>
        <w:spacing w:line="264" w:lineRule="auto"/>
      </w:pPr>
      <w:r>
        <w:t xml:space="preserve">11. Integración financiera y reconciliación</w:t>
      </w:r>
    </w:p>
    <w:p>
      <w:pPr>
        <w:pStyle w:val="FirstParagraph"/>
        <w:spacing w:line="396" w:lineRule="auto" w:after="100"/>
      </w:pPr>
      <w:r>
        <w:rPr>
          <w:rStyle w:val="VerbatimChar"/>
        </w:rPr>
        <w:t xml:space="preserve">PaymentsController</w:t>
      </w:r>
      <w:r>
        <w:t xml:space="preserve"> </w:t>
      </w:r>
      <w:r>
        <w:t xml:space="preserve">ofrece</w:t>
      </w:r>
      <w:r>
        <w:t xml:space="preserve"> </w:t>
      </w:r>
      <w:r>
        <w:rPr>
          <w:rStyle w:val="VerbatimChar"/>
        </w:rPr>
        <w:t xml:space="preserve">wompi/init</w:t>
      </w:r>
      <w:r>
        <w:t xml:space="preserve">,</w:t>
      </w:r>
      <w:r>
        <w:t xml:space="preserve"> </w:t>
      </w:r>
      <w:r>
        <w:rPr>
          <w:rStyle w:val="VerbatimChar"/>
        </w:rPr>
        <w:t xml:space="preserve">wompi/cashier-init</w:t>
      </w:r>
      <w:r>
        <w:t xml:space="preserve">,</w:t>
      </w:r>
      <w:r>
        <w:t xml:space="preserve"> </w:t>
      </w:r>
      <w:r>
        <w:rPr>
          <w:rStyle w:val="VerbatimChar"/>
        </w:rPr>
        <w:t xml:space="preserve">{id}/wompi-sync</w:t>
      </w:r>
      <w:r>
        <w:t xml:space="preserve"> </w:t>
      </w:r>
      <w:r>
        <w:t xml:space="preserve">y un</w:t>
      </w:r>
      <w:r>
        <w:t xml:space="preserve"> </w:t>
      </w:r>
      <w:r>
        <w:rPr>
          <w:rStyle w:val="VerbatimChar"/>
        </w:rPr>
        <w:t xml:space="preserve">wompi/webhook</w:t>
      </w:r>
      <w:r>
        <w:t xml:space="preserve"> </w:t>
      </w:r>
      <w:r>
        <w:t xml:space="preserve">anónimo a nivel de atributo. En el webhook se lee cuerpo crudo y</w:t>
      </w:r>
      <w:r>
        <w:t xml:space="preserve"> </w:t>
      </w:r>
      <w:r>
        <w:rPr>
          <w:rStyle w:val="VerbatimChar"/>
        </w:rPr>
        <w:t xml:space="preserve">X-Event-Checksum</w:t>
      </w:r>
      <w:r>
        <w:t xml:space="preserve">, y el servicio recibe ambos; la presencia de ese código no confirma validación correcta de la firma.</w:t>
      </w:r>
    </w:p>
    <w:p>
      <w:pPr>
        <w:pStyle w:val="BodyText"/>
        <w:spacing w:line="396" w:lineRule="auto" w:after="100"/>
      </w:pPr>
      <w:r>
        <w:rPr>
          <w:b/>
          <w:bCs/>
        </w:rPr>
        <w:t xml:space="preserve">Proceso recomendado:</w:t>
      </w:r>
      <w:r>
        <w:t xml:space="preserve"> </w:t>
      </w:r>
      <w:r>
        <w:t xml:space="preserve">1) crear referencia con unicidad; 2) almacenar intento pendiente; 3) iniciar Wompi en sandbox; 4) recibir payload crudo; 5) verificar suma de integridad de acuerdo con entorno y documentación oficial de Wompi; 6) correlacionar referencia/monto/divisa y estado; 7) abrir transacción para actualizar pago y pedido; 8) garantizar procesamiento idempotente; 9) registrar auditoría sin payload completo; 10) recuperar por sincronización si el webhook no llega.</w:t>
      </w:r>
    </w:p>
    <w:p>
      <w:pPr>
        <w:pStyle w:val="BodyText"/>
        <w:spacing w:line="396" w:lineRule="auto" w:after="100"/>
      </w:pPr>
      <w:r>
        <w:rPr>
          <w:b/>
          <w:bCs/>
        </w:rPr>
        <w:t xml:space="preserve">Riesgos:</w:t>
      </w:r>
      <w:r>
        <w:t xml:space="preserve"> </w:t>
      </w:r>
      <w:r>
        <w:t xml:space="preserve">validar evento no equivale a verificar que pertenece al pedido; transacción repetida no debe confirmar dos veces. El timestamp, la referencia y la firma deben contrastarse. Un intento Wompi reciente pendiente aparece en lógica de OrdersController para impedir confirmación manual; ensayar los límites de 30 minutos y carreras concurrentes.</w:t>
      </w:r>
    </w:p>
    <w:bookmarkEnd w:id="55"/>
    <w:bookmarkStart w:id="56" w:name="operación-monitoreo-y-contingencia"/>
    <w:p>
      <w:pPr>
        <w:pStyle w:val="Heading2"/>
        <w:keepNext/>
        <w:spacing w:line="264" w:lineRule="auto"/>
      </w:pPr>
      <w:r>
        <w:t xml:space="preserve">12. Operación, monitoreo y contingencia</w:t>
      </w:r>
    </w:p>
    <w:p>
      <w:pPr>
        <w:pStyle w:val="FirstParagraph"/>
        <w:spacing w:line="396" w:lineRule="auto" w:after="100"/>
      </w:pPr>
      <w:r>
        <w:rPr>
          <w:b/>
          <w:bCs/>
        </w:rPr>
        <w:t xml:space="preserve">Supervisión mínima:</w:t>
      </w:r>
      <w:r>
        <w:t xml:space="preserve"> </w:t>
      </w:r>
      <w:r>
        <w:t xml:space="preserve">solicitudes por segundo, duración p50/p95, tasa de errores 4xx/5xx, latencia DB, cola de notificaciones, desconexiones SignalR, fallos de webhook y tiempo de reconciliación de pagos.</w:t>
      </w:r>
    </w:p>
    <w:p>
      <w:pPr>
        <w:pStyle w:val="BodyText"/>
        <w:spacing w:line="396" w:lineRule="auto" w:after="100"/>
      </w:pPr>
      <w:r>
        <w:rPr>
          <w:b/>
          <w:bCs/>
        </w:rPr>
        <w:t xml:space="preserve">Respuesta a incidentes:</w:t>
      </w:r>
      <w:r>
        <w:t xml:space="preserve"> </w:t>
      </w:r>
      <w:r>
        <w:t xml:space="preserve">identificar incidente y contexto, detener nuevas modificaciones si hay corrupción, salvaguardar logs anonimizados, tomar respaldo, reproducir en sandbox, aplicar corrección mínima, probar regresión, desplegar con aprobación y documentar causa raíz.</w:t>
      </w:r>
    </w:p>
    <w:p>
      <w:pPr>
        <w:pStyle w:val="BodyText"/>
        <w:spacing w:line="396" w:lineRule="auto" w:after="100"/>
      </w:pPr>
      <w:r>
        <w:rPr>
          <w:b/>
          <w:bCs/>
        </w:rPr>
        <w:t xml:space="preserve">Respaldos:</w:t>
      </w:r>
      <w:r>
        <w:t xml:space="preserve"> </w:t>
      </w:r>
      <w:r>
        <w:t xml:space="preserve">seleccionar política de retención, encriptar y restringir acceso. Probar restauración en ambiente aislado con verificación de órdenes, pagos, relaciones, índices y migraciones. Solo después de ensayo se pueden publicar valores de RPO/RTO.</w:t>
      </w:r>
    </w:p>
    <w:p>
      <w:pPr>
        <w:pStyle w:val="BodyText"/>
        <w:spacing w:line="396" w:lineRule="auto" w:after="100"/>
      </w:pPr>
      <w:r>
        <w:rPr>
          <w:b/>
          <w:bCs/>
        </w:rPr>
        <w:t xml:space="preserve">Seguridad operativa:</w:t>
      </w:r>
      <w:r>
        <w:t xml:space="preserve"> </w:t>
      </w:r>
      <w:r>
        <w:t xml:space="preserve">TLS público, rotación de claves, control de origen CORS, dependencia actualizada, no compartir backups por medios inseguros, auditar descargas de CV y proteger URLs de mapas/localización. Aplicar NIST SSDF y OWASP API Security Top 10 como controles de referencia.</w:t>
      </w:r>
    </w:p>
    <w:bookmarkEnd w:id="56"/>
    <w:bookmarkStart w:id="57" w:name="mantenimiento-y-diagnóstico"/>
    <w:p>
      <w:pPr>
        <w:pStyle w:val="Heading2"/>
        <w:keepNext/>
        <w:spacing w:line="264" w:lineRule="auto"/>
      </w:pPr>
      <w:r>
        <w:t xml:space="preserve">13. Mantenimiento y diagnóstico</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Síntoma</w:t>
            </w:r>
          </w:p>
        </w:tc>
        <w:tc>
          <w:tcPr/>
          <w:p>
            <w:pPr>
              <w:pStyle w:val="Compact"/>
              <w:spacing w:line="240" w:lineRule="auto" w:after="20"/>
              <w:ind w:firstLine="0"/>
              <w:jc w:val="left"/>
            </w:pPr>
            <w:r>
              <w:rPr>
                <w:b/>
                <w:sz w:val="17"/>
              </w:rPr>
              <w:t xml:space="preserve">Comprobación inicial</w:t>
            </w:r>
          </w:p>
        </w:tc>
        <w:tc>
          <w:tcPr/>
          <w:p>
            <w:pPr>
              <w:pStyle w:val="Compact"/>
              <w:spacing w:line="240" w:lineRule="auto" w:after="20"/>
              <w:ind w:firstLine="0"/>
              <w:jc w:val="left"/>
            </w:pPr>
            <w:r>
              <w:rPr>
                <w:b/>
                <w:sz w:val="17"/>
              </w:rPr>
              <w:t xml:space="preserve">Acción de contención</w:t>
            </w:r>
          </w:p>
        </w:tc>
        <w:tc>
          <w:tcPr/>
          <w:p>
            <w:pPr>
              <w:pStyle w:val="Compact"/>
              <w:spacing w:line="240" w:lineRule="auto" w:after="20"/>
              <w:ind w:firstLine="0"/>
              <w:jc w:val="left"/>
            </w:pPr>
            <w:r>
              <w:rPr>
                <w:b/>
                <w:sz w:val="17"/>
              </w:rPr>
              <w:t xml:space="preserve">Escalamiento</w:t>
            </w:r>
          </w:p>
        </w:tc>
      </w:tr>
      <w:tr>
        <w:tc>
          <w:tcPr/>
          <w:p>
            <w:pPr>
              <w:pStyle w:val="Compact"/>
              <w:spacing w:line="240" w:lineRule="auto" w:after="20"/>
              <w:ind w:firstLine="0"/>
              <w:jc w:val="left"/>
            </w:pPr>
            <w:r>
              <w:rPr>
                <w:sz w:val="17"/>
              </w:rPr>
              <w:t xml:space="preserve">Error de startup DB</w:t>
            </w:r>
          </w:p>
        </w:tc>
        <w:tc>
          <w:tcPr/>
          <w:p>
            <w:pPr>
              <w:pStyle w:val="Compact"/>
              <w:spacing w:line="240" w:lineRule="auto" w:after="20"/>
              <w:ind w:firstLine="0"/>
              <w:jc w:val="left"/>
            </w:pPr>
            <w:r>
              <w:rPr>
                <w:sz w:val="17"/>
              </w:rPr>
              <w:t xml:space="preserve">variables y conexión, migración fallida</w:t>
            </w:r>
          </w:p>
        </w:tc>
        <w:tc>
          <w:tcPr/>
          <w:p>
            <w:pPr>
              <w:pStyle w:val="Compact"/>
              <w:spacing w:line="240" w:lineRule="auto" w:after="20"/>
              <w:ind w:firstLine="0"/>
              <w:jc w:val="left"/>
            </w:pPr>
            <w:r>
              <w:rPr>
                <w:sz w:val="17"/>
              </w:rPr>
              <w:t xml:space="preserve">restaurar servicio sin migrar a ciegas</w:t>
            </w:r>
          </w:p>
        </w:tc>
        <w:tc>
          <w:tcPr/>
          <w:p>
            <w:pPr>
              <w:pStyle w:val="Compact"/>
              <w:spacing w:line="240" w:lineRule="auto" w:after="20"/>
              <w:ind w:firstLine="0"/>
              <w:jc w:val="left"/>
            </w:pPr>
            <w:r>
              <w:rPr>
                <w:sz w:val="17"/>
              </w:rPr>
              <w:t xml:space="preserve">desarrollador EF/DBA</w:t>
            </w:r>
          </w:p>
        </w:tc>
      </w:tr>
      <w:tr>
        <w:tc>
          <w:tcPr/>
          <w:p>
            <w:pPr>
              <w:pStyle w:val="Compact"/>
              <w:spacing w:line="240" w:lineRule="auto" w:after="20"/>
              <w:ind w:firstLine="0"/>
              <w:jc w:val="left"/>
            </w:pPr>
            <w:r>
              <w:rPr>
                <w:sz w:val="17"/>
              </w:rPr>
              <w:t xml:space="preserve">401 generalizado</w:t>
            </w:r>
          </w:p>
        </w:tc>
        <w:tc>
          <w:tcPr/>
          <w:p>
            <w:pPr>
              <w:pStyle w:val="Compact"/>
              <w:spacing w:line="240" w:lineRule="auto" w:after="20"/>
              <w:ind w:firstLine="0"/>
              <w:jc w:val="left"/>
            </w:pPr>
            <w:r>
              <w:rPr>
                <w:sz w:val="17"/>
              </w:rPr>
              <w:t xml:space="preserve">reloj, emisión JWT, claves</w:t>
            </w:r>
          </w:p>
        </w:tc>
        <w:tc>
          <w:tcPr/>
          <w:p>
            <w:pPr>
              <w:pStyle w:val="Compact"/>
              <w:spacing w:line="240" w:lineRule="auto" w:after="20"/>
              <w:ind w:firstLine="0"/>
              <w:jc w:val="left"/>
            </w:pPr>
            <w:r>
              <w:rPr>
                <w:sz w:val="17"/>
              </w:rPr>
              <w:t xml:space="preserve">confirmar expiración y credenciales</w:t>
            </w:r>
          </w:p>
        </w:tc>
        <w:tc>
          <w:tcPr/>
          <w:p>
            <w:pPr>
              <w:pStyle w:val="Compact"/>
              <w:spacing w:line="240" w:lineRule="auto" w:after="20"/>
              <w:ind w:firstLine="0"/>
              <w:jc w:val="left"/>
            </w:pPr>
            <w:r>
              <w:rPr>
                <w:sz w:val="17"/>
              </w:rPr>
              <w:t xml:space="preserve">equipo auth</w:t>
            </w:r>
          </w:p>
        </w:tc>
      </w:tr>
      <w:tr>
        <w:tc>
          <w:tcPr/>
          <w:p>
            <w:pPr>
              <w:pStyle w:val="Compact"/>
              <w:spacing w:line="240" w:lineRule="auto" w:after="20"/>
              <w:ind w:firstLine="0"/>
              <w:jc w:val="left"/>
            </w:pPr>
            <w:r>
              <w:rPr>
                <w:sz w:val="17"/>
              </w:rPr>
              <w:t xml:space="preserve">403 solo una sede</w:t>
            </w:r>
          </w:p>
        </w:tc>
        <w:tc>
          <w:tcPr/>
          <w:p>
            <w:pPr>
              <w:pStyle w:val="Compact"/>
              <w:spacing w:line="240" w:lineRule="auto" w:after="20"/>
              <w:ind w:firstLine="0"/>
              <w:jc w:val="left"/>
            </w:pPr>
            <w:r>
              <w:rPr>
                <w:sz w:val="17"/>
              </w:rPr>
              <w:t xml:space="preserve">rol, BranchId, políticas</w:t>
            </w:r>
          </w:p>
        </w:tc>
        <w:tc>
          <w:tcPr/>
          <w:p>
            <w:pPr>
              <w:pStyle w:val="Compact"/>
              <w:spacing w:line="240" w:lineRule="auto" w:after="20"/>
              <w:ind w:firstLine="0"/>
              <w:jc w:val="left"/>
            </w:pPr>
            <w:r>
              <w:rPr>
                <w:sz w:val="17"/>
              </w:rPr>
              <w:t xml:space="preserve">no deshabilitar autorización</w:t>
            </w:r>
          </w:p>
        </w:tc>
        <w:tc>
          <w:tcPr/>
          <w:p>
            <w:pPr>
              <w:pStyle w:val="Compact"/>
              <w:spacing w:line="240" w:lineRule="auto" w:after="20"/>
              <w:ind w:firstLine="0"/>
              <w:jc w:val="left"/>
            </w:pPr>
            <w:r>
              <w:rPr>
                <w:sz w:val="17"/>
              </w:rPr>
              <w:t xml:space="preserve">backend/operación</w:t>
            </w:r>
          </w:p>
        </w:tc>
      </w:tr>
      <w:tr>
        <w:tc>
          <w:tcPr/>
          <w:p>
            <w:pPr>
              <w:pStyle w:val="Compact"/>
              <w:spacing w:line="240" w:lineRule="auto" w:after="20"/>
              <w:ind w:firstLine="0"/>
              <w:jc w:val="left"/>
            </w:pPr>
            <w:r>
              <w:rPr>
                <w:sz w:val="17"/>
              </w:rPr>
              <w:t xml:space="preserve">Webhook sin confirmar</w:t>
            </w:r>
          </w:p>
        </w:tc>
        <w:tc>
          <w:tcPr/>
          <w:p>
            <w:pPr>
              <w:pStyle w:val="Compact"/>
              <w:spacing w:line="240" w:lineRule="auto" w:after="20"/>
              <w:ind w:firstLine="0"/>
              <w:jc w:val="left"/>
            </w:pPr>
            <w:r>
              <w:rPr>
                <w:sz w:val="17"/>
              </w:rPr>
              <w:t xml:space="preserve">referencia, checksum, evento sandbox</w:t>
            </w:r>
          </w:p>
        </w:tc>
        <w:tc>
          <w:tcPr/>
          <w:p>
            <w:pPr>
              <w:pStyle w:val="Compact"/>
              <w:spacing w:line="240" w:lineRule="auto" w:after="20"/>
              <w:ind w:firstLine="0"/>
              <w:jc w:val="left"/>
            </w:pPr>
            <w:r>
              <w:rPr>
                <w:sz w:val="17"/>
              </w:rPr>
              <w:t xml:space="preserve">sincronización controlada</w:t>
            </w:r>
          </w:p>
        </w:tc>
        <w:tc>
          <w:tcPr/>
          <w:p>
            <w:pPr>
              <w:pStyle w:val="Compact"/>
              <w:spacing w:line="240" w:lineRule="auto" w:after="20"/>
              <w:ind w:firstLine="0"/>
              <w:jc w:val="left"/>
            </w:pPr>
            <w:r>
              <w:rPr>
                <w:sz w:val="17"/>
              </w:rPr>
              <w:t xml:space="preserve">integración pagos</w:t>
            </w:r>
          </w:p>
        </w:tc>
      </w:tr>
      <w:tr>
        <w:tc>
          <w:tcPr/>
          <w:p>
            <w:pPr>
              <w:pStyle w:val="Compact"/>
              <w:spacing w:line="240" w:lineRule="auto" w:after="20"/>
              <w:ind w:firstLine="0"/>
              <w:jc w:val="left"/>
            </w:pPr>
            <w:r>
              <w:rPr>
                <w:sz w:val="17"/>
              </w:rPr>
              <w:t xml:space="preserve">Panel sin novedades</w:t>
            </w:r>
          </w:p>
        </w:tc>
        <w:tc>
          <w:tcPr/>
          <w:p>
            <w:pPr>
              <w:pStyle w:val="Compact"/>
              <w:spacing w:line="240" w:lineRule="auto" w:after="20"/>
              <w:ind w:firstLine="0"/>
              <w:jc w:val="left"/>
            </w:pPr>
            <w:r>
              <w:rPr>
                <w:sz w:val="17"/>
              </w:rPr>
              <w:t xml:space="preserve">SignalR y GET de reconciliación</w:t>
            </w:r>
          </w:p>
        </w:tc>
        <w:tc>
          <w:tcPr/>
          <w:p>
            <w:pPr>
              <w:pStyle w:val="Compact"/>
              <w:spacing w:line="240" w:lineRule="auto" w:after="20"/>
              <w:ind w:firstLine="0"/>
              <w:jc w:val="left"/>
            </w:pPr>
            <w:r>
              <w:rPr>
                <w:sz w:val="17"/>
              </w:rPr>
              <w:t xml:space="preserve">reconectar y consultar estado</w:t>
            </w:r>
          </w:p>
        </w:tc>
        <w:tc>
          <w:tcPr/>
          <w:p>
            <w:pPr>
              <w:pStyle w:val="Compact"/>
              <w:spacing w:line="240" w:lineRule="auto" w:after="20"/>
              <w:ind w:firstLine="0"/>
              <w:jc w:val="left"/>
            </w:pPr>
            <w:r>
              <w:rPr>
                <w:sz w:val="17"/>
              </w:rPr>
              <w:t xml:space="preserve">web/móvil</w:t>
            </w:r>
          </w:p>
        </w:tc>
      </w:tr>
      <w:tr>
        <w:tc>
          <w:tcPr/>
          <w:p>
            <w:pPr>
              <w:pStyle w:val="Compact"/>
              <w:spacing w:line="240" w:lineRule="auto" w:after="20"/>
              <w:ind w:firstLine="0"/>
              <w:jc w:val="left"/>
            </w:pPr>
            <w:r>
              <w:rPr>
                <w:sz w:val="17"/>
              </w:rPr>
              <w:t xml:space="preserve">Cambio de monto incorrecto</w:t>
            </w:r>
          </w:p>
        </w:tc>
        <w:tc>
          <w:tcPr/>
          <w:p>
            <w:pPr>
              <w:pStyle w:val="Compact"/>
              <w:spacing w:line="240" w:lineRule="auto" w:after="20"/>
              <w:ind w:firstLine="0"/>
              <w:jc w:val="left"/>
            </w:pPr>
            <w:r>
              <w:rPr>
                <w:sz w:val="17"/>
              </w:rPr>
              <w:t xml:space="preserve">DTO, precio de producto, transacción</w:t>
            </w:r>
          </w:p>
        </w:tc>
        <w:tc>
          <w:tcPr/>
          <w:p>
            <w:pPr>
              <w:pStyle w:val="Compact"/>
              <w:spacing w:line="240" w:lineRule="auto" w:after="20"/>
              <w:ind w:firstLine="0"/>
              <w:jc w:val="left"/>
            </w:pPr>
            <w:r>
              <w:rPr>
                <w:sz w:val="17"/>
              </w:rPr>
              <w:t xml:space="preserve">detener cobros y auditar</w:t>
            </w:r>
          </w:p>
        </w:tc>
        <w:tc>
          <w:tcPr/>
          <w:p>
            <w:pPr>
              <w:pStyle w:val="Compact"/>
              <w:spacing w:line="240" w:lineRule="auto" w:after="20"/>
              <w:ind w:firstLine="0"/>
              <w:jc w:val="left"/>
            </w:pPr>
            <w:r>
              <w:rPr>
                <w:sz w:val="17"/>
              </w:rPr>
              <w:t xml:space="preserve">lider técnico y caja</w:t>
            </w:r>
          </w:p>
        </w:tc>
      </w:tr>
      <w:tr>
        <w:tc>
          <w:tcPr/>
          <w:p>
            <w:pPr>
              <w:pStyle w:val="Compact"/>
              <w:spacing w:line="240" w:lineRule="auto" w:after="20"/>
              <w:ind w:firstLine="0"/>
              <w:jc w:val="left"/>
            </w:pPr>
            <w:r>
              <w:rPr>
                <w:sz w:val="17"/>
              </w:rPr>
              <w:t xml:space="preserve">Falla de despliegue web</w:t>
            </w:r>
          </w:p>
        </w:tc>
        <w:tc>
          <w:tcPr/>
          <w:p>
            <w:pPr>
              <w:pStyle w:val="Compact"/>
              <w:spacing w:line="240" w:lineRule="auto" w:after="20"/>
              <w:ind w:firstLine="0"/>
              <w:jc w:val="left"/>
            </w:pPr>
            <w:r>
              <w:rPr>
                <w:sz w:val="17"/>
              </w:rPr>
              <w:t xml:space="preserve">variables NEXT y versión Node</w:t>
            </w:r>
          </w:p>
        </w:tc>
        <w:tc>
          <w:tcPr/>
          <w:p>
            <w:pPr>
              <w:pStyle w:val="Compact"/>
              <w:spacing w:line="240" w:lineRule="auto" w:after="20"/>
              <w:ind w:firstLine="0"/>
              <w:jc w:val="left"/>
            </w:pPr>
            <w:r>
              <w:rPr>
                <w:sz w:val="17"/>
              </w:rPr>
              <w:t xml:space="preserve">volver a build aprobado</w:t>
            </w:r>
          </w:p>
        </w:tc>
        <w:tc>
          <w:tcPr/>
          <w:p>
            <w:pPr>
              <w:pStyle w:val="Compact"/>
              <w:spacing w:line="240" w:lineRule="auto" w:after="20"/>
              <w:ind w:firstLine="0"/>
              <w:jc w:val="left"/>
            </w:pPr>
            <w:r>
              <w:rPr>
                <w:sz w:val="17"/>
              </w:rPr>
              <w:t xml:space="preserve">frontend web</w:t>
            </w:r>
          </w:p>
        </w:tc>
      </w:tr>
      <w:tr>
        <w:tc>
          <w:tcPr/>
          <w:p>
            <w:pPr>
              <w:pStyle w:val="Compact"/>
              <w:spacing w:line="240" w:lineRule="auto" w:after="20"/>
              <w:ind w:firstLine="0"/>
              <w:jc w:val="left"/>
            </w:pPr>
            <w:r>
              <w:rPr>
                <w:sz w:val="17"/>
              </w:rPr>
              <w:t xml:space="preserve">Falla de build móvil</w:t>
            </w:r>
          </w:p>
        </w:tc>
        <w:tc>
          <w:tcPr/>
          <w:p>
            <w:pPr>
              <w:pStyle w:val="Compact"/>
              <w:spacing w:line="240" w:lineRule="auto" w:after="20"/>
              <w:ind w:firstLine="0"/>
              <w:jc w:val="left"/>
            </w:pPr>
            <w:r>
              <w:rPr>
                <w:sz w:val="17"/>
              </w:rPr>
              <w:t xml:space="preserve">versión Expo/React Native y SDK</w:t>
            </w:r>
          </w:p>
        </w:tc>
        <w:tc>
          <w:tcPr/>
          <w:p>
            <w:pPr>
              <w:pStyle w:val="Compact"/>
              <w:spacing w:line="240" w:lineRule="auto" w:after="20"/>
              <w:ind w:firstLine="0"/>
              <w:jc w:val="left"/>
            </w:pPr>
            <w:r>
              <w:rPr>
                <w:sz w:val="17"/>
              </w:rPr>
              <w:t xml:space="preserve">build anterior conocido</w:t>
            </w:r>
          </w:p>
        </w:tc>
        <w:tc>
          <w:tcPr/>
          <w:p>
            <w:pPr>
              <w:pStyle w:val="Compact"/>
              <w:spacing w:line="240" w:lineRule="auto" w:after="20"/>
              <w:ind w:firstLine="0"/>
              <w:jc w:val="left"/>
            </w:pPr>
            <w:r>
              <w:rPr>
                <w:sz w:val="17"/>
              </w:rPr>
              <w:t xml:space="preserve">frontend móvil</w:t>
            </w:r>
          </w:p>
        </w:tc>
      </w:tr>
    </w:tbl>
    <w:bookmarkEnd w:id="57"/>
    <w:bookmarkStart w:id="58" w:name="fuentes-primarias-de-implementación"/>
    <w:p>
      <w:pPr>
        <w:pStyle w:val="Heading2"/>
        <w:keepNext/>
        <w:spacing w:line="264" w:lineRule="auto"/>
      </w:pPr>
      <w:r>
        <w:t xml:space="preserve">Fuentes primarias de implementación</w:t>
      </w:r>
    </w:p>
    <w:p>
      <w:pPr>
        <w:pStyle w:val="Compact"/>
        <w:numPr>
          <w:ilvl w:val="0"/>
          <w:numId w:val="1001"/>
        </w:numPr>
        <w:spacing w:line="396" w:lineRule="auto" w:after="100"/>
      </w:pPr>
      <w:r>
        <w:t xml:space="preserve">API: https://github.com/yersonct/SaborExpressBack/tree/main</w:t>
      </w:r>
    </w:p>
    <w:p>
      <w:pPr>
        <w:pStyle w:val="Compact"/>
        <w:numPr>
          <w:ilvl w:val="0"/>
          <w:numId w:val="1001"/>
        </w:numPr>
        <w:spacing w:line="396" w:lineRule="auto" w:after="100"/>
      </w:pPr>
      <w:r>
        <w:t xml:space="preserve">Web: https://github.com/yersonct/SaborExpressWeb/tree/main</w:t>
      </w:r>
    </w:p>
    <w:p>
      <w:pPr>
        <w:pStyle w:val="Compact"/>
        <w:numPr>
          <w:ilvl w:val="0"/>
          <w:numId w:val="1001"/>
        </w:numPr>
        <w:spacing w:line="396" w:lineRule="auto" w:after="100"/>
      </w:pPr>
      <w:r>
        <w:t xml:space="preserve">Móvil: https://github.com/yersonct/SaborExpressMovil/tree/main</w:t>
      </w:r>
    </w:p>
    <w:p>
      <w:pPr>
        <w:pStyle w:val="Compact"/>
        <w:numPr>
          <w:ilvl w:val="0"/>
          <w:numId w:val="1001"/>
        </w:numPr>
        <w:spacing w:line="396" w:lineRule="auto" w:after="100"/>
      </w:pPr>
      <w:r>
        <w:t xml:space="preserve">Referencia de presentación: https://github.com/jsgh1/SRD-v1/tree/dev/docs/docs-SRD</w:t>
      </w:r>
    </w:p>
    <w:p>
      <w:pPr>
        <w:pStyle w:val="FirstParagraph"/>
        <w:spacing w:line="396" w:lineRule="auto" w:after="100"/>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58"/>
    <w:bookmarkStart w:id="62" w:name="X14b689317292102427876aaa73c24da562b2638"/>
    <w:p>
      <w:pPr>
        <w:pStyle w:val="Heading2"/>
        <w:keepNext/>
        <w:spacing w:line="264" w:lineRule="auto"/>
      </w:pPr>
      <w:r>
        <w:t xml:space="preserve">14. Extractos de código verificados y explicación de responsabilidades</w:t>
      </w:r>
    </w:p>
    <w:bookmarkStart w:id="59" w:name="Xb52faa837f86661f75ecffe0314d7d052da129e"/>
    <w:p>
      <w:pPr>
        <w:pStyle w:val="Heading3"/>
        <w:keepNext/>
        <w:spacing w:line="264" w:lineRule="auto"/>
      </w:pPr>
      <w:r>
        <w:t xml:space="preserve">14.1 Configuración del motor relacional (extracto de archivo real)</w:t>
      </w:r>
    </w:p>
    <w:p>
      <w:pPr>
        <w:pStyle w:val="FirstParagraph"/>
        <w:spacing w:line="396" w:lineRule="auto" w:after="100"/>
      </w:pPr>
      <w:r>
        <w:t xml:space="preserve">El repositorio declara un selector de proveedor que conecta Entity Framework Core con el motor elegido. El fragmento siguiente sintetiza las ramas observadas en</w:t>
      </w:r>
      <w:r>
        <w:t xml:space="preserve"> </w:t>
      </w:r>
      <w:r>
        <w:rPr>
          <w:rStyle w:val="VerbatimChar"/>
        </w:rPr>
        <w:t xml:space="preserve">Configuration/DatabaseConfiguration.cs</w:t>
      </w:r>
      <w:r>
        <w:t xml:space="preserve">:</w:t>
      </w:r>
    </w:p>
    <w:p>
      <w:pPr>
        <w:pStyle w:val="SourceCode"/>
      </w:pPr>
      <w:r>
        <w:rPr>
          <w:rStyle w:val="KeywordTok"/>
        </w:rPr>
        <w:t xml:space="preserve">switch</w:t>
      </w:r>
      <w:r>
        <w:rPr>
          <w:rStyle w:val="NormalTok"/>
        </w:rPr>
        <w:t xml:space="preserve"> </w:t>
      </w:r>
      <w:r>
        <w:rPr>
          <w:rStyle w:val="OperatorTok"/>
        </w:rPr>
        <w:t xml:space="preserve">(</w:t>
      </w:r>
      <w:r>
        <w:rPr>
          <w:rStyle w:val="NormalTok"/>
        </w:rPr>
        <w:t xml:space="preserve">dbProvider</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"MySQL"</w:t>
      </w:r>
      <w:r>
        <w:rPr>
          <w:rStyle w:val="OperatorTok"/>
        </w:rPr>
        <w:t xml:space="preserve">:</w:t>
      </w:r>
      <w:r>
        <w:rPr>
          <w:rStyle w:val="NormalTok"/>
        </w:rPr>
        <w:t xml:space="preserve"> </w:t>
      </w:r>
      <w:r>
        <w:rPr>
          <w:rStyle w:val="FunctionTok"/>
        </w:rPr>
        <w:t xml:space="preserve">ConfigurarMySql</w:t>
      </w:r>
      <w:r>
        <w:rPr>
          <w:rStyle w:val="OperatorTok"/>
        </w:rPr>
        <w:t xml:space="preserve">(</w:t>
      </w:r>
      <w:r>
        <w:rPr>
          <w:rStyle w:val="NormalTok"/>
        </w:rPr>
        <w:t xml:space="preserve">options</w:t>
      </w:r>
      <w:r>
        <w:rPr>
          <w:rStyle w:val="OperatorTok"/>
        </w:rPr>
        <w:t xml:space="preserve">,</w:t>
      </w:r>
      <w:r>
        <w:rPr>
          <w:rStyle w:val="NormalTok"/>
        </w:rPr>
        <w:t xml:space="preserve"> configuration</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"SqlServer"</w:t>
      </w:r>
      <w:r>
        <w:rPr>
          <w:rStyle w:val="OperatorTok"/>
        </w:rPr>
        <w:t xml:space="preserve">:</w:t>
      </w:r>
      <w:r>
        <w:rPr>
          <w:rStyle w:val="NormalTok"/>
        </w:rPr>
        <w:t xml:space="preserve"> </w:t>
      </w:r>
      <w:r>
        <w:rPr>
          <w:rStyle w:val="FunctionTok"/>
        </w:rPr>
        <w:t xml:space="preserve">ConfigurarSqlServer</w:t>
      </w:r>
      <w:r>
        <w:rPr>
          <w:rStyle w:val="OperatorTok"/>
        </w:rPr>
        <w:t xml:space="preserve">(</w:t>
      </w:r>
      <w:r>
        <w:rPr>
          <w:rStyle w:val="NormalTok"/>
        </w:rPr>
        <w:t xml:space="preserve">options</w:t>
      </w:r>
      <w:r>
        <w:rPr>
          <w:rStyle w:val="OperatorTok"/>
        </w:rPr>
        <w:t xml:space="preserve">,</w:t>
      </w:r>
      <w:r>
        <w:rPr>
          <w:rStyle w:val="NormalTok"/>
        </w:rPr>
        <w:t xml:space="preserve"> configuration</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"PostgreSQL"</w:t>
      </w:r>
      <w:r>
        <w:rPr>
          <w:rStyle w:val="OperatorTok"/>
        </w:rPr>
        <w:t xml:space="preserve">:</w:t>
      </w:r>
      <w:r>
        <w:rPr>
          <w:rStyle w:val="NormalTok"/>
        </w:rPr>
        <w:t xml:space="preserve"> </w:t>
      </w:r>
      <w:r>
        <w:rPr>
          <w:rStyle w:val="FunctionTok"/>
        </w:rPr>
        <w:t xml:space="preserve">ConfigurarPostgres</w:t>
      </w:r>
      <w:r>
        <w:rPr>
          <w:rStyle w:val="OperatorTok"/>
        </w:rPr>
        <w:t xml:space="preserve">(</w:t>
      </w:r>
      <w:r>
        <w:rPr>
          <w:rStyle w:val="NormalTok"/>
        </w:rPr>
        <w:t xml:space="preserve">options</w:t>
      </w:r>
      <w:r>
        <w:rPr>
          <w:rStyle w:val="OperatorTok"/>
        </w:rPr>
        <w:t xml:space="preserve">,</w:t>
      </w:r>
      <w:r>
        <w:rPr>
          <w:rStyle w:val="NormalTok"/>
        </w:rPr>
        <w:t xml:space="preserve"> configuration</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br/>
      </w:r>
      <w:r>
        <w:rPr>
          <w:rStyle w:val="NormalTok"/>
        </w:rPr>
        <w:t xml:space="preserve">        $</w:t>
      </w:r>
      <w:r>
        <w:rPr>
          <w:rStyle w:val="StringTok"/>
        </w:rPr>
        <w:t xml:space="preserve">"Proveedor de base de datos no soportado: {dbProvider}"</w:t>
      </w:r>
      <w:r>
        <w:rPr>
          <w:rStyle w:val="OperatorTok"/>
        </w:rPr>
        <w:t xml:space="preserve">);</w:t>
      </w:r>
      <w:r>
        <w:br/>
      </w:r>
      <w:r>
        <w:rPr>
          <w:rStyle w:val="OperatorTok"/>
        </w:rPr>
        <w:t xml:space="preserve">}</w:t>
      </w:r>
    </w:p>
    <w:p>
      <w:pPr>
        <w:pStyle w:val="FirstParagraph"/>
        <w:spacing w:line="396" w:lineRule="auto" w:after="100"/>
      </w:pPr>
      <w:r>
        <w:t xml:space="preserve">Este selector no prueba por sí mismo que las migraciones del proyecto sean portables entre tres motores; esa afirmación exige ejecutar migraciones y CRUD en cada combinación de versiones.</w:t>
      </w:r>
    </w:p>
    <w:bookmarkEnd w:id="59"/>
    <w:bookmarkStart w:id="60" w:name="X5c3d8d3c7f4a6367387446ca6fd30dae46cbb5c"/>
    <w:p>
      <w:pPr>
        <w:pStyle w:val="Heading3"/>
        <w:keepNext/>
        <w:spacing w:line="264" w:lineRule="auto"/>
      </w:pPr>
      <w:r>
        <w:t xml:space="preserve">14.2 Capa HTTP y dominio de pedidos (fragmento de controlador)</w:t>
      </w:r>
    </w:p>
    <w:p>
      <w:pPr>
        <w:pStyle w:val="SourceCode"/>
      </w:pPr>
      <w:r>
        <w:rPr>
          <w:rStyle w:val="OperatorTok"/>
        </w:rPr>
        <w:t xml:space="preserve">[</w:t>
      </w:r>
      <w:r>
        <w:rPr>
          <w:rStyle w:val="NormalTok"/>
        </w:rPr>
        <w:t xml:space="preserve">Authorize</w:t>
      </w:r>
      <w:r>
        <w:rPr>
          <w:rStyle w:val="OperatorTok"/>
        </w:rPr>
        <w:t xml:space="preserve">]</w:t>
      </w:r>
      <w:r>
        <w:br/>
      </w:r>
      <w:r>
        <w:rPr>
          <w:rStyle w:val="OperatorTok"/>
        </w:rPr>
        <w:t xml:space="preserve">[</w:t>
      </w:r>
      <w:r>
        <w:rPr>
          <w:rStyle w:val="FunctionTok"/>
        </w:rPr>
        <w:t xml:space="preserve">Authorize</w:t>
      </w:r>
      <w:r>
        <w:rPr>
          <w:rStyle w:val="OperatorTok"/>
        </w:rPr>
        <w:t xml:space="preserve">(</w:t>
      </w:r>
      <w:r>
        <w:rPr>
          <w:rStyle w:val="NormalTok"/>
        </w:rPr>
        <w:t xml:space="preserve">Policy </w:t>
      </w:r>
      <w:r>
        <w:rPr>
          <w:rStyle w:val="OperatorTok"/>
        </w:rPr>
        <w:t xml:space="preserve">=</w:t>
      </w:r>
      <w:r>
        <w:rPr>
          <w:rStyle w:val="NormalTok"/>
        </w:rPr>
        <w:t xml:space="preserve"> </w:t>
      </w:r>
      <w:r>
        <w:rPr>
          <w:rStyle w:val="StringTok"/>
        </w:rPr>
        <w:t xml:space="preserve">"ActiveShift"</w:t>
      </w:r>
      <w:r>
        <w:rPr>
          <w:rStyle w:val="OperatorTok"/>
        </w:rPr>
        <w:t xml:space="preserve">)]</w:t>
      </w:r>
      <w:r>
        <w:br/>
      </w:r>
      <w:r>
        <w:rPr>
          <w:rStyle w:val="OperatorTok"/>
        </w:rPr>
        <w:t xml:space="preserve">[</w:t>
      </w:r>
      <w:r>
        <w:rPr>
          <w:rStyle w:val="NormalTok"/>
        </w:rPr>
        <w:t xml:space="preserve">ApiController</w:t>
      </w:r>
      <w:r>
        <w:rPr>
          <w:rStyle w:val="OperatorTok"/>
        </w:rPr>
        <w:t xml:space="preserve">]</w:t>
      </w:r>
      <w:r>
        <w:br/>
      </w:r>
      <w:r>
        <w:rPr>
          <w:rStyle w:val="OperatorTok"/>
        </w:rPr>
        <w:t xml:space="preserve">[</w:t>
      </w:r>
      <w:r>
        <w:rPr>
          <w:rStyle w:val="FunctionTok"/>
        </w:rPr>
        <w:t xml:space="preserve">Route</w:t>
      </w:r>
      <w:r>
        <w:rPr>
          <w:rStyle w:val="OperatorTok"/>
        </w:rPr>
        <w:t xml:space="preserve">(</w:t>
      </w:r>
      <w:r>
        <w:rPr>
          <w:rStyle w:val="StringTok"/>
        </w:rPr>
        <w:t xml:space="preserve">"api/Orders"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OrdersController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CommentTok"/>
        </w:rPr>
        <w:t xml:space="preserve">// POST /api/Orders delega la operación a IOrderService.</w:t>
      </w:r>
      <w:r>
        <w:br/>
      </w:r>
      <w:r>
        <w:rPr>
          <w:rStyle w:val="OperatorTok"/>
        </w:rPr>
        <w:t xml:space="preserve">}</w:t>
      </w:r>
    </w:p>
    <w:p>
      <w:pPr>
        <w:pStyle w:val="FirstParagraph"/>
        <w:spacing w:line="396" w:lineRule="auto" w:after="100"/>
      </w:pPr>
      <w:r>
        <w:t xml:space="preserve">Una autorización global por controlador no reemplaza comprobaciones de propiedad de pedido o pertenencia a sucursal. El</w:t>
      </w:r>
      <w:r>
        <w:t xml:space="preserve"> </w:t>
      </w:r>
      <w:r>
        <w:rPr>
          <w:rStyle w:val="VerbatimChar"/>
        </w:rPr>
        <w:t xml:space="preserve">OrderService</w:t>
      </w:r>
      <w:r>
        <w:t xml:space="preserve"> </w:t>
      </w:r>
      <w:r>
        <w:t xml:space="preserve">debe administrar el cálculo final y la consistencia de detalles.</w:t>
      </w:r>
    </w:p>
    <w:bookmarkEnd w:id="60"/>
    <w:bookmarkStart w:id="61" w:name="realtime-y-tareas-en-segundo-plano"/>
    <w:p>
      <w:pPr>
        <w:pStyle w:val="Heading3"/>
        <w:keepNext/>
        <w:spacing w:line="264" w:lineRule="auto"/>
      </w:pPr>
      <w:r>
        <w:t xml:space="preserve">14.3 Realtime y tareas en segundo plano</w:t>
      </w:r>
    </w:p>
    <w:p>
      <w:pPr>
        <w:pStyle w:val="FirstParagraph"/>
        <w:spacing w:line="396" w:lineRule="auto" w:after="100"/>
      </w:pPr>
      <w:r>
        <w:rPr>
          <w:rStyle w:val="VerbatimChar"/>
        </w:rPr>
        <w:t xml:space="preserve">Program.cs</w:t>
      </w:r>
      <w:r>
        <w:t xml:space="preserve"> </w:t>
      </w:r>
      <w:r>
        <w:t xml:space="preserve">registra</w:t>
      </w:r>
      <w:r>
        <w:t xml:space="preserve"> </w:t>
      </w:r>
      <w:r>
        <w:rPr>
          <w:rStyle w:val="VerbatimChar"/>
        </w:rPr>
        <w:t xml:space="preserve">AddSignalR()</w:t>
      </w:r>
      <w:r>
        <w:t xml:space="preserve"> </w:t>
      </w:r>
      <w:r>
        <w:t xml:space="preserve">y mapea</w:t>
      </w:r>
      <w:r>
        <w:t xml:space="preserve"> </w:t>
      </w:r>
      <w:r>
        <w:rPr>
          <w:rStyle w:val="VerbatimChar"/>
        </w:rPr>
        <w:t xml:space="preserve">NotificationHub</w:t>
      </w:r>
      <w:r>
        <w:t xml:space="preserve"> </w:t>
      </w:r>
      <w:r>
        <w:t xml:space="preserve">a</w:t>
      </w:r>
      <w:r>
        <w:t xml:space="preserve"> </w:t>
      </w:r>
      <w:r>
        <w:rPr>
          <w:rStyle w:val="VerbatimChar"/>
        </w:rPr>
        <w:t xml:space="preserve">/hubs/notifications</w:t>
      </w:r>
      <w:r>
        <w:t xml:space="preserve">. También registra servicios</w:t>
      </w:r>
      <w:r>
        <w:t xml:space="preserve"> </w:t>
      </w:r>
      <w:r>
        <w:rPr>
          <w:rStyle w:val="VerbatimChar"/>
        </w:rPr>
        <w:t xml:space="preserve">ShiftReminderBackgroundService</w:t>
      </w:r>
      <w:r>
        <w:t xml:space="preserve">,</w:t>
      </w:r>
      <w:r>
        <w:t xml:space="preserve"> </w:t>
      </w:r>
      <w:r>
        <w:rPr>
          <w:rStyle w:val="VerbatimChar"/>
        </w:rPr>
        <w:t xml:space="preserve">KitchenLinkNotifierBackgroundService</w:t>
      </w:r>
      <w:r>
        <w:t xml:space="preserve">,</w:t>
      </w:r>
      <w:r>
        <w:t xml:space="preserve"> </w:t>
      </w:r>
      <w:r>
        <w:rPr>
          <w:rStyle w:val="VerbatimChar"/>
        </w:rPr>
        <w:t xml:space="preserve">RoleExpirationBackgroundService</w:t>
      </w:r>
      <w:r>
        <w:t xml:space="preserve"> </w:t>
      </w:r>
      <w:r>
        <w:t xml:space="preserve">y</w:t>
      </w:r>
      <w:r>
        <w:t xml:space="preserve"> </w:t>
      </w:r>
      <w:r>
        <w:rPr>
          <w:rStyle w:val="VerbatimChar"/>
        </w:rPr>
        <w:t xml:space="preserve">WompiPendingPaymentsSyncService</w:t>
      </w:r>
      <w:r>
        <w:t xml:space="preserve">. No debe asumirse entrega garantizada por el solo hecho de emitir un mensaje SignalR. Se requiere reconciliación mediante consulta REST tras reconexión y pruebas de persistencia de notificaciones.</w:t>
      </w:r>
    </w:p>
    <w:bookmarkEnd w:id="61"/>
    <w:bookmarkEnd w:id="62"/>
    <w:bookmarkStart w:id="72" w:name="diagramas-para-soporte-y-mantenimiento"/>
    <w:p>
      <w:pPr>
        <w:pStyle w:val="Heading2"/>
        <w:keepNext/>
        <w:spacing w:line="264" w:lineRule="auto"/>
      </w:pPr>
      <w:r>
        <w:t xml:space="preserve">15. Diagramas para soporte y mantenimiento</w:t>
      </w:r>
    </w:p>
    <w:p>
      <w:pPr>
        <w:pStyle w:val="CaptionedFigure"/>
        <w:spacing w:line="396" w:lineRule="auto" w:after="100"/>
      </w:pPr>
      <w:r>
        <w:drawing>
          <wp:inline>
            <wp:extent cx="5943600" cy="6036999"/>
            <wp:effectExtent b="0" l="0" r="0" t="0"/>
            <wp:docPr descr="02_COMPONENTES" title="" id="64" name="Picture"/>
            <a:graphic>
              <a:graphicData uri="http://schemas.openxmlformats.org/drawingml/2006/picture">
                <pic:pic>
                  <pic:nvPicPr>
                    <pic:cNvPr descr="recursos/02_COMPONENTES.png" id="65" name="Picture"/>
                    <pic:cNvPicPr>
                      <a:picLocks noChangeArrowheads="1" noChangeAspect="1"/>
                    </pic:cNvPicPr>
                  </pic:nvPicPr>
                  <pic:blipFill>
                    <a:blip r:embed="rId63"/>
                    <a:stretch>
                      <a:fillRect/>
                    </a:stretch>
                  </pic:blipFill>
                  <pic:spPr bwMode="auto">
                    <a:xfrm>
                      <a:off x="0" y="0"/>
                      <a:ext cx="5943600" cy="6036999"/>
                    </a:xfrm>
                    <a:prstGeom prst="rect">
                      <a:avLst/>
                    </a:prstGeom>
                    <a:noFill/>
                    <a:ln w="9525">
                      <a:noFill/>
                      <a:headEnd/>
                      <a:tailEnd/>
                    </a:ln>
                  </pic:spPr>
                </pic:pic>
              </a:graphicData>
            </a:graphic>
          </wp:inline>
        </w:drawing>
      </w:r>
    </w:p>
    <w:p>
      <w:pPr>
        <w:pStyle w:val="ImageCaption"/>
        <w:spacing w:line="396" w:lineRule="auto" w:after="100"/>
      </w:pPr>
      <w:r>
        <w:t xml:space="preserve">02_COMPONENTES</w:t>
      </w:r>
    </w:p>
    <w:p>
      <w:pPr>
        <w:pStyle w:val="BodyText"/>
        <w:spacing w:line="396" w:lineRule="auto" w:after="100"/>
      </w:pPr>
      <w:r>
        <w:rPr>
          <w:i/>
          <w:iCs/>
        </w:rPr>
        <w:t xml:space="preserve">Nota. Elaboración para el estudio de caso SaborExpress; las figuras no certifican operaciones desplegadas.</w:t>
      </w:r>
    </w:p>
    <w:p>
      <w:pPr>
        <w:pStyle w:val="CaptionedFigure"/>
        <w:spacing w:line="396" w:lineRule="auto" w:after="100"/>
      </w:pPr>
      <w:r>
        <w:drawing>
          <wp:inline>
            <wp:extent cx="5943600" cy="491530"/>
            <wp:effectExtent b="0" l="0" r="0" t="0"/>
            <wp:docPr descr="05_SEQUENCE_PAYMENT" title="" id="67" name="Picture"/>
            <a:graphic>
              <a:graphicData uri="http://schemas.openxmlformats.org/drawingml/2006/picture">
                <pic:pic>
                  <pic:nvPicPr>
                    <pic:cNvPr descr="recursos/05_SEQUENCE_PAYMENT.png" id="68" name="Picture"/>
                    <pic:cNvPicPr>
                      <a:picLocks noChangeArrowheads="1" noChangeAspect="1"/>
                    </pic:cNvPicPr>
                  </pic:nvPicPr>
                  <pic:blipFill>
                    <a:blip r:embed="rId66"/>
                    <a:stretch>
                      <a:fillRect/>
                    </a:stretch>
                  </pic:blipFill>
                  <pic:spPr bwMode="auto">
                    <a:xfrm>
                      <a:off x="0" y="0"/>
                      <a:ext cx="5943600" cy="491530"/>
                    </a:xfrm>
                    <a:prstGeom prst="rect">
                      <a:avLst/>
                    </a:prstGeom>
                    <a:noFill/>
                    <a:ln w="9525">
                      <a:noFill/>
                      <a:headEnd/>
                      <a:tailEnd/>
                    </a:ln>
                  </pic:spPr>
                </pic:pic>
              </a:graphicData>
            </a:graphic>
          </wp:inline>
        </w:drawing>
      </w:r>
    </w:p>
    <w:p>
      <w:pPr>
        <w:pStyle w:val="ImageCaption"/>
        <w:spacing w:line="396" w:lineRule="auto" w:after="100"/>
      </w:pPr>
      <w:r>
        <w:t xml:space="preserve">05_SEQUENCE_PAYMENT</w:t>
      </w:r>
    </w:p>
    <w:p>
      <w:pPr>
        <w:pStyle w:val="BodyText"/>
        <w:spacing w:line="396" w:lineRule="auto" w:after="100"/>
      </w:pPr>
      <w:r>
        <w:rPr>
          <w:i/>
          <w:iCs/>
        </w:rPr>
        <w:t xml:space="preserve">Nota. Elaboración para el estudio de caso SaborExpress; las figuras no certifican operaciones desplegadas.</w:t>
      </w:r>
    </w:p>
    <w:p>
      <w:pPr>
        <w:pStyle w:val="CaptionedFigure"/>
        <w:spacing w:line="396" w:lineRule="auto" w:after="100"/>
      </w:pPr>
      <w:r>
        <w:drawing>
          <wp:inline>
            <wp:extent cx="5943600" cy="6188148"/>
            <wp:effectExtent b="0" l="0" r="0" t="0"/>
            <wp:docPr descr="09_AISLAMIENTO_ROLES" title="" id="70" name="Picture"/>
            <a:graphic>
              <a:graphicData uri="http://schemas.openxmlformats.org/drawingml/2006/picture">
                <pic:pic>
                  <pic:nvPicPr>
                    <pic:cNvPr descr="recursos/09_AISLAMIENTO_ROLES.png" id="71" name="Picture"/>
                    <pic:cNvPicPr>
                      <a:picLocks noChangeArrowheads="1" noChangeAspect="1"/>
                    </pic:cNvPicPr>
                  </pic:nvPicPr>
                  <pic:blipFill>
                    <a:blip r:embed="rId69"/>
                    <a:stretch>
                      <a:fillRect/>
                    </a:stretch>
                  </pic:blipFill>
                  <pic:spPr bwMode="auto">
                    <a:xfrm>
                      <a:off x="0" y="0"/>
                      <a:ext cx="5943600" cy="6188148"/>
                    </a:xfrm>
                    <a:prstGeom prst="rect">
                      <a:avLst/>
                    </a:prstGeom>
                    <a:noFill/>
                    <a:ln w="9525">
                      <a:noFill/>
                      <a:headEnd/>
                      <a:tailEnd/>
                    </a:ln>
                  </pic:spPr>
                </pic:pic>
              </a:graphicData>
            </a:graphic>
          </wp:inline>
        </w:drawing>
      </w:r>
    </w:p>
    <w:p>
      <w:pPr>
        <w:pStyle w:val="ImageCaption"/>
        <w:spacing w:line="396" w:lineRule="auto" w:after="100"/>
      </w:pPr>
      <w:r>
        <w:t xml:space="preserve">09_AISLAMIENTO_ROLES</w:t>
      </w:r>
    </w:p>
    <w:p>
      <w:pPr>
        <w:pStyle w:val="BodyText"/>
        <w:spacing w:line="396" w:lineRule="auto" w:after="100"/>
      </w:pPr>
      <w:r>
        <w:rPr>
          <w:i/>
          <w:iCs/>
        </w:rPr>
        <w:t xml:space="preserve">Nota. Elaboración para el estudio de caso SaborExpress; las figuras no certifican operaciones desplegadas.</w:t>
      </w:r>
      <w:r>
        <w:t xml:space="preserve"> </w:t>
      </w:r>
      <w:r>
        <w:t xml:space="preserve">## 16. Cuaderno de diagnóstico y despliegue</w:t>
      </w:r>
    </w:p>
    <w:p>
      <w:pPr>
        <w:pStyle w:val="Compact"/>
        <w:numPr>
          <w:ilvl w:val="0"/>
          <w:numId w:val="1002"/>
        </w:numPr>
        <w:spacing w:line="396" w:lineRule="auto" w:after="100"/>
      </w:pPr>
      <w:r>
        <w:t xml:space="preserve">Registrar SHA y entorno. 2. Verificar base de datos con credenciales de mínimo privilegio. 3. Confirmar servicio ASP.NET y configuración de</w:t>
      </w:r>
      <w:r>
        <w:t xml:space="preserve"> </w:t>
      </w:r>
      <w:r>
        <w:rPr>
          <w:rStyle w:val="VerbatimChar"/>
        </w:rPr>
        <w:t xml:space="preserve">AllowedOrigins</w:t>
      </w:r>
      <w:r>
        <w:t xml:space="preserve">. 4. Consultar Swagger y logs sin secretos. 5. Verificar 401 y 403 en rutas protegidas. 6. Revisar notificaciones con dos clientes conectados. 7. Verificar Wompi sandbox con referencia y checksum. 8. Registrar incidentes y plan de reversión. Estos pasos son una lista de operación, no resultados de una intervención realizada.</w:t>
      </w:r>
    </w:p>
    <w:bookmarkEnd w:id="72"/>
    <w:bookmarkEnd w:id="73"/>
    <w:sectPr>
      <w:footerReference w:type="default" r:id="rId10"/>
      <w:pgSz w:h="15840" w:w="12240"/>
      <w:pgMar w:bottom="1440" w:left="1440" w:right="1440" w:top="1440" w:header="691"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SaborExpress | Yerson Stiven Cuellar Rubiano | Ficha 3145555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60" w:lineRule="auto"/>
    </w:pPr>
    <w:rPr>
      <w:rFonts w:ascii="Times New Roman" w:hAnsi="Times New Roman"/>
      <w:color w:val="191E28"/>
      <w:sz w:val="24"/>
    </w:rPr>
  </w:style>
  <w:style w:styleId="BodyText" w:type="paragraph">
    <w:name w:val="Body Text"/>
    <w:basedOn w:val="Normal"/>
    <w:link w:val="BodyTextChar"/>
    <w:qFormat/>
    <w:pPr>
      <w:spacing w:after="60" w:before="180" w:line="360" w:lineRule="auto"/>
    </w:pPr>
    <w:rPr>
      <w:rFonts w:ascii="Times New Roman" w:hAnsi="Times New Roman"/>
      <w:color w:val="191E28"/>
      <w:sz w:val="24"/>
    </w:rPr>
  </w:style>
  <w:style w:customStyle="1" w:styleId="FirstParagraph" w:type="paragraph">
    <w:name w:val="First Paragraph"/>
    <w:basedOn w:val="BodyText"/>
    <w:next w:val="BodyText"/>
    <w:qFormat/>
    <w:pPr>
      <w:spacing w:after="60" w:line="360" w:lineRule="auto"/>
    </w:pPr>
    <w:rPr>
      <w:rFonts w:ascii="Times New Roman" w:hAnsi="Times New Roman"/>
      <w:color w:val="191E28"/>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2026-10-15T01:17:10Z</dcterms:created>
  <dcterms:modified xsi:type="dcterms:W3CDTF">2026-10-15T01:17:10Z</dcterms:modified>
</cp:coreProperties>
</file>

<file path=docProps/custom.xml><?xml version="1.0" encoding="utf-8"?>
<Properties xmlns="http://schemas.openxmlformats.org/officeDocument/2006/custom-properties" xmlns:vt="http://schemas.openxmlformats.org/officeDocument/2006/docPropsVTypes"/>
</file>