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395fb80c4aa9e2d87735fe410b777cf1ce98769"/>
    <w:p>
      <w:pPr>
        <w:pStyle w:val="Heading1"/>
      </w:pPr>
      <w:r>
        <w:t xml:space="preserve">Plan de riesgos, calidad y continuidad del proyecto SaborExpress</w:t>
      </w:r>
    </w:p>
    <w:p>
      <w:pPr>
        <w:pStyle w:val="FirstParagraph"/>
      </w:pPr>
      <w:r>
        <w:rPr>
          <w:b/>
          <w:bCs/>
        </w:rPr>
        <w:t xml:space="preserve">Autor:</w:t>
      </w:r>
      <w:r>
        <w:t xml:space="preserve"> </w:t>
      </w:r>
      <w:r>
        <w:t xml:space="preserve">Yerson Stiven Cuellar Rubiano.</w:t>
      </w:r>
      <w:r>
        <w:t xml:space="preserve"> </w:t>
      </w:r>
      <w:r>
        <w:rPr>
          <w:b/>
          <w:bCs/>
        </w:rPr>
        <w:t xml:space="preserve">Ficha:</w:t>
      </w:r>
      <w:r>
        <w:t xml:space="preserve"> </w:t>
      </w:r>
      <w:r>
        <w:t xml:space="preserve">3145555.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14 de octubre de 2026.</w:t>
      </w:r>
      <w:r>
        <w:t xml:space="preserve"> </w:t>
      </w:r>
      <w:r>
        <w:rPr>
          <w:b/>
          <w:bCs/>
        </w:rPr>
        <w:t xml:space="preserve">Naturaleza:</w:t>
      </w:r>
      <w:r>
        <w:t xml:space="preserve"> </w:t>
      </w:r>
      <w:r>
        <w:t xml:space="preserve">plan propuesto basado en inspección de repositorios.</w:t>
      </w:r>
    </w:p>
    <w:bookmarkStart w:id="20" w:name="identificación-y-alcance-de-riesgos"/>
    <w:p>
      <w:pPr>
        <w:pStyle w:val="Heading2"/>
      </w:pPr>
      <w:r>
        <w:t xml:space="preserve">1. Identificación y alcance de riesgos</w:t>
      </w:r>
    </w:p>
    <w:p>
      <w:pPr>
        <w:pStyle w:val="FirstParagraph"/>
      </w:pPr>
      <w:r>
        <w:t xml:space="preserve">Un riesgo es un evento incierto que puede afectar costo, seguridad, calidad, plazo o confianza. No se asignan porcentajes de probabilidad sin datos históricos. La severidad se propone mediante valoración ordinal y debe ratificarse con el responsable técnico. La gestión se inspira en ciclo identificar–analizar–tratar–verificar–actualizar. Revisar cada cambio de código y en cada hito de entrega.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Medida propuesta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 de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R-01 Autorización entre sedes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Pedidos, empleados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exposición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 por sede, role y recurso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QA-SEC-03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R-02 Webhook repetido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cobro imputado dos veces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de idempotencia, transacción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QA-PAY-02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R-03 Firma Wompi inválida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suplantación 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checksum y referencia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QA-PAY-01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R-04 Migración en startup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Esquema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caída, colisión al despliegue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migración controlada y respaldo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restauración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R-05 Versiones clientes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Compatibilidad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fallos de pedidos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contratos versionados y regresión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de contrato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R-06 Filtración de secretos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API/pagos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credenciales expuestas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escaneo, rotación, vault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 de escaneo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R-07 Fallo de conectividad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pedidos duplicados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idempotencia, recuperación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offline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R-08 Dependencia de proveedor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Servicios externos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indisponibilidad 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timeouts, cola y estado explícito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simulación caída</w:t>
            </w:r>
          </w:p>
        </w:tc>
      </w:tr>
    </w:tbl>
    <w:bookmarkEnd w:id="20"/>
    <w:bookmarkStart w:id="21" w:name="gestión-del-cambio"/>
    <w:p>
      <w:pPr>
        <w:pStyle w:val="Heading2"/>
      </w:pPr>
      <w:r>
        <w:t xml:space="preserve">2. Gestión del cambio</w:t>
      </w:r>
    </w:p>
    <w:p>
      <w:pPr>
        <w:pStyle w:val="FirstParagraph"/>
      </w:pPr>
      <w:r>
        <w:t xml:space="preserve">Antes del merge debe existir issue que vincule código, requisito y QA. El pull request debe describir modificación, migración, prueba, autorización, riesgo y plan de retroceso. Evitar commit de secretos; proteger rama principal; versionar los anexos técnicos simultáneamente. Cambios de tarifa y disponibilidad en servicios externos exigen nueva cotización.</w:t>
      </w:r>
    </w:p>
    <w:bookmarkEnd w:id="21"/>
    <w:bookmarkStart w:id="22" w:name="calidad-entrega-y-archivo"/>
    <w:p>
      <w:pPr>
        <w:pStyle w:val="Heading2"/>
      </w:pPr>
      <w:r>
        <w:t xml:space="preserve">3. Calidad, entrega y archivo</w:t>
      </w:r>
    </w:p>
    <w:p>
      <w:pPr>
        <w:pStyle w:val="FirstParagraph"/>
      </w:pPr>
      <w:r>
        <w:t xml:space="preserve">Una entrega documental aceptable dispone de fuente primaria, índice navegable, tablas rotuladas, diagramas legibles, bibliografía comprobable y archivo editable. Una entrega de software aceptable requiere compilar y superar casos técnicos previstos en el ambiente acordado; ambas condiciones son distintas. Los artefactos reproducibles deben conservar SHA, licencia y fechas.</w:t>
      </w:r>
    </w:p>
    <w:bookmarkEnd w:id="22"/>
    <w:bookmarkStart w:id="23" w:name="seguimiento-por-hito"/>
    <w:p>
      <w:pPr>
        <w:pStyle w:val="Heading2"/>
      </w:pPr>
      <w:r>
        <w:t xml:space="preserve">4. Seguimiento por hito</w:t>
      </w:r>
    </w:p>
    <w:p>
      <w:pPr>
        <w:pStyle w:val="FirstParagraph"/>
      </w:pPr>
      <w:r>
        <w:t xml:space="preserve">Se proponen hitos: línea base y configuración, contratos y datos, pedidos y pagos, operaciones de reparto/cocina, seguridad y recuperación, evaluación empírica y sustentación. Cada hito documentará evidencia, observaciones, acciones, responsable y aprobación; ninguna fase se da por terminada solo por escritura documental.</w:t>
      </w:r>
    </w:p>
    <w:bookmarkEnd w:id="23"/>
    <w:bookmarkEnd w:id="24"/>
    <w:sect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60" w:line="360" w:lineRule="auto"/>
    </w:pPr>
    <w:rPr>
      <w:rFonts w:ascii="Times New Roman" w:hAnsi="Times New Roman"/>
      <w:color w:val="191E28"/>
      <w:sz w:val="24"/>
    </w:rPr>
  </w:style>
  <w:style w:styleId="BodyText" w:type="paragraph">
    <w:name w:val="Body Text"/>
    <w:basedOn w:val="Normal"/>
    <w:link w:val="BodyTextChar"/>
    <w:qFormat/>
    <w:pPr>
      <w:spacing w:after="60" w:before="180" w:line="360" w:lineRule="auto"/>
    </w:pPr>
    <w:rPr>
      <w:rFonts w:ascii="Times New Roman" w:hAnsi="Times New Roman"/>
      <w:color w:val="191E28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60" w:line="360" w:lineRule="auto"/>
    </w:pPr>
    <w:rPr>
      <w:rFonts w:ascii="Times New Roman" w:hAnsi="Times New Roman"/>
      <w:color w:val="191E28"/>
      <w:sz w:val="24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hAnsi="Times New Roman"/>
      <w:sz w:val="2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2026-10-15T01:17:25Z</dcterms:created>
  <dcterms:modified xsi:type="dcterms:W3CDTF">2026-10-15T01:17:25Z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