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db4f2c3925084858d034dd6e0fdbd83d75bf67"/>
    <w:p>
      <w:pPr>
        <w:pStyle w:val="Heading1"/>
      </w:pPr>
      <w:r>
        <w:t xml:space="preserve">Informe final de ingeniería — versión documental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síntesis-del-trabajo"/>
    <w:p>
      <w:pPr>
        <w:pStyle w:val="Heading2"/>
      </w:pPr>
      <w:r>
        <w:t xml:space="preserve">1. Síntesis del trabajo</w:t>
      </w:r>
    </w:p>
    <w:p>
      <w:pPr>
        <w:pStyle w:val="FirstParagraph"/>
      </w:pPr>
      <w:r>
        <w:t xml:space="preserve">Este expediente reúne un análisis del estado de código de SaborExpress a octubre de 2026 y documentos de requisitos, diseño, datos, interfaz, operación e investigación. No se ha realizado una evaluación experimental ni aceptación del sistema.</w:t>
      </w:r>
    </w:p>
    <w:bookmarkEnd w:id="20"/>
    <w:bookmarkStart w:id="21" w:name="sistema-caracterizado"/>
    <w:p>
      <w:pPr>
        <w:pStyle w:val="Heading2"/>
      </w:pPr>
      <w:r>
        <w:t xml:space="preserve">2. Sistema caracterizado</w:t>
      </w:r>
    </w:p>
    <w:p>
      <w:pPr>
        <w:pStyle w:val="FirstParagraph"/>
      </w:pPr>
      <w:r>
        <w:t xml:space="preserve">API central ASP.NET Core 8, EF Core, JWT, SignalR y procesos hospedados; interfaz administrativa web Next.js 16/React 19; móvil Expo 57/React Native 0.86; persistencia relacional con configuración de motores alternativos. Existe integración programada con Wompi que exige validación real en sandbox.</w:t>
      </w:r>
    </w:p>
    <w:bookmarkEnd w:id="21"/>
    <w:bookmarkStart w:id="22" w:name="evidencia-y-método"/>
    <w:p>
      <w:pPr>
        <w:pStyle w:val="Heading2"/>
      </w:pPr>
      <w:r>
        <w:t xml:space="preserve">3. Evidencia y método</w:t>
      </w:r>
    </w:p>
    <w:p>
      <w:pPr>
        <w:pStyle w:val="FirstParagraph"/>
      </w:pPr>
      <w:r>
        <w:t xml:space="preserve">Se consultaron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los manifiestos, controladores de dominio, modelos de entidad y estructura de carpetas. Se construyó una matriz de brechas documentales y pruebas futuras. Este informe puede servir como línea base para la presentación del proyecto, no como demostración de rendimiento.</w:t>
      </w:r>
    </w:p>
    <w:bookmarkEnd w:id="22"/>
    <w:bookmarkStart w:id="23" w:name="principales-entregables-de-la-carpeta"/>
    <w:p>
      <w:pPr>
        <w:pStyle w:val="Heading2"/>
      </w:pPr>
      <w:r>
        <w:t xml:space="preserve">4. Principales entregables de la carpeta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y acta de constitución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funcional y propuesta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arquitectónico y diagramas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técnico y de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por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y catálogo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Pruebas/trazabilidad/mejora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 científico ES y EN</w:t>
            </w:r>
          </w:p>
        </w:tc>
      </w:tr>
    </w:tbl>
    <w:bookmarkEnd w:id="23"/>
    <w:bookmarkStart w:id="24" w:name="conclusiones-y-próximas-actividades"/>
    <w:p>
      <w:pPr>
        <w:pStyle w:val="Heading2"/>
      </w:pPr>
      <w:r>
        <w:t xml:space="preserve">5. Conclusiones y próximas actividades</w:t>
      </w:r>
    </w:p>
    <w:p>
      <w:pPr>
        <w:pStyle w:val="FirstParagraph"/>
      </w:pPr>
      <w:r>
        <w:t xml:space="preserve">El software puede caracterizarse como una solución modular multi-cliente. El conjunto de documentos elimina vacíos y corrige descripciones obsoletas. La mejora prioritaria es ejecutar pruebas reproducibles de integridad, pagos, autorizaciones, usabilidad y migraciones; completar capturas reales y actas de aprobación.</w:t>
      </w:r>
    </w:p>
    <w:p>
      <w:pPr>
        <w:pStyle w:val="BodyText"/>
      </w:pPr>
      <w:r>
        <w:rPr>
          <w:b/>
          <w:bCs/>
        </w:rPr>
        <w:t xml:space="preserve">Aprobación del equipo / instructor:</w:t>
      </w:r>
      <w:r>
        <w:t xml:space="preserve"> </w:t>
      </w:r>
      <w:r>
        <w:t xml:space="preserve">pendiente; no se inventa firma.</w:t>
      </w:r>
    </w:p>
    <w:bookmarkEnd w:id="24"/>
    <w:bookmarkStart w:id="25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5"/>
    <w:bookmarkEnd w:id="26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2026-10-15T00:06:43Z</dcterms:created>
  <dcterms:modified xsi:type="dcterms:W3CDTF">2026-10-15T00:06:43Z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