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60fd8ae3b6fdb5beb3001854df4a9fefea8ac3"/>
    <w:p>
      <w:pPr>
        <w:pStyle w:val="Heading1"/>
      </w:pPr>
      <w:r>
        <w:t xml:space="preserve">Especificación de requisitos de software (SRS)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Basada en ISO/IEC/IEEE 29148:2018</w:t>
      </w:r>
    </w:p>
    <w:p>
      <w:pPr>
        <w:pStyle w:val="BodyText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propósito-alcance-y-lectores"/>
    <w:p>
      <w:pPr>
        <w:pStyle w:val="Heading2"/>
      </w:pPr>
      <w:r>
        <w:t xml:space="preserve">1. Propósito, alcance y lectores</w:t>
      </w:r>
    </w:p>
    <w:p>
      <w:pPr>
        <w:pStyle w:val="FirstParagraph"/>
      </w:pPr>
      <w:r>
        <w:t xml:space="preserve">SaborExpress es una solución de apoyo a operaciones gastronómicas con API central, portal administrativo web y aplicación móvil. Este documento traduce capacidades reconocibles del repositorio a requisitos verificables; no constituye aceptación contractual ni certificación del sistema. Destinatarios: equipo de desarrollo, analista, instructor, QA, operación y responsables de producto.</w:t>
      </w:r>
    </w:p>
    <w:bookmarkEnd w:id="20"/>
    <w:bookmarkStart w:id="22" w:name="contexto-y-límites"/>
    <w:p>
      <w:pPr>
        <w:pStyle w:val="Heading2"/>
      </w:pPr>
      <w:r>
        <w:t xml:space="preserve">2. Contexto y límites</w:t>
      </w:r>
    </w:p>
    <w:p>
      <w:pPr>
        <w:pStyle w:val="FirstParagraph"/>
      </w:pPr>
      <w:r>
        <w:t xml:space="preserve">Comprende registro/autenticación, gestión de sedes, personal, productos, pedidos, pagos, repartos, notificaciones y administración. Integra Wompi mediante endpoints de inicialización, conciliación y webhook; depende de red y credenciales de servicios externos. No se confirma en estos repositorios una aplicación de escritorio independiente, despliegue productivo estable ni certificación bancaria.</w:t>
      </w:r>
    </w:p>
    <w:bookmarkStart w:id="21" w:name="actores"/>
    <w:p>
      <w:pPr>
        <w:pStyle w:val="Heading3"/>
      </w:pPr>
      <w:r>
        <w:t xml:space="preserve">Actores</w:t>
      </w:r>
    </w:p>
    <w:p>
      <w:pPr>
        <w:pStyle w:val="FirstParagraph"/>
      </w:pPr>
      <w:r>
        <w:t xml:space="preserve">Gerente, administrador de sede, cliente, cajero, cocinero, mesero y repartidor. Los nombres exactos de roles y las asignaciones de permisos deben confrontarse con</w:t>
      </w:r>
      <w:r>
        <w:t xml:space="preserve"> </w:t>
      </w:r>
      <w:r>
        <w:rPr>
          <w:rStyle w:val="VerbatimChar"/>
        </w:rPr>
        <w:t xml:space="preserve">Shared/Constants/RoleNames</w:t>
      </w:r>
      <w:r>
        <w:t xml:space="preserve"> </w:t>
      </w:r>
      <w:r>
        <w:t xml:space="preserve">y los seeders. El proveedor Wompi participa como sistema externo.</w:t>
      </w:r>
    </w:p>
    <w:bookmarkEnd w:id="21"/>
    <w:bookmarkEnd w:id="22"/>
    <w:bookmarkStart w:id="23" w:name="requisitos-funcionales"/>
    <w:p>
      <w:pPr>
        <w:pStyle w:val="Heading2"/>
      </w:pPr>
      <w:r>
        <w:t xml:space="preserve">3. Requisitos funcionales</w:t>
      </w:r>
    </w:p>
    <w:p>
      <w:pPr>
        <w:pStyle w:val="FirstParagraph"/>
      </w:pPr>
      <w:r>
        <w:rPr>
          <w:b/>
          <w:bCs/>
        </w:rPr>
        <w:t xml:space="preserve">Convención:</w:t>
      </w:r>
      <w:r>
        <w:t xml:space="preserve"> </w:t>
      </w:r>
      <w:r>
        <w:t xml:space="preserve">la columna «evidencia» significa que el código contiene un punto de entrada o pantalla; la columna no afirma que el caso de uso pasó una prueba funcional.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inicial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sesión con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+ cliente de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Recuperar contraseña mediante código y restablecimiento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Administrar permisos y asignación de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Controllers/Roles,Permissions,UserRoles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y actualizar 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BranchesController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su sede asignada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/api/Branches/mine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empleados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EmployeesController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horarios y turnos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EmployeeSchedulesController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y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categorías y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ProductsController/CategoriesController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productos por sede o 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/api/Products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Cliente/cajero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 pedidos con detalle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/api/Orders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Filtrar pedidos por mesa, cliente y 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/api/Orders/…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estado de pedido con autorización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/api/Orders/{id}/status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pedido propio según restricciones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/api/Orders/{id}/cancel-mine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y consultar pagos por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pago digital Wompi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/api/Payments/wompi/init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 de 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Informar resultado por webhook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/api/Payments/wompi/webhook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API; validar 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cobro con QR Wompi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/api/Payments/wompi/cashier-init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Asignar repartidor a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/api/Deliveries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Repartidor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estado de entrega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/api/Deliveries/{id}/status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Calificar reparto asociado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/api/Deliveries/{id}/rating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sus 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y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Visualizar tablero de pedidos en preparación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PublicKitchenController y componente KitchenBoardPublic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y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sede más cercana por 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/api/Branches/nearest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mesas, pedidos y menú diario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Tables,Orders,DailyMenu Controllers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 reportes operativos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src/app/reports/page.tsx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identificada; funcionalidad a probar</w:t>
            </w:r>
          </w:p>
        </w:tc>
      </w:tr>
    </w:tbl>
    <w:bookmarkEnd w:id="23"/>
    <w:bookmarkStart w:id="24" w:name="requisitos-no-funcionales"/>
    <w:p>
      <w:pPr>
        <w:pStyle w:val="Heading2"/>
      </w:pPr>
      <w:r>
        <w:t xml:space="preserve">4. Requisitos no funcionales</w:t>
      </w:r>
    </w:p>
    <w:p>
      <w:pPr>
        <w:pStyle w:val="FirstParagraph"/>
      </w:pPr>
      <w:r>
        <w:t xml:space="preserve">Los criterios siguientes son objetivos de aceptación propuestos, no mediciones efectuadas.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por rol y por recurso (sede, propietario) en cada operación sensible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accesos cruzados en batería negativa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con expiración, validación, rotación o revocación según diseño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token vencido/manipulado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Webhook con validación criptográfica, idempotencia y rastreo de referencia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Reenvío idéntico no duplica abono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Transacciones coherentes para pedido/pago/entrega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estados contradictorios en escenarios de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carga nominal, p50/p95 HTTP y SignalR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Medir con entorno versionado; sin umbral inventado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Recuperación de caídas de API y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Ensayos de fallo y recuperación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Instalación reproducible en entorno de desarrollo y 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variables y dependencias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Organización modular controller/service/repository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por pares + checks estáticos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Ensayar proveedor relacional realmente elegido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Migraciones y CRUD pasan en motor escogido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críticas de cliente, cajero y repartidor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con participantes y tasa de éxito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Etiquetas, navegación por teclado y contraste adecuados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 automática + revisión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Minimización de datos y no exposición de claves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Escaneo de secretos + políticas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Errores trazables sin credenciales ni datos financieros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Correlación de logs por transacción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consistentes con preferencias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idioma/locale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Copias y restauración comprobadas del proveedor seleccionado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Ensayo aislado documentado</w:t>
            </w:r>
          </w:p>
        </w:tc>
      </w:tr>
    </w:tbl>
    <w:bookmarkEnd w:id="24"/>
    <w:bookmarkStart w:id="25" w:name="reglas-de-negocio-y-restricciones"/>
    <w:p>
      <w:pPr>
        <w:pStyle w:val="Heading2"/>
      </w:pPr>
      <w:r>
        <w:t xml:space="preserve">5. Reglas de negocio y restricciones</w:t>
      </w:r>
    </w:p>
    <w:p>
      <w:pPr>
        <w:pStyle w:val="Compact"/>
        <w:numPr>
          <w:ilvl w:val="0"/>
          <w:numId w:val="1001"/>
        </w:numPr>
      </w:pPr>
      <w:r>
        <w:t xml:space="preserve">Un pedido se vincula a una sede; puede provenir de cliente, empleado o mesa y opcionalmente asociarse a una dirección de entrega.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Order.CustomerId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AddressId</w:t>
      </w:r>
      <w:r>
        <w:t xml:space="preserve"> </w:t>
      </w:r>
      <w:r>
        <w:t xml:space="preserve">permiten escenarios distintos. El servicio debe validar la coherencia según tipo de pedido.</w:t>
      </w:r>
    </w:p>
    <w:p>
      <w:pPr>
        <w:pStyle w:val="Compact"/>
        <w:numPr>
          <w:ilvl w:val="0"/>
          <w:numId w:val="1001"/>
        </w:numPr>
      </w:pPr>
      <w:r>
        <w:t xml:space="preserve">Un detalle identifica producto, cantidad, precio unitario, subtotal y estado; la edición del detalle deja trazabilidad histórica cuando corresponda.</w:t>
      </w:r>
    </w:p>
    <w:p>
      <w:pPr>
        <w:pStyle w:val="Compact"/>
        <w:numPr>
          <w:ilvl w:val="0"/>
          <w:numId w:val="1001"/>
        </w:numPr>
      </w:pPr>
      <w:r>
        <w:t xml:space="preserve">Un pago pertenece a un pedido.</w:t>
      </w:r>
      <w:r>
        <w:t xml:space="preserve"> </w:t>
      </w:r>
      <w:r>
        <w:rPr>
          <w:rStyle w:val="VerbatimChar"/>
        </w:rPr>
        <w:t xml:space="preserve">CashierId</w:t>
      </w:r>
      <w:r>
        <w:t xml:space="preserve"> </w:t>
      </w:r>
      <w:r>
        <w:t xml:space="preserve">puede ser nulo en la integración digital directa.</w:t>
      </w:r>
    </w:p>
    <w:p>
      <w:pPr>
        <w:pStyle w:val="Compact"/>
        <w:numPr>
          <w:ilvl w:val="0"/>
          <w:numId w:val="1001"/>
        </w:numPr>
      </w:pPr>
      <w:r>
        <w:t xml:space="preserve">El controlador de pedidos contempla una restricción para no confirmar manualmente pedidos con intentos recientes de Wompi pendientes. El comportamiento completo exige prueba de servicio y webhook.</w:t>
      </w:r>
    </w:p>
    <w:p>
      <w:pPr>
        <w:pStyle w:val="Compact"/>
        <w:numPr>
          <w:ilvl w:val="0"/>
          <w:numId w:val="1001"/>
        </w:numPr>
      </w:pPr>
      <w:r>
        <w:t xml:space="preserve">El acceso de empleados y repartidores depende de roles, sede y en algunas acciones de la política</w:t>
      </w:r>
      <w:r>
        <w:t xml:space="preserve"> </w:t>
      </w:r>
      <w:r>
        <w:rPr>
          <w:rStyle w:val="VerbatimChar"/>
        </w:rPr>
        <w:t xml:space="preserve">ActiveShift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Productos con</w:t>
      </w:r>
      <w:r>
        <w:t xml:space="preserve"> </w:t>
      </w:r>
      <w:r>
        <w:rPr>
          <w:rStyle w:val="VerbatimChar"/>
        </w:rPr>
        <w:t xml:space="preserve">BranchId</w:t>
      </w:r>
      <w:r>
        <w:t xml:space="preserve"> </w:t>
      </w:r>
      <w:r>
        <w:t xml:space="preserve">nulo se interpretan en el modelo como globales; los asignados a sede se restringen a esa sede.</w:t>
      </w:r>
    </w:p>
    <w:p>
      <w:pPr>
        <w:pStyle w:val="Compact"/>
        <w:numPr>
          <w:ilvl w:val="0"/>
          <w:numId w:val="1001"/>
        </w:numPr>
      </w:pPr>
      <w:r>
        <w:t xml:space="preserve">El flujo de cambios sensibles debe considerar auditoría, permisos y validación de propiedad del recurso.</w:t>
      </w:r>
    </w:p>
    <w:bookmarkEnd w:id="25"/>
    <w:bookmarkStart w:id="26" w:name="interfaces-y-dependencias"/>
    <w:p>
      <w:pPr>
        <w:pStyle w:val="Heading2"/>
      </w:pPr>
      <w:r>
        <w:t xml:space="preserve">6. Interfaces y dependencias</w:t>
      </w:r>
    </w:p>
    <w:p>
      <w:pPr>
        <w:pStyle w:val="FirstParagraph"/>
      </w:pPr>
      <w:r>
        <w:t xml:space="preserve">Cliente web: Next.js 16, React 19. Cliente móvil: Expo 57, React Native 0.86. API: ASP.NET Core 8 con JSON, JWT Bearer y SignalR. Persistencia: EF Core y motor seleccionable MySQL, SQL Server o PostgreSQL. Servicios externos: Wompi, correo y geocodificación donde el despliegue los configure.</w:t>
      </w:r>
    </w:p>
    <w:bookmarkEnd w:id="26"/>
    <w:bookmarkStart w:id="27" w:name="escenarios-de-aceptación-por-flujo"/>
    <w:p>
      <w:pPr>
        <w:pStyle w:val="Heading2"/>
      </w:pPr>
      <w:r>
        <w:t xml:space="preserve">7. Escenarios de aceptación por flujo</w:t>
      </w:r>
    </w:p>
    <w:p>
      <w:pPr>
        <w:pStyle w:val="FirstParagraph"/>
      </w:pPr>
      <w:r>
        <w:rPr>
          <w:b/>
          <w:bCs/>
        </w:rPr>
        <w:t xml:space="preserve">Pedido de cliente:</w:t>
      </w:r>
      <w:r>
        <w:t xml:space="preserve"> </w:t>
      </w:r>
      <w:r>
        <w:t xml:space="preserve">autenticarse, consultar catálogo por sede, seleccionar productos, confirmar tipo/dirección, registrar pedido, revisar importe y consultar estado. Resultado esperado: un solo pedido, suma calculada correctamente, vínculo a sede y autorización del cliente.</w:t>
      </w:r>
    </w:p>
    <w:p>
      <w:pPr>
        <w:pStyle w:val="BodyText"/>
      </w:pPr>
      <w:r>
        <w:rPr>
          <w:b/>
          <w:bCs/>
        </w:rPr>
        <w:t xml:space="preserve">Pago digital:</w:t>
      </w:r>
      <w:r>
        <w:t xml:space="preserve"> </w:t>
      </w:r>
      <w:r>
        <w:t xml:space="preserve">iniciar transacción con referencia única, procesar estado en sandbox, aceptar webhooks válidos, rechazar firma inválida, tolerar eventos duplicados. Resultado esperado: sin doble acreditación ni confirmación anticipada.</w:t>
      </w:r>
    </w:p>
    <w:p>
      <w:pPr>
        <w:pStyle w:val="BodyText"/>
      </w:pPr>
      <w:r>
        <w:rPr>
          <w:b/>
          <w:bCs/>
        </w:rPr>
        <w:t xml:space="preserve">Repartidor:</w:t>
      </w:r>
      <w:r>
        <w:t xml:space="preserve"> </w:t>
      </w:r>
      <w:r>
        <w:t xml:space="preserve">consultar solo entregas permitidas, actualizar estado, impedir modificar reparto de otra sede, permitir calificación de cliente autorizado.</w:t>
      </w:r>
    </w:p>
    <w:bookmarkEnd w:id="27"/>
    <w:bookmarkStart w:id="28" w:name="control-de-cambios-y-aceptación"/>
    <w:p>
      <w:pPr>
        <w:pStyle w:val="Heading2"/>
      </w:pPr>
      <w:r>
        <w:t xml:space="preserve">8. Control de cambios y aceptación</w:t>
      </w:r>
    </w:p>
    <w:p>
      <w:pPr>
        <w:pStyle w:val="FirstParagraph"/>
      </w:pPr>
      <w:r>
        <w:t xml:space="preserve">Toda historia debe registrar identificador, versión, fuente, responsable, dependencias, prueba positiva y negativa, evidencia anonimizada, resultado y aprobación. Documentos de diseño y endpoints derivan de estos requisitos mediante la matriz de trazabilidad incluida en</w:t>
      </w:r>
      <w:r>
        <w:t xml:space="preserve"> </w:t>
      </w:r>
      <w:r>
        <w:rPr>
          <w:rStyle w:val="VerbatimChar"/>
        </w:rPr>
        <w:t xml:space="preserve">9-traceability</w:t>
      </w:r>
      <w:r>
        <w:t xml:space="preserve">.</w:t>
      </w:r>
    </w:p>
    <w:bookmarkEnd w:id="28"/>
    <w:bookmarkStart w:id="29" w:name="fuentes-primarias-de-implementación"/>
    <w:p>
      <w:pPr>
        <w:pStyle w:val="Heading2"/>
      </w:pPr>
      <w:r>
        <w:t xml:space="preserve">Fuentes primarias de implementación</w:t>
      </w:r>
    </w:p>
    <w:p>
      <w:pPr>
        <w:pStyle w:val="Compact"/>
        <w:numPr>
          <w:ilvl w:val="0"/>
          <w:numId w:val="1002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2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2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2"/>
        </w:numPr>
      </w:pPr>
      <w:r>
        <w:t xml:space="preserve">Referencia de presentación: https://github.com/jsgh1/SRD-v1/tree/dev/docs/docs-SRD</w:t>
      </w:r>
    </w:p>
    <w:p>
      <w:pPr>
        <w:pStyle w:val="FirstParagraph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29"/>
    <w:bookmarkEnd w:id="30"/>
    <w:sectPr w:rsidR="00FC693F" w:rsidRPr="0006063C" w:rsidSect="00034616">
      <w:footerReference r:id="rId9" w:type="default"/>
      <w:pgSz w:h="15840" w:w="12240"/>
      <w:pgMar w:bottom="1123" w:footer="720" w:gutter="0" w:header="720" w:left="1267" w:right="1267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SaborExpress  |  Expediente académico de revisión  |  14 de octubre de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/>
    </w:pPr>
    <w:rPr>
      <w:rFonts w:ascii="Aptos" w:hAnsi="Aptos"/>
      <w:color w:val="23303C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4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154566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4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45678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4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2D5A73"/>
      <w:sz w:val="21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rPr>
      <w:rFonts w:ascii="Aptos" w:hAnsi="Apto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00" w:before="240" w:line="240" w:lineRule="auto"/>
      <w:contextualSpacing/>
    </w:pPr>
    <w:rPr>
      <w:rFonts w:ascii="Aptos Display" w:asciiTheme="majorHAnsi" w:cstheme="majorBidi" w:eastAsiaTheme="majorEastAsia" w:hAnsi="Aptos Display" w:hAnsiTheme="majorHAnsi"/>
      <w:b/>
      <w:color w:val="163A5A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Aptos" w:hAnsi="Aptos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2026-10-15T00:06:29Z</dcterms:created>
  <dcterms:modified xsi:type="dcterms:W3CDTF">2026-10-15T00:06:29Z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