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b3aad85c53537ab815ce494c152a605a638ee1"/>
    <w:p>
      <w:pPr>
        <w:pStyle w:val="Heading1"/>
      </w:pPr>
      <w:r>
        <w:t xml:space="preserve">Procedimiento de implementación y liberación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SaborExpress |</w:t>
      </w:r>
      <w:r>
        <w:t xml:space="preserve"> </w:t>
      </w:r>
      <w:r>
        <w:rPr>
          <w:b/>
          <w:bCs/>
        </w:rPr>
        <w:t xml:space="preserve">Fecha de corte:</w:t>
      </w:r>
      <w:r>
        <w:t xml:space="preserve"> </w:t>
      </w:r>
      <w:r>
        <w:t xml:space="preserve">14 de octubre de 2026 |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2.0 |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Documento técnico y académico</w:t>
      </w:r>
    </w:p>
    <w:p>
      <w:pPr>
        <w:pStyle w:val="BodyText"/>
      </w:pPr>
      <w:r>
        <w:rPr>
          <w:b/>
          <w:bCs/>
        </w:rPr>
        <w:t xml:space="preserve">Estado de la evidencia:</w:t>
      </w:r>
      <w:r>
        <w:t xml:space="preserve"> </w:t>
      </w:r>
      <w:r>
        <w:t xml:space="preserve">inspección documental y estática del código. Las pruebas de ejecución y los datos institucionales no aportados no se presumen realizados.</w:t>
      </w:r>
    </w:p>
    <w:bookmarkStart w:id="20" w:name="punto-de-partida"/>
    <w:p>
      <w:pPr>
        <w:pStyle w:val="Heading2"/>
      </w:pPr>
      <w:r>
        <w:t xml:space="preserve">1. Punto de partida</w:t>
      </w:r>
    </w:p>
    <w:p>
      <w:pPr>
        <w:pStyle w:val="FirstParagraph"/>
      </w:pPr>
      <w:r>
        <w:t xml:space="preserve">Existen tres proyectos de aplicación:</w:t>
      </w:r>
      <w:r>
        <w:t xml:space="preserve"> </w:t>
      </w:r>
      <w:r>
        <w:rPr>
          <w:rStyle w:val="VerbatimChar"/>
        </w:rPr>
        <w:t xml:space="preserve">SaborExpressBack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SaborExpressWeb</w:t>
      </w:r>
      <w:r>
        <w:t xml:space="preserve">,</w:t>
      </w:r>
      <w:r>
        <w:t xml:space="preserve"> </w:t>
      </w:r>
      <w:r>
        <w:rPr>
          <w:rStyle w:val="VerbatimChar"/>
        </w:rPr>
        <w:t xml:space="preserve">SaborExpressMovil</w:t>
      </w:r>
      <w:r>
        <w:t xml:space="preserve">. Se recomienda definir el SHA de liberación por repositorio; versiones de paquetes no implican que el despliegue haya ocurrido. Requiere un ambiente de pruebas representativo y un responsable de cambios.</w:t>
      </w:r>
    </w:p>
    <w:bookmarkEnd w:id="20"/>
    <w:bookmarkStart w:id="21" w:name="X5a79fd7d80298615822d6b71f62dd0f294b52b5"/>
    <w:p>
      <w:pPr>
        <w:pStyle w:val="Heading2"/>
      </w:pPr>
      <w:r>
        <w:t xml:space="preserve">2. Secuencia de implementación (plan repetible)</w:t>
      </w:r>
    </w:p>
    <w:p>
      <w:pPr>
        <w:pStyle w:val="Compact"/>
        <w:numPr>
          <w:ilvl w:val="0"/>
          <w:numId w:val="1001"/>
        </w:numPr>
      </w:pPr>
      <w:r>
        <w:t xml:space="preserve">Revisión de requisitos y congelamiento temporal de ramas. 2. Validación de dependencias y secretos. 3. Restauración/compilación API. 4. Aprovisionamiento DB y generación/revisión de migraciones. 5. Ejecución de tests unitarios/integración. 6. Compilación de Next.js. 7. Compilación/ejecución del cliente Expo. 8. Pruebas de contrato Swagger y seguridad. 9. Sandbox Wompi. 10. Ensayos con roles/sedes/usuarios ficticios. 11. Ensayo de respaldo/restauración y rollback. 12. Aprobación formal.</w:t>
      </w:r>
    </w:p>
    <w:bookmarkEnd w:id="21"/>
    <w:bookmarkStart w:id="22" w:name="control-por-etapa"/>
    <w:p>
      <w:pPr>
        <w:pStyle w:val="Heading2"/>
      </w:pPr>
      <w:r>
        <w:t xml:space="preserve">3. Control por etapa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Ramas + 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Versiones y secretos ocultos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 por 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+ SDKs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dotnet build / npm run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efímera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SQL e idempotencia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 documentado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API/web/móvil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E2E/SignalR/Wompi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de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y firmas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 autorizada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 y monitoreo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trazable</w:t>
            </w:r>
          </w:p>
        </w:tc>
      </w:tr>
    </w:tbl>
    <w:bookmarkEnd w:id="22"/>
    <w:bookmarkStart w:id="23" w:name="reversión"/>
    <w:p>
      <w:pPr>
        <w:pStyle w:val="Heading2"/>
      </w:pPr>
      <w:r>
        <w:t xml:space="preserve">4. Reversión</w:t>
      </w:r>
    </w:p>
    <w:p>
      <w:pPr>
        <w:pStyle w:val="FirstParagraph"/>
      </w:pPr>
      <w:r>
        <w:t xml:space="preserve">Ante falla, detener promoción, revisar integridad de la base y restaurar copia si el cambio de esquema lo necesita; volver a binarios conocidos, suspender tráfico de pago hasta reconciliar transacciones pendientes y registrar el incidente. No usar una reversión de Git como reemplazo de un procedimiento de rollback de datos.</w:t>
      </w:r>
    </w:p>
    <w:bookmarkEnd w:id="23"/>
    <w:bookmarkStart w:id="24" w:name="documentos-de-control"/>
    <w:p>
      <w:pPr>
        <w:pStyle w:val="Heading2"/>
      </w:pPr>
      <w:r>
        <w:t xml:space="preserve">5. Documentos de control</w:t>
      </w:r>
    </w:p>
    <w:p>
      <w:pPr>
        <w:pStyle w:val="FirstParagraph"/>
      </w:pPr>
      <w:r>
        <w:t xml:space="preserve">Acta de cambios con fecha, versión, ventana, responsables, ticket, evidencias de QA, historial de migraciones, lista de secretos rotados, resultado de smoke y autorización. Ninguna fecha de despliegue ni firma se completa artificialmente.</w:t>
      </w:r>
    </w:p>
    <w:bookmarkEnd w:id="24"/>
    <w:bookmarkStart w:id="25" w:name="fuentes-primarias-de-implementación"/>
    <w:p>
      <w:pPr>
        <w:pStyle w:val="Heading2"/>
      </w:pPr>
      <w:r>
        <w:t xml:space="preserve">Fuentes primarias de implementación</w:t>
      </w:r>
    </w:p>
    <w:p>
      <w:pPr>
        <w:pStyle w:val="Compact"/>
        <w:numPr>
          <w:ilvl w:val="0"/>
          <w:numId w:val="1002"/>
        </w:numPr>
      </w:pPr>
      <w:r>
        <w:t xml:space="preserve">API: https://github.com/yersonct/SaborExpressBack/tree/main</w:t>
      </w:r>
    </w:p>
    <w:p>
      <w:pPr>
        <w:pStyle w:val="Compact"/>
        <w:numPr>
          <w:ilvl w:val="0"/>
          <w:numId w:val="1002"/>
        </w:numPr>
      </w:pPr>
      <w:r>
        <w:t xml:space="preserve">Web: https://github.com/yersonct/SaborExpressWeb/tree/main</w:t>
      </w:r>
    </w:p>
    <w:p>
      <w:pPr>
        <w:pStyle w:val="Compact"/>
        <w:numPr>
          <w:ilvl w:val="0"/>
          <w:numId w:val="1002"/>
        </w:numPr>
      </w:pPr>
      <w:r>
        <w:t xml:space="preserve">Móvil: https://github.com/yersonct/SaborExpressMovil/tree/main</w:t>
      </w:r>
    </w:p>
    <w:p>
      <w:pPr>
        <w:pStyle w:val="Compact"/>
        <w:numPr>
          <w:ilvl w:val="0"/>
          <w:numId w:val="1002"/>
        </w:numPr>
      </w:pPr>
      <w:r>
        <w:t xml:space="preserve">Referencia de presentación: https://github.com/jsgh1/SRD-v1/tree/dev/docs/docs-SRD</w:t>
      </w:r>
    </w:p>
    <w:p>
      <w:pPr>
        <w:pStyle w:val="FirstParagraph"/>
      </w:pPr>
      <w:r>
        <w:rPr>
          <w:b/>
          <w:bCs/>
        </w:rPr>
        <w:t xml:space="preserve">Control documental:</w:t>
      </w:r>
      <w:r>
        <w:t xml:space="preserve"> </w:t>
      </w:r>
      <w:r>
        <w:t xml:space="preserve">documento elaborado a partir del estado observado en octubre de 2026. Antes de entregar, verificar el commit exacto, responsable, revisión del instructor y cualquier cambio posterior del código.</w:t>
      </w:r>
    </w:p>
    <w:bookmarkEnd w:id="25"/>
    <w:bookmarkEnd w:id="26"/>
    <w:sectPr w:rsidR="00FC693F" w:rsidRPr="0006063C" w:rsidSect="00034616">
      <w:footerReference r:id="rId9" w:type="default"/>
      <w:pgSz w:h="15840" w:w="12240"/>
      <w:pgMar w:bottom="1123" w:footer="720" w:gutter="0" w:header="720" w:left="1267" w:right="1267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SaborExpress  |  Expediente académico de revisión  |  14 de octubre de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ptos" w:hAnsi="Aptos"/>
      <w:color w:val="23303C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4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54566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4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245678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4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2D5A73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rPr>
      <w:rFonts w:ascii="Aptos" w:hAnsi="Apto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00" w:before="24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63A5A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2026-10-15T00:06:31Z</dcterms:created>
  <dcterms:modified xsi:type="dcterms:W3CDTF">2026-10-15T00:06:31Z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